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Renivet Corporate Order Current State</w:t>
      </w:r>
    </w:p>
    <w:p>
      <w:pPr>
        <w:spacing w:after="360"/>
      </w:pPr>
      <w:r>
        <w:rPr>
          <w:color w:val="3F6045"/>
          <w:sz w:val="30"/>
        </w:rPr>
        <w:t>Current UI, features, order flow, documents, and architecture</w:t>
      </w:r>
    </w:p>
    <w:p>
      <w:pPr>
        <w:spacing w:after="120" w:line="269" w:lineRule="auto"/>
      </w:pPr>
      <w:r>
        <w:t>This document records the current corporate-order implementation in the repository: the buyer journeys, order states, admin and brand workspaces, payment flow, document chain, and system architecture.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Report detail</w:t>
            </w:r>
          </w:p>
        </w:tc>
        <w:tc>
          <w:tcPr>
            <w:tcW w:type="dxa" w:w="5083"/>
            <w:vAlign w:val="center"/>
            <w:shd w:fill="3F6045"/>
          </w:tcPr>
          <w:p>
            <w:pPr>
              <w:spacing w:after="40"/>
            </w:pPr>
            <w:r/>
            <w:r>
              <w:rPr>
                <w:rFonts w:ascii="Aptos" w:hAnsi="Aptos"/>
                <w:b/>
                <w:color w:val="FFFFFF"/>
                <w:sz w:val="17"/>
              </w:rPr>
              <w:t>Value</w:t>
            </w:r>
          </w:p>
        </w:tc>
      </w:tr>
      <w:tr>
        <w:tc>
          <w:tcPr>
            <w:tcW w:type="dxa" w:w="5083"/>
            <w:vAlign w:val="center"/>
          </w:tcPr>
          <w:p>
            <w:pPr>
              <w:spacing w:after="40"/>
            </w:pPr>
            <w:r/>
            <w:r>
              <w:rPr>
                <w:rFonts w:ascii="Aptos" w:hAnsi="Aptos"/>
                <w:b w:val="0"/>
                <w:color w:val="172033"/>
                <w:sz w:val="17"/>
              </w:rPr>
              <w:t>Repository reviewed</w:t>
            </w:r>
          </w:p>
        </w:tc>
        <w:tc>
          <w:tcPr>
            <w:tcW w:type="dxa" w:w="5083"/>
            <w:vAlign w:val="center"/>
          </w:tcPr>
          <w:p>
            <w:pPr>
              <w:spacing w:after="40"/>
            </w:pPr>
            <w:r/>
            <w:r>
              <w:rPr>
                <w:rFonts w:ascii="Aptos" w:hAnsi="Aptos"/>
                <w:b w:val="0"/>
                <w:color w:val="172033"/>
                <w:sz w:val="17"/>
              </w:rPr>
              <w:t>C:\Personal Projects\renivet-marketplace</w:t>
            </w:r>
          </w:p>
        </w:tc>
      </w:tr>
      <w:tr>
        <w:tc>
          <w:tcPr>
            <w:tcW w:type="dxa" w:w="5083"/>
            <w:vAlign w:val="center"/>
            <w:shd w:fill="F7F9F5"/>
          </w:tcPr>
          <w:p>
            <w:pPr>
              <w:spacing w:after="40"/>
            </w:pPr>
            <w:r/>
            <w:r>
              <w:rPr>
                <w:rFonts w:ascii="Aptos" w:hAnsi="Aptos"/>
                <w:b w:val="0"/>
                <w:color w:val="172033"/>
                <w:sz w:val="17"/>
              </w:rPr>
              <w:t>Review date</w:t>
            </w:r>
          </w:p>
        </w:tc>
        <w:tc>
          <w:tcPr>
            <w:tcW w:type="dxa" w:w="5083"/>
            <w:vAlign w:val="center"/>
            <w:shd w:fill="F7F9F5"/>
          </w:tcPr>
          <w:p>
            <w:pPr>
              <w:spacing w:after="40"/>
            </w:pPr>
            <w:r/>
            <w:r>
              <w:rPr>
                <w:rFonts w:ascii="Aptos" w:hAnsi="Aptos"/>
                <w:b w:val="0"/>
                <w:color w:val="172033"/>
                <w:sz w:val="17"/>
              </w:rPr>
              <w:t>06 October 2026</w:t>
            </w:r>
          </w:p>
        </w:tc>
      </w:tr>
      <w:tr>
        <w:tc>
          <w:tcPr>
            <w:tcW w:type="dxa" w:w="5083"/>
            <w:vAlign w:val="center"/>
          </w:tcPr>
          <w:p>
            <w:pPr>
              <w:spacing w:after="40"/>
            </w:pPr>
            <w:r/>
            <w:r>
              <w:rPr>
                <w:rFonts w:ascii="Aptos" w:hAnsi="Aptos"/>
                <w:b w:val="0"/>
                <w:color w:val="172033"/>
                <w:sz w:val="17"/>
              </w:rPr>
              <w:t>Scope</w:t>
            </w:r>
          </w:p>
        </w:tc>
        <w:tc>
          <w:tcPr>
            <w:tcW w:type="dxa" w:w="5083"/>
            <w:vAlign w:val="center"/>
          </w:tcPr>
          <w:p>
            <w:pPr>
              <w:spacing w:after="40"/>
            </w:pPr>
            <w:r/>
            <w:r>
              <w:rPr>
                <w:rFonts w:ascii="Aptos" w:hAnsi="Aptos"/>
                <w:b w:val="0"/>
                <w:color w:val="172033"/>
                <w:sz w:val="17"/>
              </w:rPr>
              <w:t>Corporate ordering, RFQ, payment, fulfilment, finance, invoices, and operational documents</w:t>
            </w:r>
          </w:p>
        </w:tc>
      </w:tr>
      <w:tr>
        <w:tc>
          <w:tcPr>
            <w:tcW w:type="dxa" w:w="5083"/>
            <w:vAlign w:val="center"/>
            <w:shd w:fill="F7F9F5"/>
          </w:tcPr>
          <w:p>
            <w:pPr>
              <w:spacing w:after="40"/>
            </w:pPr>
            <w:r/>
            <w:r>
              <w:rPr>
                <w:rFonts w:ascii="Aptos" w:hAnsi="Aptos"/>
                <w:b w:val="0"/>
                <w:color w:val="172033"/>
                <w:sz w:val="17"/>
              </w:rPr>
              <w:t>Evidence used</w:t>
            </w:r>
          </w:p>
        </w:tc>
        <w:tc>
          <w:tcPr>
            <w:tcW w:type="dxa" w:w="5083"/>
            <w:vAlign w:val="center"/>
            <w:shd w:fill="F7F9F5"/>
          </w:tcPr>
          <w:p>
            <w:pPr>
              <w:spacing w:after="40"/>
            </w:pPr>
            <w:r/>
            <w:r>
              <w:rPr>
                <w:rFonts w:ascii="Aptos" w:hAnsi="Aptos"/>
                <w:b w:val="0"/>
                <w:color w:val="172033"/>
                <w:sz w:val="17"/>
              </w:rPr>
              <w:t>Current React/Next.js routes and components plus rendered PDF previews stored in the repository</w:t>
            </w:r>
          </w:p>
        </w:tc>
      </w:tr>
    </w:tbl>
    <w:p>
      <w:pPr>
        <w:spacing w:after="40"/>
      </w:pPr>
    </w:p>
    <w:p>
      <w:pPr>
        <w:spacing w:after="120" w:line="269" w:lineRule="auto"/>
      </w:pPr>
      <w:r>
        <w:t>Current implementation summary: the system contains a legacy self-service corporate order journey and a newer managed procurement journey. Both connect to corporate order records, payment records, operational status, and downloadable corporate documents.</w:t>
      </w:r>
    </w:p>
    <w:p>
      <w:r>
        <w:br w:type="page"/>
      </w:r>
    </w:p>
    <w:p>
      <w:pPr>
        <w:pStyle w:val="Heading1"/>
        <w:keepNext/>
      </w:pPr>
      <w:r>
        <w:t>1 Current state at a glance</w:t>
      </w:r>
    </w:p>
    <w:p>
      <w:pPr>
        <w:spacing w:after="120" w:line="269" w:lineRule="auto"/>
      </w:pPr>
      <w:r>
        <w:t>The current system contains two overlapping buyer experiences. The legacy self-service flow is a five-step configurable garment ordering journey. The newer corporate procurement surface is a dashboard-led RFQ, quote, purchase order, payment, fulfilment, and finance journey. Both are present in the repository and are linked from the corporate landing surface.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Area</w:t>
            </w:r>
          </w:p>
        </w:tc>
        <w:tc>
          <w:tcPr>
            <w:tcW w:type="dxa" w:w="3389"/>
            <w:vAlign w:val="center"/>
            <w:shd w:fill="3F6045"/>
          </w:tcPr>
          <w:p>
            <w:pPr>
              <w:spacing w:after="40"/>
            </w:pPr>
            <w:r/>
            <w:r>
              <w:rPr>
                <w:rFonts w:ascii="Aptos" w:hAnsi="Aptos"/>
                <w:b/>
                <w:color w:val="FFFFFF"/>
                <w:sz w:val="17"/>
              </w:rPr>
              <w:t>Implemented today</w:t>
            </w:r>
          </w:p>
        </w:tc>
        <w:tc>
          <w:tcPr>
            <w:tcW w:type="dxa" w:w="3389"/>
            <w:vAlign w:val="center"/>
            <w:shd w:fill="3F6045"/>
          </w:tcPr>
          <w:p>
            <w:pPr>
              <w:spacing w:after="40"/>
            </w:pPr>
            <w:r/>
            <w:r>
              <w:rPr>
                <w:rFonts w:ascii="Aptos" w:hAnsi="Aptos"/>
                <w:b/>
                <w:color w:val="FFFFFF"/>
                <w:sz w:val="17"/>
              </w:rPr>
              <w:t>Current evidence</w:t>
            </w:r>
          </w:p>
        </w:tc>
      </w:tr>
      <w:tr>
        <w:tc>
          <w:tcPr>
            <w:tcW w:type="dxa" w:w="3389"/>
            <w:vAlign w:val="center"/>
          </w:tcPr>
          <w:p>
            <w:pPr>
              <w:spacing w:after="40"/>
            </w:pPr>
            <w:r/>
            <w:r>
              <w:rPr>
                <w:rFonts w:ascii="Aptos" w:hAnsi="Aptos"/>
                <w:b w:val="0"/>
                <w:color w:val="172033"/>
                <w:sz w:val="17"/>
              </w:rPr>
              <w:t>Buyer entry</w:t>
            </w:r>
          </w:p>
        </w:tc>
        <w:tc>
          <w:tcPr>
            <w:tcW w:type="dxa" w:w="3389"/>
            <w:vAlign w:val="center"/>
          </w:tcPr>
          <w:p>
            <w:pPr>
              <w:spacing w:after="40"/>
            </w:pPr>
            <w:r/>
            <w:r>
              <w:rPr>
                <w:rFonts w:ascii="Aptos" w:hAnsi="Aptos"/>
                <w:b w:val="0"/>
                <w:color w:val="172033"/>
                <w:sz w:val="17"/>
              </w:rPr>
              <w:t>Corporate procurement landing page, corporate orders page, profile corporate dashboard, legacy self-service route</w:t>
            </w:r>
          </w:p>
        </w:tc>
        <w:tc>
          <w:tcPr>
            <w:tcW w:type="dxa" w:w="3389"/>
            <w:vAlign w:val="center"/>
          </w:tcPr>
          <w:p>
            <w:pPr>
              <w:spacing w:after="40"/>
            </w:pPr>
            <w:r/>
            <w:r>
              <w:rPr>
                <w:rFonts w:ascii="Aptos" w:hAnsi="Aptos"/>
                <w:b w:val="0"/>
                <w:color w:val="172033"/>
                <w:sz w:val="17"/>
              </w:rPr>
              <w:t>Both the newer procurement links and legacy self-service link are present.</w:t>
            </w:r>
          </w:p>
        </w:tc>
      </w:tr>
      <w:tr>
        <w:tc>
          <w:tcPr>
            <w:tcW w:type="dxa" w:w="3389"/>
            <w:vAlign w:val="center"/>
            <w:shd w:fill="F7F9F5"/>
          </w:tcPr>
          <w:p>
            <w:pPr>
              <w:spacing w:after="40"/>
            </w:pPr>
            <w:r/>
            <w:r>
              <w:rPr>
                <w:rFonts w:ascii="Aptos" w:hAnsi="Aptos"/>
                <w:b w:val="0"/>
                <w:color w:val="172033"/>
                <w:sz w:val="17"/>
              </w:rPr>
              <w:t>Order capture</w:t>
            </w:r>
          </w:p>
        </w:tc>
        <w:tc>
          <w:tcPr>
            <w:tcW w:type="dxa" w:w="3389"/>
            <w:vAlign w:val="center"/>
            <w:shd w:fill="F7F9F5"/>
          </w:tcPr>
          <w:p>
            <w:pPr>
              <w:spacing w:after="40"/>
            </w:pPr>
            <w:r/>
            <w:r>
              <w:rPr>
                <w:rFonts w:ascii="Aptos" w:hAnsi="Aptos"/>
                <w:b w:val="0"/>
                <w:color w:val="172033"/>
                <w:sz w:val="17"/>
              </w:rPr>
              <w:t>Company/contact, delivery, quantity, product configuration, colours, branding, employee size sheet, artwork, notes</w:t>
            </w:r>
          </w:p>
        </w:tc>
        <w:tc>
          <w:tcPr>
            <w:tcW w:type="dxa" w:w="3389"/>
            <w:vAlign w:val="center"/>
            <w:shd w:fill="F7F9F5"/>
          </w:tcPr>
          <w:p>
            <w:pPr>
              <w:spacing w:after="40"/>
            </w:pPr>
            <w:r/>
            <w:r>
              <w:rPr>
                <w:rFonts w:ascii="Aptos" w:hAnsi="Aptos"/>
                <w:b w:val="0"/>
                <w:color w:val="172033"/>
                <w:sz w:val="17"/>
              </w:rPr>
              <w:t>Fields and uploads are present in the self-service and RFQ components.</w:t>
            </w:r>
          </w:p>
        </w:tc>
      </w:tr>
      <w:tr>
        <w:tc>
          <w:tcPr>
            <w:tcW w:type="dxa" w:w="3389"/>
            <w:vAlign w:val="center"/>
          </w:tcPr>
          <w:p>
            <w:pPr>
              <w:spacing w:after="40"/>
            </w:pPr>
            <w:r/>
            <w:r>
              <w:rPr>
                <w:rFonts w:ascii="Aptos" w:hAnsi="Aptos"/>
                <w:b w:val="0"/>
                <w:color w:val="172033"/>
                <w:sz w:val="17"/>
              </w:rPr>
              <w:t>RFQ and quote</w:t>
            </w:r>
          </w:p>
        </w:tc>
        <w:tc>
          <w:tcPr>
            <w:tcW w:type="dxa" w:w="3389"/>
            <w:vAlign w:val="center"/>
          </w:tcPr>
          <w:p>
            <w:pPr>
              <w:spacing w:after="40"/>
            </w:pPr>
            <w:r/>
            <w:r>
              <w:rPr>
                <w:rFonts w:ascii="Aptos" w:hAnsi="Aptos"/>
                <w:b w:val="0"/>
                <w:color w:val="172033"/>
                <w:sz w:val="17"/>
              </w:rPr>
              <w:t>RFQ form with attachments, admin quote preparation, revisions, buyer approval or revision request</w:t>
            </w:r>
          </w:p>
        </w:tc>
        <w:tc>
          <w:tcPr>
            <w:tcW w:type="dxa" w:w="3389"/>
            <w:vAlign w:val="center"/>
          </w:tcPr>
          <w:p>
            <w:pPr>
              <w:spacing w:after="40"/>
            </w:pPr>
            <w:r/>
            <w:r>
              <w:rPr>
                <w:rFonts w:ascii="Aptos" w:hAnsi="Aptos"/>
                <w:b w:val="0"/>
                <w:color w:val="172033"/>
                <w:sz w:val="17"/>
              </w:rPr>
              <w:t>Buyer dashboard and admin RFQ queue components are present.</w:t>
            </w:r>
          </w:p>
        </w:tc>
      </w:tr>
      <w:tr>
        <w:tc>
          <w:tcPr>
            <w:tcW w:type="dxa" w:w="3389"/>
            <w:vAlign w:val="center"/>
            <w:shd w:fill="F7F9F5"/>
          </w:tcPr>
          <w:p>
            <w:pPr>
              <w:spacing w:after="40"/>
            </w:pPr>
            <w:r/>
            <w:r>
              <w:rPr>
                <w:rFonts w:ascii="Aptos" w:hAnsi="Aptos"/>
                <w:b w:val="0"/>
                <w:color w:val="172033"/>
                <w:sz w:val="17"/>
              </w:rPr>
              <w:t>Purchase order</w:t>
            </w:r>
          </w:p>
        </w:tc>
        <w:tc>
          <w:tcPr>
            <w:tcW w:type="dxa" w:w="3389"/>
            <w:vAlign w:val="center"/>
            <w:shd w:fill="F7F9F5"/>
          </w:tcPr>
          <w:p>
            <w:pPr>
              <w:spacing w:after="40"/>
            </w:pPr>
            <w:r/>
            <w:r>
              <w:rPr>
                <w:rFonts w:ascii="Aptos" w:hAnsi="Aptos"/>
                <w:b w:val="0"/>
                <w:color w:val="172033"/>
                <w:sz w:val="17"/>
              </w:rPr>
              <w:t>Buyer PO upload and admin/direct PO creation paths</w:t>
            </w:r>
          </w:p>
        </w:tc>
        <w:tc>
          <w:tcPr>
            <w:tcW w:type="dxa" w:w="3389"/>
            <w:vAlign w:val="center"/>
            <w:shd w:fill="F7F9F5"/>
          </w:tcPr>
          <w:p>
            <w:pPr>
              <w:spacing w:after="40"/>
            </w:pPr>
            <w:r/>
            <w:r>
              <w:rPr>
                <w:rFonts w:ascii="Aptos" w:hAnsi="Aptos"/>
                <w:b w:val="0"/>
                <w:color w:val="172033"/>
                <w:sz w:val="17"/>
              </w:rPr>
              <w:t>Purchase-order actions are present in buyer and finance/admin components.</w:t>
            </w:r>
          </w:p>
        </w:tc>
      </w:tr>
      <w:tr>
        <w:tc>
          <w:tcPr>
            <w:tcW w:type="dxa" w:w="3389"/>
            <w:vAlign w:val="center"/>
          </w:tcPr>
          <w:p>
            <w:pPr>
              <w:spacing w:after="40"/>
            </w:pPr>
            <w:r/>
            <w:r>
              <w:rPr>
                <w:rFonts w:ascii="Aptos" w:hAnsi="Aptos"/>
                <w:b w:val="0"/>
                <w:color w:val="172033"/>
                <w:sz w:val="17"/>
              </w:rPr>
              <w:t>Payments</w:t>
            </w:r>
          </w:p>
        </w:tc>
        <w:tc>
          <w:tcPr>
            <w:tcW w:type="dxa" w:w="3389"/>
            <w:vAlign w:val="center"/>
          </w:tcPr>
          <w:p>
            <w:pPr>
              <w:spacing w:after="40"/>
            </w:pPr>
            <w:r/>
            <w:r>
              <w:rPr>
                <w:rFonts w:ascii="Aptos" w:hAnsi="Aptos"/>
                <w:b w:val="0"/>
                <w:color w:val="172033"/>
                <w:sz w:val="17"/>
              </w:rPr>
              <w:t>Razorpay advance, balance, requested payment, full upfront, payment confirmations, receipt vouchers</w:t>
            </w:r>
          </w:p>
        </w:tc>
        <w:tc>
          <w:tcPr>
            <w:tcW w:type="dxa" w:w="3389"/>
            <w:vAlign w:val="center"/>
          </w:tcPr>
          <w:p>
            <w:pPr>
              <w:spacing w:after="40"/>
            </w:pPr>
            <w:r/>
            <w:r>
              <w:rPr>
                <w:rFonts w:ascii="Aptos" w:hAnsi="Aptos"/>
                <w:b w:val="0"/>
                <w:color w:val="172033"/>
                <w:sz w:val="17"/>
              </w:rPr>
              <w:t>Payment mutations, payment links, payment states, and receipt voucher routes are present.</w:t>
            </w:r>
          </w:p>
        </w:tc>
      </w:tr>
      <w:tr>
        <w:tc>
          <w:tcPr>
            <w:tcW w:type="dxa" w:w="3389"/>
            <w:vAlign w:val="center"/>
            <w:shd w:fill="F7F9F5"/>
          </w:tcPr>
          <w:p>
            <w:pPr>
              <w:spacing w:after="40"/>
            </w:pPr>
            <w:r/>
            <w:r>
              <w:rPr>
                <w:rFonts w:ascii="Aptos" w:hAnsi="Aptos"/>
                <w:b w:val="0"/>
                <w:color w:val="172033"/>
                <w:sz w:val="17"/>
              </w:rPr>
              <w:t>Production and fulfilment</w:t>
            </w:r>
          </w:p>
        </w:tc>
        <w:tc>
          <w:tcPr>
            <w:tcW w:type="dxa" w:w="3389"/>
            <w:vAlign w:val="center"/>
            <w:shd w:fill="F7F9F5"/>
          </w:tcPr>
          <w:p>
            <w:pPr>
              <w:spacing w:after="40"/>
            </w:pPr>
            <w:r/>
            <w:r>
              <w:rPr>
                <w:rFonts w:ascii="Aptos" w:hAnsi="Aptos"/>
                <w:b w:val="0"/>
                <w:color w:val="172033"/>
                <w:sz w:val="17"/>
              </w:rPr>
              <w:t>QC gate, status updates, shipment workspace, dispatch and delivered states, replacement requests</w:t>
            </w:r>
          </w:p>
        </w:tc>
        <w:tc>
          <w:tcPr>
            <w:tcW w:type="dxa" w:w="3389"/>
            <w:vAlign w:val="center"/>
            <w:shd w:fill="F7F9F5"/>
          </w:tcPr>
          <w:p>
            <w:pPr>
              <w:spacing w:after="40"/>
            </w:pPr>
            <w:r/>
            <w:r>
              <w:rPr>
                <w:rFonts w:ascii="Aptos" w:hAnsi="Aptos"/>
                <w:b w:val="0"/>
                <w:color w:val="172033"/>
                <w:sz w:val="17"/>
              </w:rPr>
              <w:t>Order detail, QC, shipment, status timeline, and replacement components are present.</w:t>
            </w:r>
          </w:p>
        </w:tc>
      </w:tr>
      <w:tr>
        <w:tc>
          <w:tcPr>
            <w:tcW w:type="dxa" w:w="3389"/>
            <w:vAlign w:val="center"/>
          </w:tcPr>
          <w:p>
            <w:pPr>
              <w:spacing w:after="40"/>
            </w:pPr>
            <w:r/>
            <w:r>
              <w:rPr>
                <w:rFonts w:ascii="Aptos" w:hAnsi="Aptos"/>
                <w:b w:val="0"/>
                <w:color w:val="172033"/>
                <w:sz w:val="17"/>
              </w:rPr>
              <w:t>Finance documents</w:t>
            </w:r>
          </w:p>
        </w:tc>
        <w:tc>
          <w:tcPr>
            <w:tcW w:type="dxa" w:w="3389"/>
            <w:vAlign w:val="center"/>
          </w:tcPr>
          <w:p>
            <w:pPr>
              <w:spacing w:after="40"/>
            </w:pPr>
            <w:r/>
            <w:r>
              <w:rPr>
                <w:rFonts w:ascii="Aptos" w:hAnsi="Aptos"/>
                <w:b w:val="0"/>
                <w:color w:val="172033"/>
                <w:sz w:val="17"/>
              </w:rPr>
              <w:t>Proforma, customer tax invoice, vendor PO, brand tax invoice, delivery challan, receipt voucher, settlement statement, order summary</w:t>
            </w:r>
          </w:p>
        </w:tc>
        <w:tc>
          <w:tcPr>
            <w:tcW w:type="dxa" w:w="3389"/>
            <w:vAlign w:val="center"/>
          </w:tcPr>
          <w:p>
            <w:pPr>
              <w:spacing w:after="40"/>
            </w:pPr>
            <w:r/>
            <w:r>
              <w:rPr>
                <w:rFonts w:ascii="Aptos" w:hAnsi="Aptos"/>
                <w:b w:val="0"/>
                <w:color w:val="172033"/>
                <w:sz w:val="17"/>
              </w:rPr>
              <w:t>Templates and API routes are present for the listed documents.</w:t>
            </w:r>
          </w:p>
        </w:tc>
      </w:tr>
    </w:tbl>
    <w:p>
      <w:pPr>
        <w:spacing w:after="40"/>
      </w:pPr>
    </w:p>
    <w:p>
      <w:pPr>
        <w:pStyle w:val="Heading1"/>
        <w:keepNext/>
      </w:pPr>
      <w:r>
        <w:t>2 Current corporate UI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Screen or route</w:t>
            </w:r>
          </w:p>
        </w:tc>
        <w:tc>
          <w:tcPr>
            <w:tcW w:type="dxa" w:w="3389"/>
            <w:vAlign w:val="center"/>
            <w:shd w:fill="3F6045"/>
          </w:tcPr>
          <w:p>
            <w:pPr>
              <w:spacing w:after="40"/>
            </w:pPr>
            <w:r/>
            <w:r>
              <w:rPr>
                <w:rFonts w:ascii="Aptos" w:hAnsi="Aptos"/>
                <w:b/>
                <w:color w:val="FFFFFF"/>
                <w:sz w:val="17"/>
              </w:rPr>
              <w:t>What it provides</w:t>
            </w:r>
          </w:p>
        </w:tc>
        <w:tc>
          <w:tcPr>
            <w:tcW w:type="dxa" w:w="3389"/>
            <w:vAlign w:val="center"/>
            <w:shd w:fill="3F6045"/>
          </w:tcPr>
          <w:p>
            <w:pPr>
              <w:spacing w:after="40"/>
            </w:pPr>
            <w:r/>
            <w:r>
              <w:rPr>
                <w:rFonts w:ascii="Aptos" w:hAnsi="Aptos"/>
                <w:b/>
                <w:color w:val="FFFFFF"/>
                <w:sz w:val="17"/>
              </w:rPr>
              <w:t>Primary users</w:t>
            </w:r>
          </w:p>
        </w:tc>
      </w:tr>
      <w:tr>
        <w:tc>
          <w:tcPr>
            <w:tcW w:type="dxa" w:w="3389"/>
            <w:vAlign w:val="center"/>
          </w:tcPr>
          <w:p>
            <w:pPr>
              <w:spacing w:after="40"/>
            </w:pPr>
            <w:r/>
            <w:r>
              <w:rPr>
                <w:rFonts w:ascii="Aptos" w:hAnsi="Aptos"/>
                <w:b w:val="0"/>
                <w:color w:val="172033"/>
                <w:sz w:val="17"/>
              </w:rPr>
              <w:t>/corporate</w:t>
            </w:r>
          </w:p>
        </w:tc>
        <w:tc>
          <w:tcPr>
            <w:tcW w:type="dxa" w:w="3389"/>
            <w:vAlign w:val="center"/>
          </w:tcPr>
          <w:p>
            <w:pPr>
              <w:spacing w:after="40"/>
            </w:pPr>
            <w:r/>
            <w:r>
              <w:rPr>
                <w:rFonts w:ascii="Aptos" w:hAnsi="Aptos"/>
                <w:b w:val="0"/>
                <w:color w:val="172033"/>
                <w:sz w:val="17"/>
              </w:rPr>
              <w:t>Corporate catalog, RFQ entry, corporate dashboard link, legacy self-service link</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/corporate-orders</w:t>
            </w:r>
          </w:p>
        </w:tc>
        <w:tc>
          <w:tcPr>
            <w:tcW w:type="dxa" w:w="3389"/>
            <w:vAlign w:val="center"/>
            <w:shd w:fill="F7F9F5"/>
          </w:tcPr>
          <w:p>
            <w:pPr>
              <w:spacing w:after="40"/>
            </w:pPr>
            <w:r/>
            <w:r>
              <w:rPr>
                <w:rFonts w:ascii="Aptos" w:hAnsi="Aptos"/>
                <w:b w:val="0"/>
                <w:color w:val="172033"/>
                <w:sz w:val="17"/>
              </w:rPr>
              <w:t>Legacy five-step order flow: Company, Product, Branding, Employee Sizes, Summary</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w:t>
            </w:r>
          </w:p>
        </w:tc>
        <w:tc>
          <w:tcPr>
            <w:tcW w:type="dxa" w:w="3389"/>
            <w:vAlign w:val="center"/>
          </w:tcPr>
          <w:p>
            <w:pPr>
              <w:spacing w:after="40"/>
            </w:pPr>
            <w:r/>
            <w:r>
              <w:rPr>
                <w:rFonts w:ascii="Aptos" w:hAnsi="Aptos"/>
                <w:b w:val="0"/>
                <w:color w:val="172033"/>
                <w:sz w:val="17"/>
              </w:rPr>
              <w:t>Dashboard metrics for requests, quotes, orders, approved quotes, payments, deliveries; quote review and order setup</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/profile/corporate/request-quote</w:t>
            </w:r>
          </w:p>
        </w:tc>
        <w:tc>
          <w:tcPr>
            <w:tcW w:type="dxa" w:w="3389"/>
            <w:vAlign w:val="center"/>
            <w:shd w:fill="F7F9F5"/>
          </w:tcPr>
          <w:p>
            <w:pPr>
              <w:spacing w:after="40"/>
            </w:pPr>
            <w:r/>
            <w:r>
              <w:rPr>
                <w:rFonts w:ascii="Aptos" w:hAnsi="Aptos"/>
                <w:b w:val="0"/>
                <w:color w:val="172033"/>
                <w:sz w:val="17"/>
              </w:rPr>
              <w:t>Company/contact, requirements, quantity, budget, date, procurement mode, preferences, description, attachments</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/profile/corporate/self-service</w:t>
            </w:r>
          </w:p>
        </w:tc>
        <w:tc>
          <w:tcPr>
            <w:tcW w:type="dxa" w:w="3389"/>
            <w:vAlign w:val="center"/>
          </w:tcPr>
          <w:p>
            <w:pPr>
              <w:spacing w:after="40"/>
            </w:pPr>
            <w:r/>
            <w:r>
              <w:rPr>
                <w:rFonts w:ascii="Aptos" w:hAnsi="Aptos"/>
                <w:b w:val="0"/>
                <w:color w:val="172033"/>
                <w:sz w:val="17"/>
              </w:rPr>
              <w:t>Self-service flow entry from the corporate dashboard</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/dashboard/general/corporate</w:t>
            </w:r>
          </w:p>
        </w:tc>
        <w:tc>
          <w:tcPr>
            <w:tcW w:type="dxa" w:w="3389"/>
            <w:vAlign w:val="center"/>
            <w:shd w:fill="F7F9F5"/>
          </w:tcPr>
          <w:p>
            <w:pPr>
              <w:spacing w:after="40"/>
            </w:pPr>
            <w:r/>
            <w:r>
              <w:rPr>
                <w:rFonts w:ascii="Aptos" w:hAnsi="Aptos"/>
                <w:b w:val="0"/>
                <w:color w:val="172033"/>
                <w:sz w:val="17"/>
              </w:rPr>
              <w:t>Corporate command center for RFQs, tasks, reports, finance, and executive views</w:t>
            </w:r>
          </w:p>
        </w:tc>
        <w:tc>
          <w:tcPr>
            <w:tcW w:type="dxa" w:w="3389"/>
            <w:vAlign w:val="center"/>
            <w:shd w:fill="F7F9F5"/>
          </w:tcPr>
          <w:p>
            <w:pPr>
              <w:spacing w:after="40"/>
            </w:pPr>
            <w:r/>
            <w:r>
              <w:rPr>
                <w:rFonts w:ascii="Aptos" w:hAnsi="Aptos"/>
                <w:b w:val="0"/>
                <w:color w:val="172033"/>
                <w:sz w:val="17"/>
              </w:rPr>
              <w:t>Renivet admin</w:t>
            </w:r>
          </w:p>
        </w:tc>
      </w:tr>
      <w:tr>
        <w:tc>
          <w:tcPr>
            <w:tcW w:type="dxa" w:w="3389"/>
            <w:vAlign w:val="center"/>
          </w:tcPr>
          <w:p>
            <w:pPr>
              <w:spacing w:after="40"/>
            </w:pPr>
            <w:r/>
            <w:r>
              <w:rPr>
                <w:rFonts w:ascii="Aptos" w:hAnsi="Aptos"/>
                <w:b w:val="0"/>
                <w:color w:val="172033"/>
                <w:sz w:val="17"/>
              </w:rPr>
              <w:t>/dashboard/general/corporate-orders</w:t>
            </w:r>
          </w:p>
        </w:tc>
        <w:tc>
          <w:tcPr>
            <w:tcW w:type="dxa" w:w="3389"/>
            <w:vAlign w:val="center"/>
          </w:tcPr>
          <w:p>
            <w:pPr>
              <w:spacing w:after="40"/>
            </w:pPr>
            <w:r/>
            <w:r>
              <w:rPr>
                <w:rFonts w:ascii="Aptos" w:hAnsi="Aptos"/>
                <w:b w:val="0"/>
                <w:color w:val="172033"/>
                <w:sz w:val="17"/>
              </w:rPr>
              <w:t>Corporate orders table, order detail, document chain, payment ledger, QC, shipment workspace</w:t>
            </w:r>
          </w:p>
        </w:tc>
        <w:tc>
          <w:tcPr>
            <w:tcW w:type="dxa" w:w="3389"/>
            <w:vAlign w:val="center"/>
          </w:tcPr>
          <w:p>
            <w:pPr>
              <w:spacing w:after="40"/>
            </w:pPr>
            <w:r/>
            <w:r>
              <w:rPr>
                <w:rFonts w:ascii="Aptos" w:hAnsi="Aptos"/>
                <w:b w:val="0"/>
                <w:color w:val="172033"/>
                <w:sz w:val="17"/>
              </w:rPr>
              <w:t>Renivet operations/admin</w:t>
            </w:r>
          </w:p>
        </w:tc>
      </w:tr>
      <w:tr>
        <w:tc>
          <w:tcPr>
            <w:tcW w:type="dxa" w:w="3389"/>
            <w:vAlign w:val="center"/>
            <w:shd w:fill="F7F9F5"/>
          </w:tcPr>
          <w:p>
            <w:pPr>
              <w:spacing w:after="40"/>
            </w:pPr>
            <w:r/>
            <w:r>
              <w:rPr>
                <w:rFonts w:ascii="Aptos" w:hAnsi="Aptos"/>
                <w:b w:val="0"/>
                <w:color w:val="172033"/>
                <w:sz w:val="17"/>
              </w:rPr>
              <w:t>/dashboard/brands/{brandId}/corporate-orders</w:t>
            </w:r>
          </w:p>
        </w:tc>
        <w:tc>
          <w:tcPr>
            <w:tcW w:type="dxa" w:w="3389"/>
            <w:vAlign w:val="center"/>
            <w:shd w:fill="F7F9F5"/>
          </w:tcPr>
          <w:p>
            <w:pPr>
              <w:spacing w:after="40"/>
            </w:pPr>
            <w:r/>
            <w:r>
              <w:rPr>
                <w:rFonts w:ascii="Aptos" w:hAnsi="Aptos"/>
                <w:b w:val="0"/>
                <w:color w:val="172033"/>
                <w:sz w:val="17"/>
              </w:rPr>
              <w:t>Brand-side corporate orders workspace</w:t>
            </w:r>
          </w:p>
        </w:tc>
        <w:tc>
          <w:tcPr>
            <w:tcW w:type="dxa" w:w="3389"/>
            <w:vAlign w:val="center"/>
            <w:shd w:fill="F7F9F5"/>
          </w:tcPr>
          <w:p>
            <w:pPr>
              <w:spacing w:after="40"/>
            </w:pPr>
            <w:r/>
            <w:r>
              <w:rPr>
                <w:rFonts w:ascii="Aptos" w:hAnsi="Aptos"/>
                <w:b w:val="0"/>
                <w:color w:val="172033"/>
                <w:sz w:val="17"/>
              </w:rPr>
              <w:t>Supplier brand</w:t>
            </w:r>
          </w:p>
        </w:tc>
      </w:tr>
    </w:tbl>
    <w:p>
      <w:pPr>
        <w:spacing w:after="40"/>
      </w:pPr>
    </w:p>
    <w:p>
      <w:pPr>
        <w:spacing w:after="120" w:line="269" w:lineRule="auto"/>
      </w:pPr>
      <w:r>
        <w:t>Code evidence: the route and component inventory above is based on the current source tree under src/app, src/components/corporate-platform, src/components/corporate-orders, src/components/dashboard/general/corporate-orders, and src/components/profile/general.</w:t>
      </w:r>
    </w:p>
    <w:p>
      <w:r>
        <w:br w:type="page"/>
      </w:r>
    </w:p>
    <w:p>
      <w:pPr>
        <w:pStyle w:val="Heading1"/>
        <w:keepNext/>
      </w:pPr>
      <w:r>
        <w:t>3 End to end corporate order flow</w:t>
      </w:r>
    </w:p>
    <w:p>
      <w:pPr>
        <w:spacing w:after="120" w:line="269" w:lineRule="auto"/>
      </w:pPr>
      <w:r>
        <w:t>The current end-to-end flow can be represented as follows, from buyer entry through quote, order creation, payment, fulfilment, billing, and settlement.</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541"/>
        <w:gridCol w:w="2541"/>
        <w:gridCol w:w="2541"/>
        <w:gridCol w:w="2541"/>
      </w:tblGrid>
      <w:tr>
        <w:trPr>
          <w:tblHeader/>
        </w:trPr>
        <w:tc>
          <w:tcPr>
            <w:tcW w:type="dxa" w:w="2541"/>
            <w:vAlign w:val="center"/>
            <w:shd w:fill="3F6045"/>
          </w:tcPr>
          <w:p>
            <w:pPr>
              <w:spacing w:after="40"/>
            </w:pPr>
            <w:r/>
            <w:r>
              <w:rPr>
                <w:rFonts w:ascii="Aptos" w:hAnsi="Aptos"/>
                <w:b/>
                <w:color w:val="FFFFFF"/>
                <w:sz w:val="17"/>
              </w:rPr>
              <w:t>Step</w:t>
            </w:r>
          </w:p>
        </w:tc>
        <w:tc>
          <w:tcPr>
            <w:tcW w:type="dxa" w:w="2541"/>
            <w:vAlign w:val="center"/>
            <w:shd w:fill="3F6045"/>
          </w:tcPr>
          <w:p>
            <w:pPr>
              <w:spacing w:after="40"/>
            </w:pPr>
            <w:r/>
            <w:r>
              <w:rPr>
                <w:rFonts w:ascii="Aptos" w:hAnsi="Aptos"/>
                <w:b/>
                <w:color w:val="FFFFFF"/>
                <w:sz w:val="17"/>
              </w:rPr>
              <w:t>Buyer and system action</w:t>
            </w:r>
          </w:p>
        </w:tc>
        <w:tc>
          <w:tcPr>
            <w:tcW w:type="dxa" w:w="2541"/>
            <w:vAlign w:val="center"/>
            <w:shd w:fill="3F6045"/>
          </w:tcPr>
          <w:p>
            <w:pPr>
              <w:spacing w:after="40"/>
            </w:pPr>
            <w:r/>
            <w:r>
              <w:rPr>
                <w:rFonts w:ascii="Aptos" w:hAnsi="Aptos"/>
                <w:b/>
                <w:color w:val="FFFFFF"/>
                <w:sz w:val="17"/>
              </w:rPr>
              <w:t>Current implementation</w:t>
            </w:r>
          </w:p>
        </w:tc>
        <w:tc>
          <w:tcPr>
            <w:tcW w:type="dxa" w:w="2541"/>
            <w:vAlign w:val="center"/>
            <w:shd w:fill="3F6045"/>
          </w:tcPr>
          <w:p>
            <w:pPr>
              <w:spacing w:after="40"/>
            </w:pPr>
            <w:r/>
            <w:r>
              <w:rPr>
                <w:rFonts w:ascii="Aptos" w:hAnsi="Aptos"/>
                <w:b/>
                <w:color w:val="FFFFFF"/>
                <w:sz w:val="17"/>
              </w:rPr>
              <w:t>Current next state</w:t>
            </w:r>
          </w:p>
        </w:tc>
      </w:tr>
      <w:tr>
        <w:tc>
          <w:tcPr>
            <w:tcW w:type="dxa" w:w="2541"/>
            <w:vAlign w:val="center"/>
          </w:tcPr>
          <w:p>
            <w:pPr>
              <w:spacing w:after="40"/>
            </w:pPr>
            <w:r/>
            <w:r>
              <w:rPr>
                <w:rFonts w:ascii="Aptos" w:hAnsi="Aptos"/>
                <w:b w:val="0"/>
                <w:color w:val="172033"/>
                <w:sz w:val="17"/>
              </w:rPr>
              <w:t>1. Discover</w:t>
            </w:r>
          </w:p>
        </w:tc>
        <w:tc>
          <w:tcPr>
            <w:tcW w:type="dxa" w:w="2541"/>
            <w:vAlign w:val="center"/>
          </w:tcPr>
          <w:p>
            <w:pPr>
              <w:spacing w:after="40"/>
            </w:pPr>
            <w:r/>
            <w:r>
              <w:rPr>
                <w:rFonts w:ascii="Aptos" w:hAnsi="Aptos"/>
                <w:b w:val="0"/>
                <w:color w:val="172033"/>
                <w:sz w:val="17"/>
              </w:rPr>
              <w:t>Buyer opens corporate surface and chooses catalog, RFQ, or self-service.</w:t>
            </w:r>
          </w:p>
        </w:tc>
        <w:tc>
          <w:tcPr>
            <w:tcW w:type="dxa" w:w="2541"/>
            <w:vAlign w:val="center"/>
          </w:tcPr>
          <w:p>
            <w:pPr>
              <w:spacing w:after="40"/>
            </w:pPr>
            <w:r/>
            <w:r>
              <w:rPr>
                <w:rFonts w:ascii="Aptos" w:hAnsi="Aptos"/>
                <w:b w:val="0"/>
                <w:color w:val="172033"/>
                <w:sz w:val="17"/>
              </w:rPr>
              <w:t>Corporate landing page links all three paths.</w:t>
            </w:r>
          </w:p>
        </w:tc>
        <w:tc>
          <w:tcPr>
            <w:tcW w:type="dxa" w:w="2541"/>
            <w:vAlign w:val="center"/>
          </w:tcPr>
          <w:p>
            <w:pPr>
              <w:spacing w:after="40"/>
            </w:pPr>
            <w:r/>
            <w:r>
              <w:rPr>
                <w:rFonts w:ascii="Aptos" w:hAnsi="Aptos"/>
                <w:b w:val="0"/>
                <w:color w:val="172033"/>
                <w:sz w:val="17"/>
              </w:rPr>
              <w:t>RFQ, catalog, or self-service entry.</w:t>
            </w:r>
          </w:p>
        </w:tc>
      </w:tr>
      <w:tr>
        <w:tc>
          <w:tcPr>
            <w:tcW w:type="dxa" w:w="2541"/>
            <w:vAlign w:val="center"/>
            <w:shd w:fill="F7F9F5"/>
          </w:tcPr>
          <w:p>
            <w:pPr>
              <w:spacing w:after="40"/>
            </w:pPr>
            <w:r/>
            <w:r>
              <w:rPr>
                <w:rFonts w:ascii="Aptos" w:hAnsi="Aptos"/>
                <w:b w:val="0"/>
                <w:color w:val="172033"/>
                <w:sz w:val="17"/>
              </w:rPr>
              <w:t>2. Submit requirement</w:t>
            </w:r>
          </w:p>
        </w:tc>
        <w:tc>
          <w:tcPr>
            <w:tcW w:type="dxa" w:w="2541"/>
            <w:vAlign w:val="center"/>
            <w:shd w:fill="F7F9F5"/>
          </w:tcPr>
          <w:p>
            <w:pPr>
              <w:spacing w:after="40"/>
            </w:pPr>
            <w:r/>
            <w:r>
              <w:rPr>
                <w:rFonts w:ascii="Aptos" w:hAnsi="Aptos"/>
                <w:b w:val="0"/>
                <w:color w:val="172033"/>
                <w:sz w:val="17"/>
              </w:rPr>
              <w:t>Buyer enters company/contact, quantity, delivery date, use case, budget, preferences, description, and files.</w:t>
            </w:r>
          </w:p>
        </w:tc>
        <w:tc>
          <w:tcPr>
            <w:tcW w:type="dxa" w:w="2541"/>
            <w:vAlign w:val="center"/>
            <w:shd w:fill="F7F9F5"/>
          </w:tcPr>
          <w:p>
            <w:pPr>
              <w:spacing w:after="40"/>
            </w:pPr>
            <w:r/>
            <w:r>
              <w:rPr>
                <w:rFonts w:ascii="Aptos" w:hAnsi="Aptos"/>
                <w:b w:val="0"/>
                <w:color w:val="172033"/>
                <w:sz w:val="17"/>
              </w:rPr>
              <w:t>RFQ form captures these fields and accepts PDF, PPT, XLSX, images, and ZIP attachments within 50 MB.</w:t>
            </w:r>
          </w:p>
        </w:tc>
        <w:tc>
          <w:tcPr>
            <w:tcW w:type="dxa" w:w="2541"/>
            <w:vAlign w:val="center"/>
            <w:shd w:fill="F7F9F5"/>
          </w:tcPr>
          <w:p>
            <w:pPr>
              <w:spacing w:after="40"/>
            </w:pPr>
            <w:r/>
            <w:r>
              <w:rPr>
                <w:rFonts w:ascii="Aptos" w:hAnsi="Aptos"/>
                <w:b w:val="0"/>
                <w:color w:val="172033"/>
                <w:sz w:val="17"/>
              </w:rPr>
              <w:t>RFQ record and attachments are created.</w:t>
            </w:r>
          </w:p>
        </w:tc>
      </w:tr>
      <w:tr>
        <w:tc>
          <w:tcPr>
            <w:tcW w:type="dxa" w:w="2541"/>
            <w:vAlign w:val="center"/>
          </w:tcPr>
          <w:p>
            <w:pPr>
              <w:spacing w:after="40"/>
            </w:pPr>
            <w:r/>
            <w:r>
              <w:rPr>
                <w:rFonts w:ascii="Aptos" w:hAnsi="Aptos"/>
                <w:b w:val="0"/>
                <w:color w:val="172033"/>
                <w:sz w:val="17"/>
              </w:rPr>
              <w:t>3. Prepare quote</w:t>
            </w:r>
          </w:p>
        </w:tc>
        <w:tc>
          <w:tcPr>
            <w:tcW w:type="dxa" w:w="2541"/>
            <w:vAlign w:val="center"/>
          </w:tcPr>
          <w:p>
            <w:pPr>
              <w:spacing w:after="40"/>
            </w:pPr>
            <w:r/>
            <w:r>
              <w:rPr>
                <w:rFonts w:ascii="Aptos" w:hAnsi="Aptos"/>
                <w:b w:val="0"/>
                <w:color w:val="172033"/>
                <w:sz w:val="17"/>
              </w:rPr>
              <w:t>Admin reviews RFQ, selects supplier/product inputs, sets cost/tax/advance, and creates a quote.</w:t>
            </w:r>
          </w:p>
        </w:tc>
        <w:tc>
          <w:tcPr>
            <w:tcW w:type="dxa" w:w="2541"/>
            <w:vAlign w:val="center"/>
          </w:tcPr>
          <w:p>
            <w:pPr>
              <w:spacing w:after="40"/>
            </w:pPr>
            <w:r/>
            <w:r>
              <w:rPr>
                <w:rFonts w:ascii="Aptos" w:hAnsi="Aptos"/>
                <w:b w:val="0"/>
                <w:color w:val="172033"/>
                <w:sz w:val="17"/>
              </w:rPr>
              <w:t>Admin RFQ queue supports manual quote preparation and revisions.</w:t>
            </w:r>
          </w:p>
        </w:tc>
        <w:tc>
          <w:tcPr>
            <w:tcW w:type="dxa" w:w="2541"/>
            <w:vAlign w:val="center"/>
          </w:tcPr>
          <w:p>
            <w:pPr>
              <w:spacing w:after="40"/>
            </w:pPr>
            <w:r/>
            <w:r>
              <w:rPr>
                <w:rFonts w:ascii="Aptos" w:hAnsi="Aptos"/>
                <w:b w:val="0"/>
                <w:color w:val="172033"/>
                <w:sz w:val="17"/>
              </w:rPr>
              <w:t>Quote is sent to buyer or revised.</w:t>
            </w:r>
          </w:p>
        </w:tc>
      </w:tr>
      <w:tr>
        <w:tc>
          <w:tcPr>
            <w:tcW w:type="dxa" w:w="2541"/>
            <w:vAlign w:val="center"/>
            <w:shd w:fill="F7F9F5"/>
          </w:tcPr>
          <w:p>
            <w:pPr>
              <w:spacing w:after="40"/>
            </w:pPr>
            <w:r/>
            <w:r>
              <w:rPr>
                <w:rFonts w:ascii="Aptos" w:hAnsi="Aptos"/>
                <w:b w:val="0"/>
                <w:color w:val="172033"/>
                <w:sz w:val="17"/>
              </w:rPr>
              <w:t>4. Buyer decision</w:t>
            </w:r>
          </w:p>
        </w:tc>
        <w:tc>
          <w:tcPr>
            <w:tcW w:type="dxa" w:w="2541"/>
            <w:vAlign w:val="center"/>
            <w:shd w:fill="F7F9F5"/>
          </w:tcPr>
          <w:p>
            <w:pPr>
              <w:spacing w:after="40"/>
            </w:pPr>
            <w:r/>
            <w:r>
              <w:rPr>
                <w:rFonts w:ascii="Aptos" w:hAnsi="Aptos"/>
                <w:b w:val="0"/>
                <w:color w:val="172033"/>
                <w:sz w:val="17"/>
              </w:rPr>
              <w:t>Buyer approves quote, requests revision, or proceeds through PO/payment route.</w:t>
            </w:r>
          </w:p>
        </w:tc>
        <w:tc>
          <w:tcPr>
            <w:tcW w:type="dxa" w:w="2541"/>
            <w:vAlign w:val="center"/>
            <w:shd w:fill="F7F9F5"/>
          </w:tcPr>
          <w:p>
            <w:pPr>
              <w:spacing w:after="40"/>
            </w:pPr>
            <w:r/>
            <w:r>
              <w:rPr>
                <w:rFonts w:ascii="Aptos" w:hAnsi="Aptos"/>
                <w:b w:val="0"/>
                <w:color w:val="172033"/>
                <w:sz w:val="17"/>
              </w:rPr>
              <w:t>Buyer dashboard exposes quote decisions and purchase-order upload.</w:t>
            </w:r>
          </w:p>
        </w:tc>
        <w:tc>
          <w:tcPr>
            <w:tcW w:type="dxa" w:w="2541"/>
            <w:vAlign w:val="center"/>
            <w:shd w:fill="F7F9F5"/>
          </w:tcPr>
          <w:p>
            <w:pPr>
              <w:spacing w:after="40"/>
            </w:pPr>
            <w:r/>
            <w:r>
              <w:rPr>
                <w:rFonts w:ascii="Aptos" w:hAnsi="Aptos"/>
                <w:b w:val="0"/>
                <w:color w:val="172033"/>
                <w:sz w:val="17"/>
              </w:rPr>
              <w:t>Quote approved, revision requested, or PO/payment setup started.</w:t>
            </w:r>
          </w:p>
        </w:tc>
      </w:tr>
      <w:tr>
        <w:tc>
          <w:tcPr>
            <w:tcW w:type="dxa" w:w="2541"/>
            <w:vAlign w:val="center"/>
          </w:tcPr>
          <w:p>
            <w:pPr>
              <w:spacing w:after="40"/>
            </w:pPr>
            <w:r/>
            <w:r>
              <w:rPr>
                <w:rFonts w:ascii="Aptos" w:hAnsi="Aptos"/>
                <w:b w:val="0"/>
                <w:color w:val="172033"/>
                <w:sz w:val="17"/>
              </w:rPr>
              <w:t>5. Order release</w:t>
            </w:r>
          </w:p>
        </w:tc>
        <w:tc>
          <w:tcPr>
            <w:tcW w:type="dxa" w:w="2541"/>
            <w:vAlign w:val="center"/>
          </w:tcPr>
          <w:p>
            <w:pPr>
              <w:spacing w:after="40"/>
            </w:pPr>
            <w:r/>
            <w:r>
              <w:rPr>
                <w:rFonts w:ascii="Aptos" w:hAnsi="Aptos"/>
                <w:b w:val="0"/>
                <w:color w:val="172033"/>
                <w:sz w:val="17"/>
              </w:rPr>
              <w:t>System creates order after accepted quote plus PO or required payment condition.</w:t>
            </w:r>
          </w:p>
        </w:tc>
        <w:tc>
          <w:tcPr>
            <w:tcW w:type="dxa" w:w="2541"/>
            <w:vAlign w:val="center"/>
          </w:tcPr>
          <w:p>
            <w:pPr>
              <w:spacing w:after="40"/>
            </w:pPr>
            <w:r/>
            <w:r>
              <w:rPr>
                <w:rFonts w:ascii="Aptos" w:hAnsi="Aptos"/>
                <w:b w:val="0"/>
                <w:color w:val="172033"/>
                <w:sz w:val="17"/>
              </w:rPr>
              <w:t>Purchase-order and payment mutations are present; finance queue supports order release.</w:t>
            </w:r>
          </w:p>
        </w:tc>
        <w:tc>
          <w:tcPr>
            <w:tcW w:type="dxa" w:w="2541"/>
            <w:vAlign w:val="center"/>
          </w:tcPr>
          <w:p>
            <w:pPr>
              <w:spacing w:after="40"/>
            </w:pPr>
            <w:r/>
            <w:r>
              <w:rPr>
                <w:rFonts w:ascii="Aptos" w:hAnsi="Aptos"/>
                <w:b w:val="0"/>
                <w:color w:val="172033"/>
                <w:sz w:val="17"/>
              </w:rPr>
              <w:t>Corporate order record and order snapshot are available to operations.</w:t>
            </w:r>
          </w:p>
        </w:tc>
      </w:tr>
      <w:tr>
        <w:tc>
          <w:tcPr>
            <w:tcW w:type="dxa" w:w="2541"/>
            <w:vAlign w:val="center"/>
            <w:shd w:fill="F7F9F5"/>
          </w:tcPr>
          <w:p>
            <w:pPr>
              <w:spacing w:after="40"/>
            </w:pPr>
            <w:r/>
            <w:r>
              <w:rPr>
                <w:rFonts w:ascii="Aptos" w:hAnsi="Aptos"/>
                <w:b w:val="0"/>
                <w:color w:val="172033"/>
                <w:sz w:val="17"/>
              </w:rPr>
              <w:t>6. Advance and receipt</w:t>
            </w:r>
          </w:p>
        </w:tc>
        <w:tc>
          <w:tcPr>
            <w:tcW w:type="dxa" w:w="2541"/>
            <w:vAlign w:val="center"/>
            <w:shd w:fill="F7F9F5"/>
          </w:tcPr>
          <w:p>
            <w:pPr>
              <w:spacing w:after="40"/>
            </w:pPr>
            <w:r/>
            <w:r>
              <w:rPr>
                <w:rFonts w:ascii="Aptos" w:hAnsi="Aptos"/>
                <w:b w:val="0"/>
                <w:color w:val="172033"/>
                <w:sz w:val="17"/>
              </w:rPr>
              <w:t>Buyer pays advance or full amount; receipt voucher is generated.</w:t>
            </w:r>
          </w:p>
        </w:tc>
        <w:tc>
          <w:tcPr>
            <w:tcW w:type="dxa" w:w="2541"/>
            <w:vAlign w:val="center"/>
            <w:shd w:fill="F7F9F5"/>
          </w:tcPr>
          <w:p>
            <w:pPr>
              <w:spacing w:after="40"/>
            </w:pPr>
            <w:r/>
            <w:r>
              <w:rPr>
                <w:rFonts w:ascii="Aptos" w:hAnsi="Aptos"/>
                <w:b w:val="0"/>
                <w:color w:val="172033"/>
                <w:sz w:val="17"/>
              </w:rPr>
              <w:t>Razorpay flows, payment confirmation, balance links, and receipt voucher are implemented.</w:t>
            </w:r>
          </w:p>
        </w:tc>
        <w:tc>
          <w:tcPr>
            <w:tcW w:type="dxa" w:w="2541"/>
            <w:vAlign w:val="center"/>
            <w:shd w:fill="F7F9F5"/>
          </w:tcPr>
          <w:p>
            <w:pPr>
              <w:spacing w:after="40"/>
            </w:pPr>
            <w:r/>
            <w:r>
              <w:rPr>
                <w:rFonts w:ascii="Aptos" w:hAnsi="Aptos"/>
                <w:b w:val="0"/>
                <w:color w:val="172033"/>
                <w:sz w:val="17"/>
              </w:rPr>
              <w:t>Payment status and receipt voucher are recorded.</w:t>
            </w:r>
          </w:p>
        </w:tc>
      </w:tr>
      <w:tr>
        <w:tc>
          <w:tcPr>
            <w:tcW w:type="dxa" w:w="2541"/>
            <w:vAlign w:val="center"/>
          </w:tcPr>
          <w:p>
            <w:pPr>
              <w:spacing w:after="40"/>
            </w:pPr>
            <w:r/>
            <w:r>
              <w:rPr>
                <w:rFonts w:ascii="Aptos" w:hAnsi="Aptos"/>
                <w:b w:val="0"/>
                <w:color w:val="172033"/>
                <w:sz w:val="17"/>
              </w:rPr>
              <w:t>7. Supplier fulfilment</w:t>
            </w:r>
          </w:p>
        </w:tc>
        <w:tc>
          <w:tcPr>
            <w:tcW w:type="dxa" w:w="2541"/>
            <w:vAlign w:val="center"/>
          </w:tcPr>
          <w:p>
            <w:pPr>
              <w:spacing w:after="40"/>
            </w:pPr>
            <w:r/>
            <w:r>
              <w:rPr>
                <w:rFonts w:ascii="Aptos" w:hAnsi="Aptos"/>
                <w:b w:val="0"/>
                <w:color w:val="172033"/>
                <w:sz w:val="17"/>
              </w:rPr>
              <w:t>Vendor PO, production, QC, shipment, dispatch, and delivery are tracked.</w:t>
            </w:r>
          </w:p>
        </w:tc>
        <w:tc>
          <w:tcPr>
            <w:tcW w:type="dxa" w:w="2541"/>
            <w:vAlign w:val="center"/>
          </w:tcPr>
          <w:p>
            <w:pPr>
              <w:spacing w:after="40"/>
            </w:pPr>
            <w:r/>
            <w:r>
              <w:rPr>
                <w:rFonts w:ascii="Aptos" w:hAnsi="Aptos"/>
                <w:b w:val="0"/>
                <w:color w:val="172033"/>
                <w:sz w:val="17"/>
              </w:rPr>
              <w:t>Document chain, QC review, status timeline, and shipment workspace are present.</w:t>
            </w:r>
          </w:p>
        </w:tc>
        <w:tc>
          <w:tcPr>
            <w:tcW w:type="dxa" w:w="2541"/>
            <w:vAlign w:val="center"/>
          </w:tcPr>
          <w:p>
            <w:pPr>
              <w:spacing w:after="40"/>
            </w:pPr>
            <w:r/>
            <w:r>
              <w:rPr>
                <w:rFonts w:ascii="Aptos" w:hAnsi="Aptos"/>
                <w:b w:val="0"/>
                <w:color w:val="172033"/>
                <w:sz w:val="17"/>
              </w:rPr>
              <w:t>Order progresses through production, QC, dispatch, and delivery statuses.</w:t>
            </w:r>
          </w:p>
        </w:tc>
      </w:tr>
      <w:tr>
        <w:tc>
          <w:tcPr>
            <w:tcW w:type="dxa" w:w="2541"/>
            <w:vAlign w:val="center"/>
            <w:shd w:fill="F7F9F5"/>
          </w:tcPr>
          <w:p>
            <w:pPr>
              <w:spacing w:after="40"/>
            </w:pPr>
            <w:r/>
            <w:r>
              <w:rPr>
                <w:rFonts w:ascii="Aptos" w:hAnsi="Aptos"/>
                <w:b w:val="0"/>
                <w:color w:val="172033"/>
                <w:sz w:val="17"/>
              </w:rPr>
              <w:t>8. Final billing</w:t>
            </w:r>
          </w:p>
        </w:tc>
        <w:tc>
          <w:tcPr>
            <w:tcW w:type="dxa" w:w="2541"/>
            <w:vAlign w:val="center"/>
            <w:shd w:fill="F7F9F5"/>
          </w:tcPr>
          <w:p>
            <w:pPr>
              <w:spacing w:after="40"/>
            </w:pPr>
            <w:r/>
            <w:r>
              <w:rPr>
                <w:rFonts w:ascii="Aptos" w:hAnsi="Aptos"/>
                <w:b w:val="0"/>
                <w:color w:val="172033"/>
                <w:sz w:val="17"/>
              </w:rPr>
              <w:t>Customer tax invoice is issued; balance is collected where applicable.</w:t>
            </w:r>
          </w:p>
        </w:tc>
        <w:tc>
          <w:tcPr>
            <w:tcW w:type="dxa" w:w="2541"/>
            <w:vAlign w:val="center"/>
            <w:shd w:fill="F7F9F5"/>
          </w:tcPr>
          <w:p>
            <w:pPr>
              <w:spacing w:after="40"/>
            </w:pPr>
            <w:r/>
            <w:r>
              <w:rPr>
                <w:rFonts w:ascii="Aptos" w:hAnsi="Aptos"/>
                <w:b w:val="0"/>
                <w:color w:val="172033"/>
                <w:sz w:val="17"/>
              </w:rPr>
              <w:t>Tax invoice, balance payment link, payment status, and paid-in-full variant exist.</w:t>
            </w:r>
          </w:p>
        </w:tc>
        <w:tc>
          <w:tcPr>
            <w:tcW w:type="dxa" w:w="2541"/>
            <w:vAlign w:val="center"/>
            <w:shd w:fill="F7F9F5"/>
          </w:tcPr>
          <w:p>
            <w:pPr>
              <w:spacing w:after="40"/>
            </w:pPr>
            <w:r/>
            <w:r>
              <w:rPr>
                <w:rFonts w:ascii="Aptos" w:hAnsi="Aptos"/>
                <w:b w:val="0"/>
                <w:color w:val="172033"/>
                <w:sz w:val="17"/>
              </w:rPr>
              <w:t>Final tax invoice and balance status are recorded.</w:t>
            </w:r>
          </w:p>
        </w:tc>
      </w:tr>
      <w:tr>
        <w:tc>
          <w:tcPr>
            <w:tcW w:type="dxa" w:w="2541"/>
            <w:vAlign w:val="center"/>
          </w:tcPr>
          <w:p>
            <w:pPr>
              <w:spacing w:after="40"/>
            </w:pPr>
            <w:r/>
            <w:r>
              <w:rPr>
                <w:rFonts w:ascii="Aptos" w:hAnsi="Aptos"/>
                <w:b w:val="0"/>
                <w:color w:val="172033"/>
                <w:sz w:val="17"/>
              </w:rPr>
              <w:t>9. Settlement</w:t>
            </w:r>
          </w:p>
        </w:tc>
        <w:tc>
          <w:tcPr>
            <w:tcW w:type="dxa" w:w="2541"/>
            <w:vAlign w:val="center"/>
          </w:tcPr>
          <w:p>
            <w:pPr>
              <w:spacing w:after="40"/>
            </w:pPr>
            <w:r/>
            <w:r>
              <w:rPr>
                <w:rFonts w:ascii="Aptos" w:hAnsi="Aptos"/>
                <w:b w:val="0"/>
                <w:color w:val="172033"/>
                <w:sz w:val="17"/>
              </w:rPr>
              <w:t>Supplier settlement is produced after delivery and finance checks.</w:t>
            </w:r>
          </w:p>
        </w:tc>
        <w:tc>
          <w:tcPr>
            <w:tcW w:type="dxa" w:w="2541"/>
            <w:vAlign w:val="center"/>
          </w:tcPr>
          <w:p>
            <w:pPr>
              <w:spacing w:after="40"/>
            </w:pPr>
            <w:r/>
            <w:r>
              <w:rPr>
                <w:rFonts w:ascii="Aptos" w:hAnsi="Aptos"/>
                <w:b w:val="0"/>
                <w:color w:val="172033"/>
                <w:sz w:val="17"/>
              </w:rPr>
              <w:t>Settlement statement includes commission, GST on commission, TCS, TDS, and net remittance.</w:t>
            </w:r>
          </w:p>
        </w:tc>
        <w:tc>
          <w:tcPr>
            <w:tcW w:type="dxa" w:w="2541"/>
            <w:vAlign w:val="center"/>
          </w:tcPr>
          <w:p>
            <w:pPr>
              <w:spacing w:after="40"/>
            </w:pPr>
            <w:r/>
            <w:r>
              <w:rPr>
                <w:rFonts w:ascii="Aptos" w:hAnsi="Aptos"/>
                <w:b w:val="0"/>
                <w:color w:val="172033"/>
                <w:sz w:val="17"/>
              </w:rPr>
              <w:t>Settlement statement and payout values are recorded.</w:t>
            </w:r>
          </w:p>
        </w:tc>
      </w:tr>
    </w:tbl>
    <w:p>
      <w:pPr>
        <w:spacing w:after="40"/>
      </w:pPr>
    </w:p>
    <w:p>
      <w:pPr>
        <w:pStyle w:val="Heading1"/>
        <w:keepNext/>
      </w:pPr>
      <w:r>
        <w:t>4 Current features by capability</w:t>
      </w:r>
    </w:p>
    <w:p>
      <w:pPr>
        <w:pStyle w:val="Heading2"/>
        <w:keepNext/>
      </w:pPr>
      <w:r>
        <w:t>Buyer and company data</w:t>
      </w:r>
    </w:p>
    <w:p>
      <w:pPr>
        <w:pStyle w:val="ListBullet"/>
        <w:spacing w:after="60"/>
      </w:pPr>
      <w:r>
        <w:t>Corporate profile and company snapshot</w:t>
      </w:r>
    </w:p>
    <w:p>
      <w:pPr>
        <w:pStyle w:val="ListBullet"/>
        <w:spacing w:after="60"/>
      </w:pPr>
      <w:r>
        <w:t>Company name, contact person, email, phone, GSTIN, delivery address</w:t>
      </w:r>
    </w:p>
    <w:p>
      <w:pPr>
        <w:pStyle w:val="ListBullet"/>
        <w:spacing w:after="60"/>
      </w:pPr>
      <w:r>
        <w:t>Employee count and employee size-sheet upload</w:t>
      </w:r>
    </w:p>
    <w:p>
      <w:pPr>
        <w:pStyle w:val="ListBullet"/>
        <w:spacing w:after="60"/>
      </w:pPr>
      <w:r>
        <w:t>Customer notes and payment preference</w:t>
      </w:r>
    </w:p>
    <w:p>
      <w:pPr>
        <w:pStyle w:val="Heading2"/>
        <w:keepNext/>
      </w:pPr>
      <w:r>
        <w:t>Product and customization</w:t>
      </w:r>
    </w:p>
    <w:p>
      <w:pPr>
        <w:pStyle w:val="ListBullet"/>
        <w:spacing w:after="60"/>
      </w:pPr>
      <w:r>
        <w:t>Product type, GSM, fabric composition, colours</w:t>
      </w:r>
    </w:p>
    <w:p>
      <w:pPr>
        <w:pStyle w:val="ListBullet"/>
        <w:spacing w:after="60"/>
      </w:pPr>
      <w:r>
        <w:t>Logo placement, print method, artwork upload</w:t>
      </w:r>
    </w:p>
    <w:p>
      <w:pPr>
        <w:pStyle w:val="ListBullet"/>
        <w:spacing w:after="60"/>
      </w:pPr>
      <w:r>
        <w:t>Custom colours and extra charge rules</w:t>
      </w:r>
    </w:p>
    <w:p>
      <w:pPr>
        <w:pStyle w:val="ListBullet"/>
        <w:spacing w:after="60"/>
      </w:pPr>
      <w:r>
        <w:t>Quantity and configured quote summary</w:t>
      </w:r>
    </w:p>
    <w:p>
      <w:pPr>
        <w:pStyle w:val="Heading2"/>
        <w:keepNext/>
      </w:pPr>
      <w:r>
        <w:t>Commercial workflow</w:t>
      </w:r>
    </w:p>
    <w:p>
      <w:pPr>
        <w:pStyle w:val="ListBullet"/>
        <w:spacing w:after="60"/>
      </w:pPr>
      <w:r>
        <w:t>RFQ creation and attachments</w:t>
      </w:r>
    </w:p>
    <w:p>
      <w:pPr>
        <w:pStyle w:val="ListBullet"/>
        <w:spacing w:after="60"/>
      </w:pPr>
      <w:r>
        <w:t>Admin manual quote creation</w:t>
      </w:r>
    </w:p>
    <w:p>
      <w:pPr>
        <w:pStyle w:val="ListBullet"/>
        <w:spacing w:after="60"/>
      </w:pPr>
      <w:r>
        <w:t>Quote revision history and buyer decision</w:t>
      </w:r>
    </w:p>
    <w:p>
      <w:pPr>
        <w:pStyle w:val="ListBullet"/>
        <w:spacing w:after="60"/>
      </w:pPr>
      <w:r>
        <w:t>Purchase-order upload and direct admin order creation</w:t>
      </w:r>
    </w:p>
    <w:p>
      <w:pPr>
        <w:pStyle w:val="ListBullet"/>
        <w:spacing w:after="60"/>
      </w:pPr>
      <w:r>
        <w:t>Partial advance or full upfront payment options</w:t>
      </w:r>
    </w:p>
    <w:p>
      <w:pPr>
        <w:pStyle w:val="Heading2"/>
        <w:keepNext/>
      </w:pPr>
      <w:r>
        <w:t>Operations</w:t>
      </w:r>
    </w:p>
    <w:p>
      <w:pPr>
        <w:pStyle w:val="ListBullet"/>
        <w:spacing w:after="60"/>
      </w:pPr>
      <w:r>
        <w:t>Corporate order status timeline</w:t>
      </w:r>
    </w:p>
    <w:p>
      <w:pPr>
        <w:pStyle w:val="ListBullet"/>
        <w:spacing w:after="60"/>
      </w:pPr>
      <w:r>
        <w:t>Quality-control submission and approve/reject actions</w:t>
      </w:r>
    </w:p>
    <w:p>
      <w:pPr>
        <w:pStyle w:val="ListBullet"/>
        <w:spacing w:after="60"/>
      </w:pPr>
      <w:r>
        <w:t>Ready for dispatch, dispatched, delivered, and replacement flows</w:t>
      </w:r>
    </w:p>
    <w:p>
      <w:pPr>
        <w:pStyle w:val="ListBullet"/>
        <w:spacing w:after="60"/>
      </w:pPr>
      <w:r>
        <w:t>Shipment workspace and dispatch details</w:t>
      </w:r>
    </w:p>
    <w:p>
      <w:pPr>
        <w:pStyle w:val="ListBullet"/>
        <w:spacing w:after="60"/>
      </w:pPr>
      <w:r>
        <w:t>Brand-side corporate order workspace</w:t>
      </w:r>
    </w:p>
    <w:p>
      <w:pPr>
        <w:pStyle w:val="Heading2"/>
        <w:keepNext/>
      </w:pPr>
      <w:r>
        <w:t>Finance and documents</w:t>
      </w:r>
    </w:p>
    <w:p>
      <w:pPr>
        <w:pStyle w:val="ListBullet"/>
        <w:spacing w:after="60"/>
      </w:pPr>
      <w:r>
        <w:t>Proforma invoice</w:t>
      </w:r>
    </w:p>
    <w:p>
      <w:pPr>
        <w:pStyle w:val="ListBullet"/>
        <w:spacing w:after="60"/>
      </w:pPr>
      <w:r>
        <w:t>Customer tax invoice</w:t>
      </w:r>
    </w:p>
    <w:p>
      <w:pPr>
        <w:pStyle w:val="ListBullet"/>
        <w:spacing w:after="60"/>
      </w:pPr>
      <w:r>
        <w:t>Vendor purchase order</w:t>
      </w:r>
    </w:p>
    <w:p>
      <w:pPr>
        <w:pStyle w:val="ListBullet"/>
        <w:spacing w:after="60"/>
      </w:pPr>
      <w:r>
        <w:t>Receipt voucher</w:t>
      </w:r>
    </w:p>
    <w:p>
      <w:pPr>
        <w:pStyle w:val="ListBullet"/>
        <w:spacing w:after="60"/>
      </w:pPr>
      <w:r>
        <w:t>Delivery challan</w:t>
      </w:r>
    </w:p>
    <w:p>
      <w:pPr>
        <w:pStyle w:val="ListBullet"/>
        <w:spacing w:after="60"/>
      </w:pPr>
      <w:r>
        <w:t>Settlement statement</w:t>
      </w:r>
    </w:p>
    <w:p>
      <w:pPr>
        <w:pStyle w:val="ListBullet"/>
        <w:spacing w:after="60"/>
      </w:pPr>
      <w:r>
        <w:t>Corporate order summary</w:t>
      </w:r>
    </w:p>
    <w:p>
      <w:pPr>
        <w:pStyle w:val="ListBullet"/>
        <w:spacing w:after="60"/>
      </w:pPr>
      <w:r>
        <w:t>Payment ledger and balance payment links</w:t>
      </w:r>
    </w:p>
    <w:p>
      <w:r>
        <w:br w:type="page"/>
      </w:r>
    </w:p>
    <w:p>
      <w:pPr>
        <w:pStyle w:val="Heading1"/>
        <w:keepNext/>
      </w:pPr>
      <w:r>
        <w:t>5 Current screens and document evidence</w:t>
      </w:r>
    </w:p>
    <w:p>
      <w:pPr>
        <w:spacing w:after="120" w:line="269" w:lineRule="auto"/>
      </w:pPr>
      <w:r>
        <w:t>The following captures are rendered from current repository previews and show the current document layouts and fields.</w:t>
      </w:r>
    </w:p>
    <w:p>
      <w:pPr>
        <w:pStyle w:val="Heading2"/>
        <w:keepNext/>
      </w:pPr>
      <w:r>
        <w:t>5.1 Application UI screenshots</w:t>
      </w:r>
    </w:p>
    <w:p>
      <w:pPr>
        <w:spacing w:after="120" w:line="269" w:lineRule="auto"/>
      </w:pPr>
      <w:r>
        <w:t>The following screenshots were captured from the running local Renivet application using the current corporate test account. They show the current UI state and the five-step self-service order journey.</w:t>
      </w:r>
    </w:p>
    <w:p>
      <w:pPr>
        <w:jc w:val="center"/>
      </w:pPr>
      <w:r>
        <w:drawing>
          <wp:inline xmlns:a="http://schemas.openxmlformats.org/drawingml/2006/main" xmlns:pic="http://schemas.openxmlformats.org/drawingml/2006/picture">
            <wp:extent cx="5806440" cy="2870911"/>
            <wp:docPr id="1" name="Picture 1"/>
            <wp:cNvGraphicFramePr>
              <a:graphicFrameLocks noChangeAspect="1"/>
            </wp:cNvGraphicFramePr>
            <a:graphic>
              <a:graphicData uri="http://schemas.openxmlformats.org/drawingml/2006/picture">
                <pic:pic>
                  <pic:nvPicPr>
                    <pic:cNvPr id="0" name="01-corporate-entry.png"/>
                    <pic:cNvPicPr/>
                  </pic:nvPicPr>
                  <pic:blipFill>
                    <a:blip r:embed="rId10"/>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1. Corporate entry page with catalog, Request Custom Quote, Open Corporate Dashboard, and Legacy Self-Service Flow entry points.</w:t>
      </w:r>
    </w:p>
    <w:p>
      <w:pPr>
        <w:jc w:val="center"/>
      </w:pPr>
      <w:r>
        <w:drawing>
          <wp:inline xmlns:a="http://schemas.openxmlformats.org/drawingml/2006/main" xmlns:pic="http://schemas.openxmlformats.org/drawingml/2006/picture">
            <wp:extent cx="5806440" cy="2870911"/>
            <wp:docPr id="2" name="Picture 2"/>
            <wp:cNvGraphicFramePr>
              <a:graphicFrameLocks noChangeAspect="1"/>
            </wp:cNvGraphicFramePr>
            <a:graphic>
              <a:graphicData uri="http://schemas.openxmlformats.org/drawingml/2006/picture">
                <pic:pic>
                  <pic:nvPicPr>
                    <pic:cNvPr id="0" name="02-self-service-step-1-company.png"/>
                    <pic:cNvPicPr/>
                  </pic:nvPicPr>
                  <pic:blipFill>
                    <a:blip r:embed="rId11"/>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2. Self-service step 1 Company showing business information, contact, delivery, GSTIN, employee count, and shipping address fields.</w:t>
      </w:r>
    </w:p>
    <w:p>
      <w:r>
        <w:br w:type="page"/>
      </w:r>
    </w:p>
    <w:p>
      <w:pPr>
        <w:jc w:val="center"/>
      </w:pPr>
      <w:r>
        <w:drawing>
          <wp:inline xmlns:a="http://schemas.openxmlformats.org/drawingml/2006/main" xmlns:pic="http://schemas.openxmlformats.org/drawingml/2006/picture">
            <wp:extent cx="5806440" cy="2870911"/>
            <wp:docPr id="3" name="Picture 3"/>
            <wp:cNvGraphicFramePr>
              <a:graphicFrameLocks noChangeAspect="1"/>
            </wp:cNvGraphicFramePr>
            <a:graphic>
              <a:graphicData uri="http://schemas.openxmlformats.org/drawingml/2006/picture">
                <pic:pic>
                  <pic:nvPicPr>
                    <pic:cNvPr id="0" name="03-self-service-step-2-product.png"/>
                    <pic:cNvPicPr/>
                  </pic:nvPicPr>
                  <pic:blipFill>
                    <a:blip r:embed="rId12"/>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3. Self-service step 2 Product showing the order progress panel and product selection stage.</w:t>
      </w:r>
    </w:p>
    <w:p>
      <w:pPr>
        <w:jc w:val="center"/>
      </w:pPr>
      <w:r>
        <w:drawing>
          <wp:inline xmlns:a="http://schemas.openxmlformats.org/drawingml/2006/main" xmlns:pic="http://schemas.openxmlformats.org/drawingml/2006/picture">
            <wp:extent cx="5806440" cy="2870911"/>
            <wp:docPr id="4" name="Picture 4"/>
            <wp:cNvGraphicFramePr>
              <a:graphicFrameLocks noChangeAspect="1"/>
            </wp:cNvGraphicFramePr>
            <a:graphic>
              <a:graphicData uri="http://schemas.openxmlformats.org/drawingml/2006/picture">
                <pic:pic>
                  <pic:nvPicPr>
                    <pic:cNvPr id="0" name="04-self-service-step-3-branding.png"/>
                    <pic:cNvPicPr/>
                  </pic:nvPicPr>
                  <pic:blipFill>
                    <a:blip r:embed="rId13"/>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4. Self-service step 3 Branding showing logo placement and branding configuration stage.</w:t>
      </w:r>
    </w:p>
    <w:p>
      <w:r>
        <w:br w:type="page"/>
      </w:r>
    </w:p>
    <w:p>
      <w:pPr>
        <w:jc w:val="center"/>
      </w:pPr>
      <w:r>
        <w:drawing>
          <wp:inline xmlns:a="http://schemas.openxmlformats.org/drawingml/2006/main" xmlns:pic="http://schemas.openxmlformats.org/drawingml/2006/picture">
            <wp:extent cx="5806440" cy="2870911"/>
            <wp:docPr id="5" name="Picture 5"/>
            <wp:cNvGraphicFramePr>
              <a:graphicFrameLocks noChangeAspect="1"/>
            </wp:cNvGraphicFramePr>
            <a:graphic>
              <a:graphicData uri="http://schemas.openxmlformats.org/drawingml/2006/picture">
                <pic:pic>
                  <pic:nvPicPr>
                    <pic:cNvPr id="0" name="05-self-service-step-4-sizes.png"/>
                    <pic:cNvPicPr/>
                  </pic:nvPicPr>
                  <pic:blipFill>
                    <a:blip r:embed="rId14"/>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5. Self-service step 4 Employee Sizes showing the employee size-list stage.</w:t>
      </w:r>
    </w:p>
    <w:p>
      <w:pPr>
        <w:jc w:val="center"/>
      </w:pPr>
      <w:r>
        <w:drawing>
          <wp:inline xmlns:a="http://schemas.openxmlformats.org/drawingml/2006/main" xmlns:pic="http://schemas.openxmlformats.org/drawingml/2006/picture">
            <wp:extent cx="5806440" cy="2870911"/>
            <wp:docPr id="6" name="Picture 6"/>
            <wp:cNvGraphicFramePr>
              <a:graphicFrameLocks noChangeAspect="1"/>
            </wp:cNvGraphicFramePr>
            <a:graphic>
              <a:graphicData uri="http://schemas.openxmlformats.org/drawingml/2006/picture">
                <pic:pic>
                  <pic:nvPicPr>
                    <pic:cNvPr id="0" name="06-self-service-step-5-summary.png"/>
                    <pic:cNvPicPr/>
                  </pic:nvPicPr>
                  <pic:blipFill>
                    <a:blip r:embed="rId15"/>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6. Self-service step 5 Summary showing the final order review stage.</w:t>
      </w:r>
    </w:p>
    <w:p>
      <w:r>
        <w:br w:type="page"/>
      </w:r>
    </w:p>
    <w:p>
      <w:pPr>
        <w:jc w:val="center"/>
      </w:pPr>
      <w:r>
        <w:drawing>
          <wp:inline xmlns:a="http://schemas.openxmlformats.org/drawingml/2006/main" xmlns:pic="http://schemas.openxmlformats.org/drawingml/2006/picture">
            <wp:extent cx="5806440" cy="2870911"/>
            <wp:docPr id="7" name="Picture 7"/>
            <wp:cNvGraphicFramePr>
              <a:graphicFrameLocks noChangeAspect="1"/>
            </wp:cNvGraphicFramePr>
            <a:graphic>
              <a:graphicData uri="http://schemas.openxmlformats.org/drawingml/2006/picture">
                <pic:pic>
                  <pic:nvPicPr>
                    <pic:cNvPr id="0" name="07-rfq-request-form.png"/>
                    <pic:cNvPicPr/>
                  </pic:nvPicPr>
                  <pic:blipFill>
                    <a:blip r:embed="rId16"/>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7. Request custom quote form showing Company and Contact Details, Order Requirements, Procurement Preferences, Requirement Description, Supporting Files, and next-step timeline.</w:t>
      </w:r>
    </w:p>
    <w:p>
      <w:pPr>
        <w:jc w:val="center"/>
      </w:pPr>
      <w:r>
        <w:drawing>
          <wp:inline xmlns:a="http://schemas.openxmlformats.org/drawingml/2006/main" xmlns:pic="http://schemas.openxmlformats.org/drawingml/2006/picture">
            <wp:extent cx="5806440" cy="2870911"/>
            <wp:docPr id="8" name="Picture 8"/>
            <wp:cNvGraphicFramePr>
              <a:graphicFrameLocks noChangeAspect="1"/>
            </wp:cNvGraphicFramePr>
            <a:graphic>
              <a:graphicData uri="http://schemas.openxmlformats.org/drawingml/2006/picture">
                <pic:pic>
                  <pic:nvPicPr>
                    <pic:cNvPr id="0" name="08-corporate-dashboard.png"/>
                    <pic:cNvPicPr/>
                  </pic:nvPicPr>
                  <pic:blipFill>
                    <a:blip r:embed="rId17"/>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8. Corporate dashboard showing Self-Service Ordering, Request a Custom Quote, Company Profile, and Next Steps panels.</w:t>
      </w:r>
    </w:p>
    <w:p>
      <w:r>
        <w:br w:type="page"/>
      </w:r>
    </w:p>
    <w:p>
      <w:pPr>
        <w:pStyle w:val="Heading2"/>
        <w:keepNext/>
      </w:pPr>
      <w:r>
        <w:t>5.2 Admin UI screenshots</w:t>
      </w:r>
    </w:p>
    <w:p>
      <w:pPr>
        <w:spacing w:after="120" w:line="269" w:lineRule="auto"/>
      </w:pPr>
      <w:r>
        <w:t>The following screenshots were captured from the current admin corporate-order workspaces using the same local development session.</w:t>
      </w:r>
    </w:p>
    <w:p>
      <w:pPr>
        <w:jc w:val="center"/>
      </w:pPr>
      <w:r>
        <w:drawing>
          <wp:inline xmlns:a="http://schemas.openxmlformats.org/drawingml/2006/main" xmlns:pic="http://schemas.openxmlformats.org/drawingml/2006/picture">
            <wp:extent cx="5806440" cy="2870911"/>
            <wp:docPr id="9" name="Picture 9"/>
            <wp:cNvGraphicFramePr>
              <a:graphicFrameLocks noChangeAspect="1"/>
            </wp:cNvGraphicFramePr>
            <a:graphic>
              <a:graphicData uri="http://schemas.openxmlformats.org/drawingml/2006/picture">
                <pic:pic>
                  <pic:nvPicPr>
                    <pic:cNvPr id="0" name="09-admin-corporate-hub.png"/>
                    <pic:cNvPicPr/>
                  </pic:nvPicPr>
                  <pic:blipFill>
                    <a:blip r:embed="rId18"/>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9. Admin Corporate Hub showing Command Center, Requests (RFQs), Finance &amp; POs, Task Control, Reports, Executive View, and current status counters.</w:t>
      </w:r>
    </w:p>
    <w:p>
      <w:pPr>
        <w:jc w:val="center"/>
      </w:pPr>
      <w:r>
        <w:drawing>
          <wp:inline xmlns:a="http://schemas.openxmlformats.org/drawingml/2006/main" xmlns:pic="http://schemas.openxmlformats.org/drawingml/2006/picture">
            <wp:extent cx="5806440" cy="2870911"/>
            <wp:docPr id="10" name="Picture 10"/>
            <wp:cNvGraphicFramePr>
              <a:graphicFrameLocks noChangeAspect="1"/>
            </wp:cNvGraphicFramePr>
            <a:graphic>
              <a:graphicData uri="http://schemas.openxmlformats.org/drawingml/2006/picture">
                <pic:pic>
                  <pic:nvPicPr>
                    <pic:cNvPr id="0" name="13-admin-corporate-orders-table.png"/>
                    <pic:cNvPicPr/>
                  </pic:nvPicPr>
                  <pic:blipFill>
                    <a:blip r:embed="rId19"/>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10. Admin Corporate Orders table showing search, status filters, order type filter, quantities, order values, advance, balance, statuses, invoice download, and shipment actions.</w:t>
      </w:r>
    </w:p>
    <w:p>
      <w:r>
        <w:br w:type="page"/>
      </w:r>
    </w:p>
    <w:p>
      <w:pPr>
        <w:jc w:val="center"/>
      </w:pPr>
      <w:r>
        <w:drawing>
          <wp:inline xmlns:a="http://schemas.openxmlformats.org/drawingml/2006/main" xmlns:pic="http://schemas.openxmlformats.org/drawingml/2006/picture">
            <wp:extent cx="5806440" cy="2870911"/>
            <wp:docPr id="11" name="Picture 11"/>
            <wp:cNvGraphicFramePr>
              <a:graphicFrameLocks noChangeAspect="1"/>
            </wp:cNvGraphicFramePr>
            <a:graphic>
              <a:graphicData uri="http://schemas.openxmlformats.org/drawingml/2006/picture">
                <pic:pic>
                  <pic:nvPicPr>
                    <pic:cNvPr id="0" name="14-admin-order-detail-overview.png"/>
                    <pic:cNvPicPr/>
                  </pic:nvPicPr>
                  <pic:blipFill>
                    <a:blip r:embed="rId20"/>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11. Admin order detail Overview showing corporate order status, payment status, order value, company and delivery data, supplier brand assignment, and commercial summary.</w:t>
      </w:r>
    </w:p>
    <w:p>
      <w:pPr>
        <w:jc w:val="center"/>
      </w:pPr>
      <w:r>
        <w:drawing>
          <wp:inline xmlns:a="http://schemas.openxmlformats.org/drawingml/2006/main" xmlns:pic="http://schemas.openxmlformats.org/drawingml/2006/picture">
            <wp:extent cx="5806440" cy="2870911"/>
            <wp:docPr id="12" name="Picture 12"/>
            <wp:cNvGraphicFramePr>
              <a:graphicFrameLocks noChangeAspect="1"/>
            </wp:cNvGraphicFramePr>
            <a:graphic>
              <a:graphicData uri="http://schemas.openxmlformats.org/drawingml/2006/picture">
                <pic:pic>
                  <pic:nvPicPr>
                    <pic:cNvPr id="0" name="15-admin-order-detail-documents.png"/>
                    <pic:cNvPicPr/>
                  </pic:nvPicPr>
                  <pic:blipFill>
                    <a:blip r:embed="rId21"/>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12. Admin order detail Documents tab showing the order document workspace.</w:t>
      </w:r>
    </w:p>
    <w:p>
      <w:r>
        <w:br w:type="page"/>
      </w:r>
    </w:p>
    <w:p>
      <w:pPr>
        <w:jc w:val="center"/>
      </w:pPr>
      <w:r>
        <w:drawing>
          <wp:inline xmlns:a="http://schemas.openxmlformats.org/drawingml/2006/main" xmlns:pic="http://schemas.openxmlformats.org/drawingml/2006/picture">
            <wp:extent cx="5806440" cy="2870911"/>
            <wp:docPr id="13" name="Picture 13"/>
            <wp:cNvGraphicFramePr>
              <a:graphicFrameLocks noChangeAspect="1"/>
            </wp:cNvGraphicFramePr>
            <a:graphic>
              <a:graphicData uri="http://schemas.openxmlformats.org/drawingml/2006/picture">
                <pic:pic>
                  <pic:nvPicPr>
                    <pic:cNvPr id="0" name="16-admin-order-detail-payments.png"/>
                    <pic:cNvPicPr/>
                  </pic:nvPicPr>
                  <pic:blipFill>
                    <a:blip r:embed="rId22"/>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13. Admin order detail Payments tab showing payment information and payment actions.</w:t>
      </w:r>
    </w:p>
    <w:p>
      <w:pPr>
        <w:jc w:val="center"/>
      </w:pPr>
      <w:r>
        <w:drawing>
          <wp:inline xmlns:a="http://schemas.openxmlformats.org/drawingml/2006/main" xmlns:pic="http://schemas.openxmlformats.org/drawingml/2006/picture">
            <wp:extent cx="5806440" cy="2870911"/>
            <wp:docPr id="14" name="Picture 14"/>
            <wp:cNvGraphicFramePr>
              <a:graphicFrameLocks noChangeAspect="1"/>
            </wp:cNvGraphicFramePr>
            <a:graphic>
              <a:graphicData uri="http://schemas.openxmlformats.org/drawingml/2006/picture">
                <pic:pic>
                  <pic:nvPicPr>
                    <pic:cNvPr id="0" name="17-admin-order-detail-activity.png"/>
                    <pic:cNvPicPr/>
                  </pic:nvPicPr>
                  <pic:blipFill>
                    <a:blip r:embed="rId23"/>
                    <a:stretch>
                      <a:fillRect/>
                    </a:stretch>
                  </pic:blipFill>
                  <pic:spPr>
                    <a:xfrm>
                      <a:off x="0" y="0"/>
                      <a:ext cx="5806440" cy="2870911"/>
                    </a:xfrm>
                    <a:prstGeom prst="rect"/>
                  </pic:spPr>
                </pic:pic>
              </a:graphicData>
            </a:graphic>
          </wp:inline>
        </w:drawing>
      </w:r>
    </w:p>
    <w:p>
      <w:pPr>
        <w:spacing w:before="40" w:after="200"/>
        <w:jc w:val="center"/>
      </w:pPr>
      <w:r>
        <w:rPr>
          <w:i/>
          <w:color w:val="5F6B7A"/>
          <w:sz w:val="16"/>
        </w:rPr>
        <w:t>Figure 14. Admin order detail Activity tab showing the order activity and status history workspace.</w:t>
      </w:r>
    </w:p>
    <w:p>
      <w:r>
        <w:br w:type="page"/>
      </w:r>
    </w:p>
    <w:p>
      <w:pPr>
        <w:pStyle w:val="Heading2"/>
        <w:keepNext/>
      </w:pPr>
      <w:r>
        <w:t>5.3 Corporate document screenshots</w:t>
      </w:r>
    </w:p>
    <w:p>
      <w:pPr>
        <w:jc w:val="center"/>
      </w:pPr>
      <w:r>
        <w:drawing>
          <wp:inline xmlns:a="http://schemas.openxmlformats.org/drawingml/2006/main" xmlns:pic="http://schemas.openxmlformats.org/drawingml/2006/picture">
            <wp:extent cx="5074920" cy="7177630"/>
            <wp:docPr id="15" name="Picture 15"/>
            <wp:cNvGraphicFramePr>
              <a:graphicFrameLocks noChangeAspect="1"/>
            </wp:cNvGraphicFramePr>
            <a:graphic>
              <a:graphicData uri="http://schemas.openxmlformats.org/drawingml/2006/picture">
                <pic:pic>
                  <pic:nvPicPr>
                    <pic:cNvPr id="0" name="corporate-order-summary.png"/>
                    <pic:cNvPicPr/>
                  </pic:nvPicPr>
                  <pic:blipFill>
                    <a:blip r:embed="rId24"/>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15. Corporate order summary showing company information, garment configuration, branding/extras, order value, advance paid, and balance due.</w:t>
      </w:r>
    </w:p>
    <w:p>
      <w:pPr>
        <w:jc w:val="center"/>
      </w:pPr>
      <w:r>
        <w:drawing>
          <wp:inline xmlns:a="http://schemas.openxmlformats.org/drawingml/2006/main" xmlns:pic="http://schemas.openxmlformats.org/drawingml/2006/picture">
            <wp:extent cx="5074920" cy="7177630"/>
            <wp:docPr id="16" name="Picture 16"/>
            <wp:cNvGraphicFramePr>
              <a:graphicFrameLocks noChangeAspect="1"/>
            </wp:cNvGraphicFramePr>
            <a:graphic>
              <a:graphicData uri="http://schemas.openxmlformats.org/drawingml/2006/picture">
                <pic:pic>
                  <pic:nvPicPr>
                    <pic:cNvPr id="0" name="corporate-proforma-invoice-preview.png"/>
                    <pic:cNvPicPr/>
                  </pic:nvPicPr>
                  <pic:blipFill>
                    <a:blip r:embed="rId25"/>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16. Proforma invoice showing buyer/seller, quote reference, taxable value, GST, advance terms, and validity.</w:t>
      </w:r>
    </w:p>
    <w:p>
      <w:r>
        <w:br w:type="page"/>
      </w:r>
    </w:p>
    <w:p>
      <w:pPr>
        <w:jc w:val="center"/>
      </w:pPr>
      <w:r>
        <w:drawing>
          <wp:inline xmlns:a="http://schemas.openxmlformats.org/drawingml/2006/main" xmlns:pic="http://schemas.openxmlformats.org/drawingml/2006/picture">
            <wp:extent cx="5074920" cy="7177630"/>
            <wp:docPr id="17" name="Picture 17"/>
            <wp:cNvGraphicFramePr>
              <a:graphicFrameLocks noChangeAspect="1"/>
            </wp:cNvGraphicFramePr>
            <a:graphic>
              <a:graphicData uri="http://schemas.openxmlformats.org/drawingml/2006/picture">
                <pic:pic>
                  <pic:nvPicPr>
                    <pic:cNvPr id="0" name="corporate-renivet-purchase-order-preview.png"/>
                    <pic:cNvPicPr/>
                  </pic:nvPicPr>
                  <pic:blipFill>
                    <a:blip r:embed="rId26"/>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17. Renivet purchase order showing buyer, supplier, corporate order, customer PO, delivery mode, item, tax, and terms.</w:t>
      </w:r>
    </w:p>
    <w:p>
      <w:pPr>
        <w:jc w:val="center"/>
      </w:pPr>
      <w:r>
        <w:drawing>
          <wp:inline xmlns:a="http://schemas.openxmlformats.org/drawingml/2006/main" xmlns:pic="http://schemas.openxmlformats.org/drawingml/2006/picture">
            <wp:extent cx="5074920" cy="7177630"/>
            <wp:docPr id="18" name="Picture 18"/>
            <wp:cNvGraphicFramePr>
              <a:graphicFrameLocks noChangeAspect="1"/>
            </wp:cNvGraphicFramePr>
            <a:graphic>
              <a:graphicData uri="http://schemas.openxmlformats.org/drawingml/2006/picture">
                <pic:pic>
                  <pic:nvPicPr>
                    <pic:cNvPr id="0" name="corporate-receipt-voucher-preview.png"/>
                    <pic:cNvPicPr/>
                  </pic:nvPicPr>
                  <pic:blipFill>
                    <a:blip r:embed="rId27"/>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18. Receipt voucher showing advance received, payment reference, GST treatment, receipt total, and bank details.</w:t>
      </w:r>
    </w:p>
    <w:p>
      <w:r>
        <w:br w:type="page"/>
      </w:r>
    </w:p>
    <w:p>
      <w:pPr>
        <w:jc w:val="center"/>
      </w:pPr>
      <w:r>
        <w:drawing>
          <wp:inline xmlns:a="http://schemas.openxmlformats.org/drawingml/2006/main" xmlns:pic="http://schemas.openxmlformats.org/drawingml/2006/picture">
            <wp:extent cx="5074920" cy="7177630"/>
            <wp:docPr id="19" name="Picture 19"/>
            <wp:cNvGraphicFramePr>
              <a:graphicFrameLocks noChangeAspect="1"/>
            </wp:cNvGraphicFramePr>
            <a:graphic>
              <a:graphicData uri="http://schemas.openxmlformats.org/drawingml/2006/picture">
                <pic:pic>
                  <pic:nvPicPr>
                    <pic:cNvPr id="0" name="corporate-delivery-challan-preview.png"/>
                    <pic:cNvPicPr/>
                  </pic:nvPicPr>
                  <pic:blipFill>
                    <a:blip r:embed="rId28"/>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19. Delivery challan showing consignor, consignee, Renivet PO, e-way bill reference, goods movement, and terms.</w:t>
      </w:r>
    </w:p>
    <w:p>
      <w:pPr>
        <w:jc w:val="center"/>
      </w:pPr>
      <w:r>
        <w:drawing>
          <wp:inline xmlns:a="http://schemas.openxmlformats.org/drawingml/2006/main" xmlns:pic="http://schemas.openxmlformats.org/drawingml/2006/picture">
            <wp:extent cx="5074920" cy="7177630"/>
            <wp:docPr id="20" name="Picture 20"/>
            <wp:cNvGraphicFramePr>
              <a:graphicFrameLocks noChangeAspect="1"/>
            </wp:cNvGraphicFramePr>
            <a:graphic>
              <a:graphicData uri="http://schemas.openxmlformats.org/drawingml/2006/picture">
                <pic:pic>
                  <pic:nvPicPr>
                    <pic:cNvPr id="0" name="corporate-settlement-statement-preview.png"/>
                    <pic:cNvPicPr/>
                  </pic:nvPicPr>
                  <pic:blipFill>
                    <a:blip r:embed="rId29"/>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20. Settlement statement showing gross collection, embedded GST, platform commission, GST on commission, TCS, TDS, and net remittance.</w:t>
      </w:r>
    </w:p>
    <w:p>
      <w:r>
        <w:br w:type="page"/>
      </w:r>
    </w:p>
    <w:p>
      <w:pPr>
        <w:jc w:val="center"/>
      </w:pPr>
      <w:r>
        <w:drawing>
          <wp:inline xmlns:a="http://schemas.openxmlformats.org/drawingml/2006/main" xmlns:pic="http://schemas.openxmlformats.org/drawingml/2006/picture">
            <wp:extent cx="5074920" cy="7177630"/>
            <wp:docPr id="21" name="Picture 21"/>
            <wp:cNvGraphicFramePr>
              <a:graphicFrameLocks noChangeAspect="1"/>
            </wp:cNvGraphicFramePr>
            <a:graphic>
              <a:graphicData uri="http://schemas.openxmlformats.org/drawingml/2006/picture">
                <pic:pic>
                  <pic:nvPicPr>
                    <pic:cNvPr id="0" name="corporate-full-payment-invoice-preview.png"/>
                    <pic:cNvPicPr/>
                  </pic:nvPicPr>
                  <pic:blipFill>
                    <a:blip r:embed="rId30"/>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21. Customer tax invoice marked paid in full, including advance received, balance due, place of supply, GST breakup, QR, and declarations.</w:t>
      </w:r>
    </w:p>
    <w:p>
      <w:pPr>
        <w:pStyle w:val="Heading1"/>
        <w:keepNext/>
      </w:pPr>
      <w:r>
        <w:t>6 Document chain and ownership</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033"/>
        <w:gridCol w:w="2033"/>
        <w:gridCol w:w="2033"/>
        <w:gridCol w:w="2033"/>
        <w:gridCol w:w="2033"/>
      </w:tblGrid>
      <w:tr>
        <w:trPr>
          <w:tblHeader/>
        </w:trPr>
        <w:tc>
          <w:tcPr>
            <w:tcW w:type="dxa" w:w="2033"/>
            <w:vAlign w:val="center"/>
            <w:shd w:fill="3F6045"/>
          </w:tcPr>
          <w:p>
            <w:pPr>
              <w:spacing w:after="40"/>
            </w:pPr>
            <w:r/>
            <w:r>
              <w:rPr>
                <w:rFonts w:ascii="Aptos" w:hAnsi="Aptos"/>
                <w:b/>
                <w:color w:val="FFFFFF"/>
                <w:sz w:val="17"/>
              </w:rPr>
              <w:t>Document</w:t>
            </w:r>
          </w:p>
        </w:tc>
        <w:tc>
          <w:tcPr>
            <w:tcW w:type="dxa" w:w="2033"/>
            <w:vAlign w:val="center"/>
            <w:shd w:fill="3F6045"/>
          </w:tcPr>
          <w:p>
            <w:pPr>
              <w:spacing w:after="40"/>
            </w:pPr>
            <w:r/>
            <w:r>
              <w:rPr>
                <w:rFonts w:ascii="Aptos" w:hAnsi="Aptos"/>
                <w:b/>
                <w:color w:val="FFFFFF"/>
                <w:sz w:val="17"/>
              </w:rPr>
              <w:t>Purpose</w:t>
            </w:r>
          </w:p>
        </w:tc>
        <w:tc>
          <w:tcPr>
            <w:tcW w:type="dxa" w:w="2033"/>
            <w:vAlign w:val="center"/>
            <w:shd w:fill="3F6045"/>
          </w:tcPr>
          <w:p>
            <w:pPr>
              <w:spacing w:after="40"/>
            </w:pPr>
            <w:r/>
            <w:r>
              <w:rPr>
                <w:rFonts w:ascii="Aptos" w:hAnsi="Aptos"/>
                <w:b/>
                <w:color w:val="FFFFFF"/>
                <w:sz w:val="17"/>
              </w:rPr>
              <w:t>Likely issuer</w:t>
            </w:r>
          </w:p>
        </w:tc>
        <w:tc>
          <w:tcPr>
            <w:tcW w:type="dxa" w:w="2033"/>
            <w:vAlign w:val="center"/>
            <w:shd w:fill="3F6045"/>
          </w:tcPr>
          <w:p>
            <w:pPr>
              <w:spacing w:after="40"/>
            </w:pPr>
            <w:r/>
            <w:r>
              <w:rPr>
                <w:rFonts w:ascii="Aptos" w:hAnsi="Aptos"/>
                <w:b/>
                <w:color w:val="FFFFFF"/>
                <w:sz w:val="17"/>
              </w:rPr>
              <w:t>Trigger or prerequisite</w:t>
            </w:r>
          </w:p>
        </w:tc>
        <w:tc>
          <w:tcPr>
            <w:tcW w:type="dxa" w:w="2033"/>
            <w:vAlign w:val="center"/>
            <w:shd w:fill="3F6045"/>
          </w:tcPr>
          <w:p>
            <w:pPr>
              <w:spacing w:after="40"/>
            </w:pPr>
            <w:r/>
            <w:r>
              <w:rPr>
                <w:rFonts w:ascii="Aptos" w:hAnsi="Aptos"/>
                <w:b/>
                <w:color w:val="FFFFFF"/>
                <w:sz w:val="17"/>
              </w:rPr>
              <w:t>Current evidence</w:t>
            </w:r>
          </w:p>
        </w:tc>
      </w:tr>
      <w:tr>
        <w:tc>
          <w:tcPr>
            <w:tcW w:type="dxa" w:w="2033"/>
            <w:vAlign w:val="center"/>
          </w:tcPr>
          <w:p>
            <w:pPr>
              <w:spacing w:after="40"/>
            </w:pPr>
            <w:r/>
            <w:r>
              <w:rPr>
                <w:rFonts w:ascii="Aptos" w:hAnsi="Aptos"/>
                <w:b w:val="0"/>
                <w:color w:val="172033"/>
                <w:sz w:val="17"/>
              </w:rPr>
              <w:t>Proforma invoice</w:t>
            </w:r>
          </w:p>
        </w:tc>
        <w:tc>
          <w:tcPr>
            <w:tcW w:type="dxa" w:w="2033"/>
            <w:vAlign w:val="center"/>
          </w:tcPr>
          <w:p>
            <w:pPr>
              <w:spacing w:after="40"/>
            </w:pPr>
            <w:r/>
            <w:r>
              <w:rPr>
                <w:rFonts w:ascii="Aptos" w:hAnsi="Aptos"/>
                <w:b w:val="0"/>
                <w:color w:val="172033"/>
                <w:sz w:val="17"/>
              </w:rPr>
              <w:t>Commercial proposal before supply; not a tax invoice</w:t>
            </w:r>
          </w:p>
        </w:tc>
        <w:tc>
          <w:tcPr>
            <w:tcW w:type="dxa" w:w="2033"/>
            <w:vAlign w:val="center"/>
          </w:tcPr>
          <w:p>
            <w:pPr>
              <w:spacing w:after="40"/>
            </w:pPr>
            <w:r/>
            <w:r>
              <w:rPr>
                <w:rFonts w:ascii="Aptos" w:hAnsi="Aptos"/>
                <w:b w:val="0"/>
                <w:color w:val="172033"/>
                <w:sz w:val="17"/>
              </w:rPr>
              <w:t>Renivet / corporate finance</w:t>
            </w:r>
          </w:p>
        </w:tc>
        <w:tc>
          <w:tcPr>
            <w:tcW w:type="dxa" w:w="2033"/>
            <w:vAlign w:val="center"/>
          </w:tcPr>
          <w:p>
            <w:pPr>
              <w:spacing w:after="40"/>
            </w:pPr>
            <w:r/>
            <w:r>
              <w:rPr>
                <w:rFonts w:ascii="Aptos" w:hAnsi="Aptos"/>
                <w:b w:val="0"/>
                <w:color w:val="172033"/>
                <w:sz w:val="17"/>
              </w:rPr>
              <w:t>Approved quote or advance/order setup</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Customer purchase order</w:t>
            </w:r>
          </w:p>
        </w:tc>
        <w:tc>
          <w:tcPr>
            <w:tcW w:type="dxa" w:w="2033"/>
            <w:vAlign w:val="center"/>
            <w:shd w:fill="F7F9F5"/>
          </w:tcPr>
          <w:p>
            <w:pPr>
              <w:spacing w:after="40"/>
            </w:pPr>
            <w:r/>
            <w:r>
              <w:rPr>
                <w:rFonts w:ascii="Aptos" w:hAnsi="Aptos"/>
                <w:b w:val="0"/>
                <w:color w:val="172033"/>
                <w:sz w:val="17"/>
              </w:rPr>
              <w:t>Buyer authorization and scope</w:t>
            </w:r>
          </w:p>
        </w:tc>
        <w:tc>
          <w:tcPr>
            <w:tcW w:type="dxa" w:w="2033"/>
            <w:vAlign w:val="center"/>
            <w:shd w:fill="F7F9F5"/>
          </w:tcPr>
          <w:p>
            <w:pPr>
              <w:spacing w:after="40"/>
            </w:pPr>
            <w:r/>
            <w:r>
              <w:rPr>
                <w:rFonts w:ascii="Aptos" w:hAnsi="Aptos"/>
                <w:b w:val="0"/>
                <w:color w:val="172033"/>
                <w:sz w:val="17"/>
              </w:rPr>
              <w:t>Corporate buyer</w:t>
            </w:r>
          </w:p>
        </w:tc>
        <w:tc>
          <w:tcPr>
            <w:tcW w:type="dxa" w:w="2033"/>
            <w:vAlign w:val="center"/>
            <w:shd w:fill="F7F9F5"/>
          </w:tcPr>
          <w:p>
            <w:pPr>
              <w:spacing w:after="40"/>
            </w:pPr>
            <w:r/>
            <w:r>
              <w:rPr>
                <w:rFonts w:ascii="Aptos" w:hAnsi="Aptos"/>
                <w:b w:val="0"/>
                <w:color w:val="172033"/>
                <w:sz w:val="17"/>
              </w:rPr>
              <w:t>Buyer chooses PO route</w:t>
            </w:r>
          </w:p>
        </w:tc>
        <w:tc>
          <w:tcPr>
            <w:tcW w:type="dxa" w:w="2033"/>
            <w:vAlign w:val="center"/>
            <w:shd w:fill="F7F9F5"/>
          </w:tcPr>
          <w:p>
            <w:pPr>
              <w:spacing w:after="40"/>
            </w:pPr>
            <w:r/>
            <w:r>
              <w:rPr>
                <w:rFonts w:ascii="Aptos" w:hAnsi="Aptos"/>
                <w:b w:val="0"/>
                <w:color w:val="172033"/>
                <w:sz w:val="17"/>
              </w:rPr>
              <w:t>Upload and admin creation paths present</w:t>
            </w:r>
          </w:p>
        </w:tc>
      </w:tr>
      <w:tr>
        <w:tc>
          <w:tcPr>
            <w:tcW w:type="dxa" w:w="2033"/>
            <w:vAlign w:val="center"/>
          </w:tcPr>
          <w:p>
            <w:pPr>
              <w:spacing w:after="40"/>
            </w:pPr>
            <w:r/>
            <w:r>
              <w:rPr>
                <w:rFonts w:ascii="Aptos" w:hAnsi="Aptos"/>
                <w:b w:val="0"/>
                <w:color w:val="172033"/>
                <w:sz w:val="17"/>
              </w:rPr>
              <w:t>Receipt voucher</w:t>
            </w:r>
          </w:p>
        </w:tc>
        <w:tc>
          <w:tcPr>
            <w:tcW w:type="dxa" w:w="2033"/>
            <w:vAlign w:val="center"/>
          </w:tcPr>
          <w:p>
            <w:pPr>
              <w:spacing w:after="40"/>
            </w:pPr>
            <w:r/>
            <w:r>
              <w:rPr>
                <w:rFonts w:ascii="Aptos" w:hAnsi="Aptos"/>
                <w:b w:val="0"/>
                <w:color w:val="172033"/>
                <w:sz w:val="17"/>
              </w:rPr>
              <w:t>Evidence of advance/payment received</w:t>
            </w:r>
          </w:p>
        </w:tc>
        <w:tc>
          <w:tcPr>
            <w:tcW w:type="dxa" w:w="2033"/>
            <w:vAlign w:val="center"/>
          </w:tcPr>
          <w:p>
            <w:pPr>
              <w:spacing w:after="40"/>
            </w:pPr>
            <w:r/>
            <w:r>
              <w:rPr>
                <w:rFonts w:ascii="Aptos" w:hAnsi="Aptos"/>
                <w:b w:val="0"/>
                <w:color w:val="172033"/>
                <w:sz w:val="17"/>
              </w:rPr>
              <w:t>Renivet</w:t>
            </w:r>
          </w:p>
        </w:tc>
        <w:tc>
          <w:tcPr>
            <w:tcW w:type="dxa" w:w="2033"/>
            <w:vAlign w:val="center"/>
          </w:tcPr>
          <w:p>
            <w:pPr>
              <w:spacing w:after="40"/>
            </w:pPr>
            <w:r/>
            <w:r>
              <w:rPr>
                <w:rFonts w:ascii="Aptos" w:hAnsi="Aptos"/>
                <w:b w:val="0"/>
                <w:color w:val="172033"/>
                <w:sz w:val="17"/>
              </w:rPr>
              <w:t>Payment confirmation</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Vendor purchase order</w:t>
            </w:r>
          </w:p>
        </w:tc>
        <w:tc>
          <w:tcPr>
            <w:tcW w:type="dxa" w:w="2033"/>
            <w:vAlign w:val="center"/>
            <w:shd w:fill="F7F9F5"/>
          </w:tcPr>
          <w:p>
            <w:pPr>
              <w:spacing w:after="40"/>
            </w:pPr>
            <w:r/>
            <w:r>
              <w:rPr>
                <w:rFonts w:ascii="Aptos" w:hAnsi="Aptos"/>
                <w:b w:val="0"/>
                <w:color w:val="172033"/>
                <w:sz w:val="17"/>
              </w:rPr>
              <w:t>Instruction to supplier brand</w:t>
            </w:r>
          </w:p>
        </w:tc>
        <w:tc>
          <w:tcPr>
            <w:tcW w:type="dxa" w:w="2033"/>
            <w:vAlign w:val="center"/>
            <w:shd w:fill="F7F9F5"/>
          </w:tcPr>
          <w:p>
            <w:pPr>
              <w:spacing w:after="40"/>
            </w:pPr>
            <w:r/>
            <w:r>
              <w:rPr>
                <w:rFonts w:ascii="Aptos" w:hAnsi="Aptos"/>
                <w:b w:val="0"/>
                <w:color w:val="172033"/>
                <w:sz w:val="17"/>
              </w:rPr>
              <w:t>Renivet</w:t>
            </w:r>
          </w:p>
        </w:tc>
        <w:tc>
          <w:tcPr>
            <w:tcW w:type="dxa" w:w="2033"/>
            <w:vAlign w:val="center"/>
            <w:shd w:fill="F7F9F5"/>
          </w:tcPr>
          <w:p>
            <w:pPr>
              <w:spacing w:after="40"/>
            </w:pPr>
            <w:r/>
            <w:r>
              <w:rPr>
                <w:rFonts w:ascii="Aptos" w:hAnsi="Aptos"/>
                <w:b w:val="0"/>
                <w:color w:val="172033"/>
                <w:sz w:val="17"/>
              </w:rPr>
              <w:t>Order release and supplier details</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Brand tax invoice</w:t>
            </w:r>
          </w:p>
        </w:tc>
        <w:tc>
          <w:tcPr>
            <w:tcW w:type="dxa" w:w="2033"/>
            <w:vAlign w:val="center"/>
          </w:tcPr>
          <w:p>
            <w:pPr>
              <w:spacing w:after="40"/>
            </w:pPr>
            <w:r/>
            <w:r>
              <w:rPr>
                <w:rFonts w:ascii="Aptos" w:hAnsi="Aptos"/>
                <w:b w:val="0"/>
                <w:color w:val="172033"/>
                <w:sz w:val="17"/>
              </w:rPr>
              <w:t>Supplier invoice into Renivet process</w:t>
            </w:r>
          </w:p>
        </w:tc>
        <w:tc>
          <w:tcPr>
            <w:tcW w:type="dxa" w:w="2033"/>
            <w:vAlign w:val="center"/>
          </w:tcPr>
          <w:p>
            <w:pPr>
              <w:spacing w:after="40"/>
            </w:pPr>
            <w:r/>
            <w:r>
              <w:rPr>
                <w:rFonts w:ascii="Aptos" w:hAnsi="Aptos"/>
                <w:b w:val="0"/>
                <w:color w:val="172033"/>
                <w:sz w:val="17"/>
              </w:rPr>
              <w:t>Supplier brand</w:t>
            </w:r>
          </w:p>
        </w:tc>
        <w:tc>
          <w:tcPr>
            <w:tcW w:type="dxa" w:w="2033"/>
            <w:vAlign w:val="center"/>
          </w:tcPr>
          <w:p>
            <w:pPr>
              <w:spacing w:after="40"/>
            </w:pPr>
            <w:r/>
            <w:r>
              <w:rPr>
                <w:rFonts w:ascii="Aptos" w:hAnsi="Aptos"/>
                <w:b w:val="0"/>
                <w:color w:val="172033"/>
                <w:sz w:val="17"/>
              </w:rPr>
              <w:t>Supplier fulfilment and invoice upload</w:t>
            </w:r>
          </w:p>
        </w:tc>
        <w:tc>
          <w:tcPr>
            <w:tcW w:type="dxa" w:w="2033"/>
            <w:vAlign w:val="center"/>
          </w:tcPr>
          <w:p>
            <w:pPr>
              <w:spacing w:after="40"/>
            </w:pPr>
            <w:r/>
            <w:r>
              <w:rPr>
                <w:rFonts w:ascii="Aptos" w:hAnsi="Aptos"/>
                <w:b w:val="0"/>
                <w:color w:val="172033"/>
                <w:sz w:val="17"/>
              </w:rPr>
              <w:t>Review and validation form present</w:t>
            </w:r>
          </w:p>
        </w:tc>
      </w:tr>
      <w:tr>
        <w:tc>
          <w:tcPr>
            <w:tcW w:type="dxa" w:w="2033"/>
            <w:vAlign w:val="center"/>
            <w:shd w:fill="F7F9F5"/>
          </w:tcPr>
          <w:p>
            <w:pPr>
              <w:spacing w:after="40"/>
            </w:pPr>
            <w:r/>
            <w:r>
              <w:rPr>
                <w:rFonts w:ascii="Aptos" w:hAnsi="Aptos"/>
                <w:b w:val="0"/>
                <w:color w:val="172033"/>
                <w:sz w:val="17"/>
              </w:rPr>
              <w:t>Delivery challan</w:t>
            </w:r>
          </w:p>
        </w:tc>
        <w:tc>
          <w:tcPr>
            <w:tcW w:type="dxa" w:w="2033"/>
            <w:vAlign w:val="center"/>
            <w:shd w:fill="F7F9F5"/>
          </w:tcPr>
          <w:p>
            <w:pPr>
              <w:spacing w:after="40"/>
            </w:pPr>
            <w:r/>
            <w:r>
              <w:rPr>
                <w:rFonts w:ascii="Aptos" w:hAnsi="Aptos"/>
                <w:b w:val="0"/>
                <w:color w:val="172033"/>
                <w:sz w:val="17"/>
              </w:rPr>
              <w:t>Goods movement document for direct fulfilment</w:t>
            </w:r>
          </w:p>
        </w:tc>
        <w:tc>
          <w:tcPr>
            <w:tcW w:type="dxa" w:w="2033"/>
            <w:vAlign w:val="center"/>
            <w:shd w:fill="F7F9F5"/>
          </w:tcPr>
          <w:p>
            <w:pPr>
              <w:spacing w:after="40"/>
            </w:pPr>
            <w:r/>
            <w:r>
              <w:rPr>
                <w:rFonts w:ascii="Aptos" w:hAnsi="Aptos"/>
                <w:b w:val="0"/>
                <w:color w:val="172033"/>
                <w:sz w:val="17"/>
              </w:rPr>
              <w:t>Renivet / operations</w:t>
            </w:r>
          </w:p>
        </w:tc>
        <w:tc>
          <w:tcPr>
            <w:tcW w:type="dxa" w:w="2033"/>
            <w:vAlign w:val="center"/>
            <w:shd w:fill="F7F9F5"/>
          </w:tcPr>
          <w:p>
            <w:pPr>
              <w:spacing w:after="40"/>
            </w:pPr>
            <w:r/>
            <w:r>
              <w:rPr>
                <w:rFonts w:ascii="Aptos" w:hAnsi="Aptos"/>
                <w:b w:val="0"/>
                <w:color w:val="172033"/>
                <w:sz w:val="17"/>
              </w:rPr>
              <w:t>Dispatch route requires goods-movement document</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Customer tax invoice</w:t>
            </w:r>
          </w:p>
        </w:tc>
        <w:tc>
          <w:tcPr>
            <w:tcW w:type="dxa" w:w="2033"/>
            <w:vAlign w:val="center"/>
          </w:tcPr>
          <w:p>
            <w:pPr>
              <w:spacing w:after="40"/>
            </w:pPr>
            <w:r/>
            <w:r>
              <w:rPr>
                <w:rFonts w:ascii="Aptos" w:hAnsi="Aptos"/>
                <w:b w:val="0"/>
                <w:color w:val="172033"/>
                <w:sz w:val="17"/>
              </w:rPr>
              <w:t>Final customer tax invoice</w:t>
            </w:r>
          </w:p>
        </w:tc>
        <w:tc>
          <w:tcPr>
            <w:tcW w:type="dxa" w:w="2033"/>
            <w:vAlign w:val="center"/>
          </w:tcPr>
          <w:p>
            <w:pPr>
              <w:spacing w:after="40"/>
            </w:pPr>
            <w:r/>
            <w:r>
              <w:rPr>
                <w:rFonts w:ascii="Aptos" w:hAnsi="Aptos"/>
                <w:b w:val="0"/>
                <w:color w:val="172033"/>
                <w:sz w:val="17"/>
              </w:rPr>
              <w:t>Supplier brand or Renivet depending configured flow</w:t>
            </w:r>
          </w:p>
        </w:tc>
        <w:tc>
          <w:tcPr>
            <w:tcW w:type="dxa" w:w="2033"/>
            <w:vAlign w:val="center"/>
          </w:tcPr>
          <w:p>
            <w:pPr>
              <w:spacing w:after="40"/>
            </w:pPr>
            <w:r/>
            <w:r>
              <w:rPr>
                <w:rFonts w:ascii="Aptos" w:hAnsi="Aptos"/>
                <w:b w:val="0"/>
                <w:color w:val="172033"/>
                <w:sz w:val="17"/>
              </w:rPr>
              <w:t>Supply/invoice issuance condition</w:t>
            </w:r>
          </w:p>
        </w:tc>
        <w:tc>
          <w:tcPr>
            <w:tcW w:type="dxa" w:w="2033"/>
            <w:vAlign w:val="center"/>
          </w:tcPr>
          <w:p>
            <w:pPr>
              <w:spacing w:after="40"/>
            </w:pPr>
            <w:r/>
            <w:r>
              <w:rPr>
                <w:rFonts w:ascii="Aptos" w:hAnsi="Aptos"/>
                <w:b w:val="0"/>
                <w:color w:val="172033"/>
                <w:sz w:val="17"/>
              </w:rPr>
              <w:t>Paid-in-full and tax invoice previews available</w:t>
            </w:r>
          </w:p>
        </w:tc>
      </w:tr>
      <w:tr>
        <w:tc>
          <w:tcPr>
            <w:tcW w:type="dxa" w:w="2033"/>
            <w:vAlign w:val="center"/>
            <w:shd w:fill="F7F9F5"/>
          </w:tcPr>
          <w:p>
            <w:pPr>
              <w:spacing w:after="40"/>
            </w:pPr>
            <w:r/>
            <w:r>
              <w:rPr>
                <w:rFonts w:ascii="Aptos" w:hAnsi="Aptos"/>
                <w:b w:val="0"/>
                <w:color w:val="172033"/>
                <w:sz w:val="17"/>
              </w:rPr>
              <w:t>Settlement statement</w:t>
            </w:r>
          </w:p>
        </w:tc>
        <w:tc>
          <w:tcPr>
            <w:tcW w:type="dxa" w:w="2033"/>
            <w:vAlign w:val="center"/>
            <w:shd w:fill="F7F9F5"/>
          </w:tcPr>
          <w:p>
            <w:pPr>
              <w:spacing w:after="40"/>
            </w:pPr>
            <w:r/>
            <w:r>
              <w:rPr>
                <w:rFonts w:ascii="Aptos" w:hAnsi="Aptos"/>
                <w:b w:val="0"/>
                <w:color w:val="172033"/>
                <w:sz w:val="17"/>
              </w:rPr>
              <w:t>Supplier payout and deduction reconciliation</w:t>
            </w:r>
          </w:p>
        </w:tc>
        <w:tc>
          <w:tcPr>
            <w:tcW w:type="dxa" w:w="2033"/>
            <w:vAlign w:val="center"/>
            <w:shd w:fill="F7F9F5"/>
          </w:tcPr>
          <w:p>
            <w:pPr>
              <w:spacing w:after="40"/>
            </w:pPr>
            <w:r/>
            <w:r>
              <w:rPr>
                <w:rFonts w:ascii="Aptos" w:hAnsi="Aptos"/>
                <w:b w:val="0"/>
                <w:color w:val="172033"/>
                <w:sz w:val="17"/>
              </w:rPr>
              <w:t>Renivet finance</w:t>
            </w:r>
          </w:p>
        </w:tc>
        <w:tc>
          <w:tcPr>
            <w:tcW w:type="dxa" w:w="2033"/>
            <w:vAlign w:val="center"/>
            <w:shd w:fill="F7F9F5"/>
          </w:tcPr>
          <w:p>
            <w:pPr>
              <w:spacing w:after="40"/>
            </w:pPr>
            <w:r/>
            <w:r>
              <w:rPr>
                <w:rFonts w:ascii="Aptos" w:hAnsi="Aptos"/>
                <w:b w:val="0"/>
                <w:color w:val="172033"/>
                <w:sz w:val="17"/>
              </w:rPr>
              <w:t>Delivery/final billing and settlement checks</w:t>
            </w:r>
          </w:p>
        </w:tc>
        <w:tc>
          <w:tcPr>
            <w:tcW w:type="dxa" w:w="2033"/>
            <w:vAlign w:val="center"/>
            <w:shd w:fill="F7F9F5"/>
          </w:tcPr>
          <w:p>
            <w:pPr>
              <w:spacing w:after="40"/>
            </w:pPr>
            <w:r/>
            <w:r>
              <w:rPr>
                <w:rFonts w:ascii="Aptos" w:hAnsi="Aptos"/>
                <w:b w:val="0"/>
                <w:color w:val="172033"/>
                <w:sz w:val="17"/>
              </w:rPr>
              <w:t>Rendered preview available</w:t>
            </w:r>
          </w:p>
        </w:tc>
      </w:tr>
    </w:tbl>
    <w:p>
      <w:pPr>
        <w:spacing w:after="40"/>
      </w:pPr>
    </w:p>
    <w:p>
      <w:r>
        <w:br w:type="page"/>
      </w:r>
    </w:p>
    <w:p>
      <w:pPr>
        <w:pStyle w:val="Heading1"/>
        <w:keepNext/>
      </w:pPr>
      <w:r>
        <w:t>7 Current order states and statuses</w:t>
      </w:r>
    </w:p>
    <w:p>
      <w:pPr>
        <w:spacing w:after="120" w:line="269" w:lineRule="auto"/>
      </w:pPr>
      <w:r>
        <w:t>The corporate order record is used after the commercial setup is completed. The current UI exposes status, payment status, order value, advance paid, balance due, payment ledger, quality control, shipment, and document-chain information.</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Current area</w:t>
            </w:r>
          </w:p>
        </w:tc>
        <w:tc>
          <w:tcPr>
            <w:tcW w:type="dxa" w:w="5083"/>
            <w:vAlign w:val="center"/>
            <w:shd w:fill="3F6045"/>
          </w:tcPr>
          <w:p>
            <w:pPr>
              <w:spacing w:after="40"/>
            </w:pPr>
            <w:r/>
            <w:r>
              <w:rPr>
                <w:rFonts w:ascii="Aptos" w:hAnsi="Aptos"/>
                <w:b/>
                <w:color w:val="FFFFFF"/>
                <w:sz w:val="17"/>
              </w:rPr>
              <w:t>Statuses or values shown in the current UI</w:t>
            </w:r>
          </w:p>
        </w:tc>
      </w:tr>
      <w:tr>
        <w:tc>
          <w:tcPr>
            <w:tcW w:type="dxa" w:w="5083"/>
            <w:vAlign w:val="center"/>
          </w:tcPr>
          <w:p>
            <w:pPr>
              <w:spacing w:after="40"/>
            </w:pPr>
            <w:r/>
            <w:r>
              <w:rPr>
                <w:rFonts w:ascii="Aptos" w:hAnsi="Aptos"/>
                <w:b w:val="0"/>
                <w:color w:val="172033"/>
                <w:sz w:val="17"/>
              </w:rPr>
              <w:t>Commercial</w:t>
            </w:r>
          </w:p>
        </w:tc>
        <w:tc>
          <w:tcPr>
            <w:tcW w:type="dxa" w:w="5083"/>
            <w:vAlign w:val="center"/>
          </w:tcPr>
          <w:p>
            <w:pPr>
              <w:spacing w:after="40"/>
            </w:pPr>
            <w:r/>
            <w:r>
              <w:rPr>
                <w:rFonts w:ascii="Aptos" w:hAnsi="Aptos"/>
                <w:b w:val="0"/>
                <w:color w:val="172033"/>
                <w:sz w:val="17"/>
              </w:rPr>
              <w:t>RFQ submitted, quote prepared, quote revision, quote approved, purchase order uploaded, order setup</w:t>
            </w:r>
          </w:p>
        </w:tc>
      </w:tr>
      <w:tr>
        <w:tc>
          <w:tcPr>
            <w:tcW w:type="dxa" w:w="5083"/>
            <w:vAlign w:val="center"/>
            <w:shd w:fill="F7F9F5"/>
          </w:tcPr>
          <w:p>
            <w:pPr>
              <w:spacing w:after="40"/>
            </w:pPr>
            <w:r/>
            <w:r>
              <w:rPr>
                <w:rFonts w:ascii="Aptos" w:hAnsi="Aptos"/>
                <w:b w:val="0"/>
                <w:color w:val="172033"/>
                <w:sz w:val="17"/>
              </w:rPr>
              <w:t>Payment</w:t>
            </w:r>
          </w:p>
        </w:tc>
        <w:tc>
          <w:tcPr>
            <w:tcW w:type="dxa" w:w="5083"/>
            <w:vAlign w:val="center"/>
            <w:shd w:fill="F7F9F5"/>
          </w:tcPr>
          <w:p>
            <w:pPr>
              <w:spacing w:after="40"/>
            </w:pPr>
            <w:r/>
            <w:r>
              <w:rPr>
                <w:rFonts w:ascii="Aptos" w:hAnsi="Aptos"/>
                <w:b w:val="0"/>
                <w:color w:val="172033"/>
                <w:sz w:val="17"/>
              </w:rPr>
              <w:t>Partial advance, full upfront, requested payment, paid, balance due, payment confirmation, receipt voucher</w:t>
            </w:r>
          </w:p>
        </w:tc>
      </w:tr>
      <w:tr>
        <w:tc>
          <w:tcPr>
            <w:tcW w:type="dxa" w:w="5083"/>
            <w:vAlign w:val="center"/>
          </w:tcPr>
          <w:p>
            <w:pPr>
              <w:spacing w:after="40"/>
            </w:pPr>
            <w:r/>
            <w:r>
              <w:rPr>
                <w:rFonts w:ascii="Aptos" w:hAnsi="Aptos"/>
                <w:b w:val="0"/>
                <w:color w:val="172033"/>
                <w:sz w:val="17"/>
              </w:rPr>
              <w:t>Operations</w:t>
            </w:r>
          </w:p>
        </w:tc>
        <w:tc>
          <w:tcPr>
            <w:tcW w:type="dxa" w:w="5083"/>
            <w:vAlign w:val="center"/>
          </w:tcPr>
          <w:p>
            <w:pPr>
              <w:spacing w:after="40"/>
            </w:pPr>
            <w:r/>
            <w:r>
              <w:rPr>
                <w:rFonts w:ascii="Aptos" w:hAnsi="Aptos"/>
                <w:b w:val="0"/>
                <w:color w:val="172033"/>
                <w:sz w:val="17"/>
              </w:rPr>
              <w:t>New, in production, QC pending, QC approved or rejected, ready for dispatch, dispatched, delivered</w:t>
            </w:r>
          </w:p>
        </w:tc>
      </w:tr>
      <w:tr>
        <w:tc>
          <w:tcPr>
            <w:tcW w:type="dxa" w:w="5083"/>
            <w:vAlign w:val="center"/>
            <w:shd w:fill="F7F9F5"/>
          </w:tcPr>
          <w:p>
            <w:pPr>
              <w:spacing w:after="40"/>
            </w:pPr>
            <w:r/>
            <w:r>
              <w:rPr>
                <w:rFonts w:ascii="Aptos" w:hAnsi="Aptos"/>
                <w:b w:val="0"/>
                <w:color w:val="172033"/>
                <w:sz w:val="17"/>
              </w:rPr>
              <w:t>Exceptions</w:t>
            </w:r>
          </w:p>
        </w:tc>
        <w:tc>
          <w:tcPr>
            <w:tcW w:type="dxa" w:w="5083"/>
            <w:vAlign w:val="center"/>
            <w:shd w:fill="F7F9F5"/>
          </w:tcPr>
          <w:p>
            <w:pPr>
              <w:spacing w:after="40"/>
            </w:pPr>
            <w:r/>
            <w:r>
              <w:rPr>
                <w:rFonts w:ascii="Aptos" w:hAnsi="Aptos"/>
                <w:b w:val="0"/>
                <w:color w:val="172033"/>
                <w:sz w:val="17"/>
              </w:rPr>
              <w:t>Replacement request, cancellation or status action areas where enabled by the order workspace</w:t>
            </w:r>
          </w:p>
        </w:tc>
      </w:tr>
      <w:tr>
        <w:tc>
          <w:tcPr>
            <w:tcW w:type="dxa" w:w="5083"/>
            <w:vAlign w:val="center"/>
          </w:tcPr>
          <w:p>
            <w:pPr>
              <w:spacing w:after="40"/>
            </w:pPr>
            <w:r/>
            <w:r>
              <w:rPr>
                <w:rFonts w:ascii="Aptos" w:hAnsi="Aptos"/>
                <w:b w:val="0"/>
                <w:color w:val="172033"/>
                <w:sz w:val="17"/>
              </w:rPr>
              <w:t>Finance</w:t>
            </w:r>
          </w:p>
        </w:tc>
        <w:tc>
          <w:tcPr>
            <w:tcW w:type="dxa" w:w="5083"/>
            <w:vAlign w:val="center"/>
          </w:tcPr>
          <w:p>
            <w:pPr>
              <w:spacing w:after="40"/>
            </w:pPr>
            <w:r/>
            <w:r>
              <w:rPr>
                <w:rFonts w:ascii="Aptos" w:hAnsi="Aptos"/>
                <w:b w:val="0"/>
                <w:color w:val="172033"/>
                <w:sz w:val="17"/>
              </w:rPr>
              <w:t>Proforma issued, supplier/brand invoice review, customer tax invoice, settlement statement, payout and deduction values</w:t>
            </w:r>
          </w:p>
        </w:tc>
      </w:tr>
    </w:tbl>
    <w:p>
      <w:pPr>
        <w:spacing w:after="40"/>
      </w:pPr>
    </w:p>
    <w:p>
      <w:pPr>
        <w:pStyle w:val="Heading1"/>
        <w:keepNext/>
      </w:pPr>
      <w:r>
        <w:t>8 Current system architecture</w:t>
      </w:r>
    </w:p>
    <w:p>
      <w:pPr>
        <w:spacing w:after="120" w:line="269" w:lineRule="auto"/>
      </w:pPr>
      <w:r>
        <w:t>The current corporate-order architecture is a Next.js application with server-rendered route entry points, client-side workflow components, tRPC procedures for interactive mutations and queries, service-layer business logic, database schemas and migrations, PDF document templates, and API download routes.</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Layer</w:t>
            </w:r>
          </w:p>
        </w:tc>
        <w:tc>
          <w:tcPr>
            <w:tcW w:type="dxa" w:w="3389"/>
            <w:vAlign w:val="center"/>
            <w:shd w:fill="3F6045"/>
          </w:tcPr>
          <w:p>
            <w:pPr>
              <w:spacing w:after="40"/>
            </w:pPr>
            <w:r/>
            <w:r>
              <w:rPr>
                <w:rFonts w:ascii="Aptos" w:hAnsi="Aptos"/>
                <w:b/>
                <w:color w:val="FFFFFF"/>
                <w:sz w:val="17"/>
              </w:rPr>
              <w:t>Current implementation evidence</w:t>
            </w:r>
          </w:p>
        </w:tc>
        <w:tc>
          <w:tcPr>
            <w:tcW w:type="dxa" w:w="3389"/>
            <w:vAlign w:val="center"/>
            <w:shd w:fill="3F6045"/>
          </w:tcPr>
          <w:p>
            <w:pPr>
              <w:spacing w:after="40"/>
            </w:pPr>
            <w:r/>
            <w:r>
              <w:rPr>
                <w:rFonts w:ascii="Aptos" w:hAnsi="Aptos"/>
                <w:b/>
                <w:color w:val="FFFFFF"/>
                <w:sz w:val="17"/>
              </w:rPr>
              <w:t>Responsibility</w:t>
            </w:r>
          </w:p>
        </w:tc>
      </w:tr>
      <w:tr>
        <w:tc>
          <w:tcPr>
            <w:tcW w:type="dxa" w:w="3389"/>
            <w:vAlign w:val="center"/>
          </w:tcPr>
          <w:p>
            <w:pPr>
              <w:spacing w:after="40"/>
            </w:pPr>
            <w:r/>
            <w:r>
              <w:rPr>
                <w:rFonts w:ascii="Aptos" w:hAnsi="Aptos"/>
                <w:b w:val="0"/>
                <w:color w:val="172033"/>
                <w:sz w:val="17"/>
              </w:rPr>
              <w:t>Route layer</w:t>
            </w:r>
          </w:p>
        </w:tc>
        <w:tc>
          <w:tcPr>
            <w:tcW w:type="dxa" w:w="3389"/>
            <w:vAlign w:val="center"/>
          </w:tcPr>
          <w:p>
            <w:pPr>
              <w:spacing w:after="40"/>
            </w:pPr>
            <w:r/>
            <w:r>
              <w:rPr>
                <w:rFonts w:ascii="Aptos" w:hAnsi="Aptos"/>
                <w:b w:val="0"/>
                <w:color w:val="172033"/>
                <w:sz w:val="17"/>
              </w:rPr>
              <w:t>src/app/(marketing)/corporate, corporate-orders, src/app/(protected)/profile/corporate, src/app/(protected)/dashboard/general/corporate, corporate-orders</w:t>
            </w:r>
          </w:p>
        </w:tc>
        <w:tc>
          <w:tcPr>
            <w:tcW w:type="dxa" w:w="3389"/>
            <w:vAlign w:val="center"/>
          </w:tcPr>
          <w:p>
            <w:pPr>
              <w:spacing w:after="40"/>
            </w:pPr>
            <w:r/>
            <w:r>
              <w:rPr>
                <w:rFonts w:ascii="Aptos" w:hAnsi="Aptos"/>
                <w:b w:val="0"/>
                <w:color w:val="172033"/>
                <w:sz w:val="17"/>
              </w:rPr>
              <w:t>Page entry points, authentication gates, initial data loading, and workspace composition.</w:t>
            </w:r>
          </w:p>
        </w:tc>
      </w:tr>
      <w:tr>
        <w:tc>
          <w:tcPr>
            <w:tcW w:type="dxa" w:w="3389"/>
            <w:vAlign w:val="center"/>
            <w:shd w:fill="F7F9F5"/>
          </w:tcPr>
          <w:p>
            <w:pPr>
              <w:spacing w:after="40"/>
            </w:pPr>
            <w:r/>
            <w:r>
              <w:rPr>
                <w:rFonts w:ascii="Aptos" w:hAnsi="Aptos"/>
                <w:b w:val="0"/>
                <w:color w:val="172033"/>
                <w:sz w:val="17"/>
              </w:rPr>
              <w:t>Buyer UI layer</w:t>
            </w:r>
          </w:p>
        </w:tc>
        <w:tc>
          <w:tcPr>
            <w:tcW w:type="dxa" w:w="3389"/>
            <w:vAlign w:val="center"/>
            <w:shd w:fill="F7F9F5"/>
          </w:tcPr>
          <w:p>
            <w:pPr>
              <w:spacing w:after="40"/>
            </w:pPr>
            <w:r/>
            <w:r>
              <w:rPr>
                <w:rFonts w:ascii="Aptos" w:hAnsi="Aptos"/>
                <w:b w:val="0"/>
                <w:color w:val="172033"/>
                <w:sz w:val="17"/>
              </w:rPr>
              <w:t>src/components/corporate-platform/customer-corporate-dashboard.tsx, request-quote-form.tsx, corporate-tabs.tsx; src/components/corporate-orders/corporate-order-page.tsx</w:t>
            </w:r>
          </w:p>
        </w:tc>
        <w:tc>
          <w:tcPr>
            <w:tcW w:type="dxa" w:w="3389"/>
            <w:vAlign w:val="center"/>
            <w:shd w:fill="F7F9F5"/>
          </w:tcPr>
          <w:p>
            <w:pPr>
              <w:spacing w:after="40"/>
            </w:pPr>
            <w:r/>
            <w:r>
              <w:rPr>
                <w:rFonts w:ascii="Aptos" w:hAnsi="Aptos"/>
                <w:b w:val="0"/>
                <w:color w:val="172033"/>
                <w:sz w:val="17"/>
              </w:rPr>
              <w:t>Buyer dashboard, RFQ form, self-service order wizard, quote decisions, PO upload, and payment actions.</w:t>
            </w:r>
          </w:p>
        </w:tc>
      </w:tr>
      <w:tr>
        <w:tc>
          <w:tcPr>
            <w:tcW w:type="dxa" w:w="3389"/>
            <w:vAlign w:val="center"/>
          </w:tcPr>
          <w:p>
            <w:pPr>
              <w:spacing w:after="40"/>
            </w:pPr>
            <w:r/>
            <w:r>
              <w:rPr>
                <w:rFonts w:ascii="Aptos" w:hAnsi="Aptos"/>
                <w:b w:val="0"/>
                <w:color w:val="172033"/>
                <w:sz w:val="17"/>
              </w:rPr>
              <w:t>Admin and brand UI layer</w:t>
            </w:r>
          </w:p>
        </w:tc>
        <w:tc>
          <w:tcPr>
            <w:tcW w:type="dxa" w:w="3389"/>
            <w:vAlign w:val="center"/>
          </w:tcPr>
          <w:p>
            <w:pPr>
              <w:spacing w:after="40"/>
            </w:pPr>
            <w:r/>
            <w:r>
              <w:rPr>
                <w:rFonts w:ascii="Aptos" w:hAnsi="Aptos"/>
                <w:b w:val="0"/>
                <w:color w:val="172033"/>
                <w:sz w:val="17"/>
              </w:rPr>
              <w:t>admin-rfq-queue.tsx, admin-finance-queue.tsx, admin-task-center.tsx, admin-report-center.tsx, brand-corporate-workspace.tsx</w:t>
            </w:r>
          </w:p>
        </w:tc>
        <w:tc>
          <w:tcPr>
            <w:tcW w:type="dxa" w:w="3389"/>
            <w:vAlign w:val="center"/>
          </w:tcPr>
          <w:p>
            <w:pPr>
              <w:spacing w:after="40"/>
            </w:pPr>
            <w:r/>
            <w:r>
              <w:rPr>
                <w:rFonts w:ascii="Aptos" w:hAnsi="Aptos"/>
                <w:b w:val="0"/>
                <w:color w:val="172033"/>
                <w:sz w:val="17"/>
              </w:rPr>
              <w:t>RFQ preparation, quote revisions, finance actions, operational tasks, reports, and supplier-brand workspaces.</w:t>
            </w:r>
          </w:p>
        </w:tc>
      </w:tr>
      <w:tr>
        <w:tc>
          <w:tcPr>
            <w:tcW w:type="dxa" w:w="3389"/>
            <w:vAlign w:val="center"/>
            <w:shd w:fill="F7F9F5"/>
          </w:tcPr>
          <w:p>
            <w:pPr>
              <w:spacing w:after="40"/>
            </w:pPr>
            <w:r/>
            <w:r>
              <w:rPr>
                <w:rFonts w:ascii="Aptos" w:hAnsi="Aptos"/>
                <w:b w:val="0"/>
                <w:color w:val="172033"/>
                <w:sz w:val="17"/>
              </w:rPr>
              <w:t>Order operations UI</w:t>
            </w:r>
          </w:p>
        </w:tc>
        <w:tc>
          <w:tcPr>
            <w:tcW w:type="dxa" w:w="3389"/>
            <w:vAlign w:val="center"/>
            <w:shd w:fill="F7F9F5"/>
          </w:tcPr>
          <w:p>
            <w:pPr>
              <w:spacing w:after="40"/>
            </w:pPr>
            <w:r/>
            <w:r>
              <w:rPr>
                <w:rFonts w:ascii="Aptos" w:hAnsi="Aptos"/>
                <w:b w:val="0"/>
                <w:color w:val="172033"/>
                <w:sz w:val="17"/>
              </w:rPr>
              <w:t>corporate-order-detail.tsx and corporate-document-chain-panel.tsx</w:t>
            </w:r>
          </w:p>
        </w:tc>
        <w:tc>
          <w:tcPr>
            <w:tcW w:type="dxa" w:w="3389"/>
            <w:vAlign w:val="center"/>
            <w:shd w:fill="F7F9F5"/>
          </w:tcPr>
          <w:p>
            <w:pPr>
              <w:spacing w:after="40"/>
            </w:pPr>
            <w:r/>
            <w:r>
              <w:rPr>
                <w:rFonts w:ascii="Aptos" w:hAnsi="Aptos"/>
                <w:b w:val="0"/>
                <w:color w:val="172033"/>
                <w:sz w:val="17"/>
              </w:rPr>
              <w:t>Order snapshot, status changes, payment ledger, QC, shipment, file access, and document issuance.</w:t>
            </w:r>
          </w:p>
        </w:tc>
      </w:tr>
      <w:tr>
        <w:tc>
          <w:tcPr>
            <w:tcW w:type="dxa" w:w="3389"/>
            <w:vAlign w:val="center"/>
          </w:tcPr>
          <w:p>
            <w:pPr>
              <w:spacing w:after="40"/>
            </w:pPr>
            <w:r/>
            <w:r>
              <w:rPr>
                <w:rFonts w:ascii="Aptos" w:hAnsi="Aptos"/>
                <w:b w:val="0"/>
                <w:color w:val="172033"/>
                <w:sz w:val="17"/>
              </w:rPr>
              <w:t>tRPC/API layer</w:t>
            </w:r>
          </w:p>
        </w:tc>
        <w:tc>
          <w:tcPr>
            <w:tcW w:type="dxa" w:w="3389"/>
            <w:vAlign w:val="center"/>
          </w:tcPr>
          <w:p>
            <w:pPr>
              <w:spacing w:after="40"/>
            </w:pPr>
            <w:r/>
            <w:r>
              <w:rPr>
                <w:rFonts w:ascii="Aptos" w:hAnsi="Aptos"/>
                <w:b w:val="0"/>
                <w:color w:val="172033"/>
                <w:sz w:val="17"/>
              </w:rPr>
              <w:t>src/lib/trpc/routes/general/corporate-platform.ts, corporate-orders.ts; src/app/api/corporate-orders/[id]/*</w:t>
            </w:r>
          </w:p>
        </w:tc>
        <w:tc>
          <w:tcPr>
            <w:tcW w:type="dxa" w:w="3389"/>
            <w:vAlign w:val="center"/>
          </w:tcPr>
          <w:p>
            <w:pPr>
              <w:spacing w:after="40"/>
            </w:pPr>
            <w:r/>
            <w:r>
              <w:rPr>
                <w:rFonts w:ascii="Aptos" w:hAnsi="Aptos"/>
                <w:b w:val="0"/>
                <w:color w:val="172033"/>
                <w:sz w:val="17"/>
              </w:rPr>
              <w:t>Queries and mutations for corporate profiles, RFQs, quotes, orders, payments, statuses, and document downloads.</w:t>
            </w:r>
          </w:p>
        </w:tc>
      </w:tr>
      <w:tr>
        <w:tc>
          <w:tcPr>
            <w:tcW w:type="dxa" w:w="3389"/>
            <w:vAlign w:val="center"/>
            <w:shd w:fill="F7F9F5"/>
          </w:tcPr>
          <w:p>
            <w:pPr>
              <w:spacing w:after="40"/>
            </w:pPr>
            <w:r/>
            <w:r>
              <w:rPr>
                <w:rFonts w:ascii="Aptos" w:hAnsi="Aptos"/>
                <w:b w:val="0"/>
                <w:color w:val="172033"/>
                <w:sz w:val="17"/>
              </w:rPr>
              <w:t>Service layer</w:t>
            </w:r>
          </w:p>
        </w:tc>
        <w:tc>
          <w:tcPr>
            <w:tcW w:type="dxa" w:w="3389"/>
            <w:vAlign w:val="center"/>
            <w:shd w:fill="F7F9F5"/>
          </w:tcPr>
          <w:p>
            <w:pPr>
              <w:spacing w:after="40"/>
            </w:pPr>
            <w:r/>
            <w:r>
              <w:rPr>
                <w:rFonts w:ascii="Aptos" w:hAnsi="Aptos"/>
                <w:b w:val="0"/>
                <w:color w:val="172033"/>
                <w:sz w:val="17"/>
              </w:rPr>
              <w:t>src/lib/services/corporate-platform.ts, corporate-order.ts, corporate-documents.ts, corporate-payment-request.tsx</w:t>
            </w:r>
          </w:p>
        </w:tc>
        <w:tc>
          <w:tcPr>
            <w:tcW w:type="dxa" w:w="3389"/>
            <w:vAlign w:val="center"/>
            <w:shd w:fill="F7F9F5"/>
          </w:tcPr>
          <w:p>
            <w:pPr>
              <w:spacing w:after="40"/>
            </w:pPr>
            <w:r/>
            <w:r>
              <w:rPr>
                <w:rFonts w:ascii="Aptos" w:hAnsi="Aptos"/>
                <w:b w:val="0"/>
                <w:color w:val="172033"/>
                <w:sz w:val="17"/>
              </w:rPr>
              <w:t>Corporate workflow orchestration, order operations, document numbering/rendering, and payment-request handling.</w:t>
            </w:r>
          </w:p>
        </w:tc>
      </w:tr>
      <w:tr>
        <w:tc>
          <w:tcPr>
            <w:tcW w:type="dxa" w:w="3389"/>
            <w:vAlign w:val="center"/>
          </w:tcPr>
          <w:p>
            <w:pPr>
              <w:spacing w:after="40"/>
            </w:pPr>
            <w:r/>
            <w:r>
              <w:rPr>
                <w:rFonts w:ascii="Aptos" w:hAnsi="Aptos"/>
                <w:b w:val="0"/>
                <w:color w:val="172033"/>
                <w:sz w:val="17"/>
              </w:rPr>
              <w:t>Validation and finance layer</w:t>
            </w:r>
          </w:p>
        </w:tc>
        <w:tc>
          <w:tcPr>
            <w:tcW w:type="dxa" w:w="3389"/>
            <w:vAlign w:val="center"/>
          </w:tcPr>
          <w:p>
            <w:pPr>
              <w:spacing w:after="40"/>
            </w:pPr>
            <w:r/>
            <w:r>
              <w:rPr>
                <w:rFonts w:ascii="Aptos" w:hAnsi="Aptos"/>
                <w:b w:val="0"/>
                <w:color w:val="172033"/>
                <w:sz w:val="17"/>
              </w:rPr>
              <w:t>src/lib/validations/corporate-order.ts, corporate-platform.ts; src/lib/finance/corporate-place-of-supply.ts, corporate-tax-classification.ts</w:t>
            </w:r>
          </w:p>
        </w:tc>
        <w:tc>
          <w:tcPr>
            <w:tcW w:type="dxa" w:w="3389"/>
            <w:vAlign w:val="center"/>
          </w:tcPr>
          <w:p>
            <w:pPr>
              <w:spacing w:after="40"/>
            </w:pPr>
            <w:r/>
            <w:r>
              <w:rPr>
                <w:rFonts w:ascii="Aptos" w:hAnsi="Aptos"/>
                <w:b w:val="0"/>
                <w:color w:val="172033"/>
                <w:sz w:val="17"/>
              </w:rPr>
              <w:t>Input validation, corporate quote/order validation, tax classification, place-of-supply handling, and tax calculations.</w:t>
            </w:r>
          </w:p>
        </w:tc>
      </w:tr>
      <w:tr>
        <w:tc>
          <w:tcPr>
            <w:tcW w:type="dxa" w:w="3389"/>
            <w:vAlign w:val="center"/>
            <w:shd w:fill="F7F9F5"/>
          </w:tcPr>
          <w:p>
            <w:pPr>
              <w:spacing w:after="40"/>
            </w:pPr>
            <w:r/>
            <w:r>
              <w:rPr>
                <w:rFonts w:ascii="Aptos" w:hAnsi="Aptos"/>
                <w:b w:val="0"/>
                <w:color w:val="172033"/>
                <w:sz w:val="17"/>
              </w:rPr>
              <w:t>Data layer</w:t>
            </w:r>
          </w:p>
        </w:tc>
        <w:tc>
          <w:tcPr>
            <w:tcW w:type="dxa" w:w="3389"/>
            <w:vAlign w:val="center"/>
            <w:shd w:fill="F7F9F5"/>
          </w:tcPr>
          <w:p>
            <w:pPr>
              <w:spacing w:after="40"/>
            </w:pPr>
            <w:r/>
            <w:r>
              <w:rPr>
                <w:rFonts w:ascii="Aptos" w:hAnsi="Aptos"/>
                <w:b w:val="0"/>
                <w:color w:val="172033"/>
                <w:sz w:val="17"/>
              </w:rPr>
              <w:t>src/lib/db/schema/corporate-order.ts, corporate-platform.ts; drizzle migrations</w:t>
            </w:r>
          </w:p>
        </w:tc>
        <w:tc>
          <w:tcPr>
            <w:tcW w:type="dxa" w:w="3389"/>
            <w:vAlign w:val="center"/>
            <w:shd w:fill="F7F9F5"/>
          </w:tcPr>
          <w:p>
            <w:pPr>
              <w:spacing w:after="40"/>
            </w:pPr>
            <w:r/>
            <w:r>
              <w:rPr>
                <w:rFonts w:ascii="Aptos" w:hAnsi="Aptos"/>
                <w:b w:val="0"/>
                <w:color w:val="172033"/>
                <w:sz w:val="17"/>
              </w:rPr>
              <w:t>Corporate profiles, RFQs, quotes, purchase orders, payments, invoices, receipts, fulfilment, QC, settlement, and status history.</w:t>
            </w:r>
          </w:p>
        </w:tc>
      </w:tr>
      <w:tr>
        <w:tc>
          <w:tcPr>
            <w:tcW w:type="dxa" w:w="3389"/>
            <w:vAlign w:val="center"/>
          </w:tcPr>
          <w:p>
            <w:pPr>
              <w:spacing w:after="40"/>
            </w:pPr>
            <w:r/>
            <w:r>
              <w:rPr>
                <w:rFonts w:ascii="Aptos" w:hAnsi="Aptos"/>
                <w:b w:val="0"/>
                <w:color w:val="172033"/>
                <w:sz w:val="17"/>
              </w:rPr>
              <w:t>Document layer</w:t>
            </w:r>
          </w:p>
        </w:tc>
        <w:tc>
          <w:tcPr>
            <w:tcW w:type="dxa" w:w="3389"/>
            <w:vAlign w:val="center"/>
          </w:tcPr>
          <w:p>
            <w:pPr>
              <w:spacing w:after="40"/>
            </w:pPr>
            <w:r/>
            <w:r>
              <w:rPr>
                <w:rFonts w:ascii="Aptos" w:hAnsi="Aptos"/>
                <w:b w:val="0"/>
                <w:color w:val="172033"/>
                <w:sz w:val="17"/>
              </w:rPr>
              <w:t>src/components/pdf/corporate-commercial-document-template.tsx, corporate-tax-invoice-template.tsx, corporate-settlement-statement-template.tsx, corporate-receipt-voucher-template.tsx, corporate-order-summary-template.tsx</w:t>
            </w:r>
          </w:p>
        </w:tc>
        <w:tc>
          <w:tcPr>
            <w:tcW w:type="dxa" w:w="3389"/>
            <w:vAlign w:val="center"/>
          </w:tcPr>
          <w:p>
            <w:pPr>
              <w:spacing w:after="40"/>
            </w:pPr>
            <w:r/>
            <w:r>
              <w:rPr>
                <w:rFonts w:ascii="Aptos" w:hAnsi="Aptos"/>
                <w:b w:val="0"/>
                <w:color w:val="172033"/>
                <w:sz w:val="17"/>
              </w:rPr>
              <w:t>Renderable document layouts used by corporate PDF routes.</w:t>
            </w:r>
          </w:p>
        </w:tc>
      </w:tr>
    </w:tbl>
    <w:p>
      <w:pPr>
        <w:spacing w:after="40"/>
      </w:pPr>
    </w:p>
    <w:p>
      <w:pPr>
        <w:pStyle w:val="Heading1"/>
        <w:keepNext/>
      </w:pPr>
      <w:r>
        <w:t>9 Current data and control flow</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Flow</w:t>
            </w:r>
          </w:p>
        </w:tc>
        <w:tc>
          <w:tcPr>
            <w:tcW w:type="dxa" w:w="5083"/>
            <w:vAlign w:val="center"/>
            <w:shd w:fill="3F6045"/>
          </w:tcPr>
          <w:p>
            <w:pPr>
              <w:spacing w:after="40"/>
            </w:pPr>
            <w:r/>
            <w:r>
              <w:rPr>
                <w:rFonts w:ascii="Aptos" w:hAnsi="Aptos"/>
                <w:b/>
                <w:color w:val="FFFFFF"/>
                <w:sz w:val="17"/>
              </w:rPr>
              <w:t>Current path</w:t>
            </w:r>
          </w:p>
        </w:tc>
      </w:tr>
      <w:tr>
        <w:tc>
          <w:tcPr>
            <w:tcW w:type="dxa" w:w="5083"/>
            <w:vAlign w:val="center"/>
          </w:tcPr>
          <w:p>
            <w:pPr>
              <w:spacing w:after="40"/>
            </w:pPr>
            <w:r/>
            <w:r>
              <w:rPr>
                <w:rFonts w:ascii="Aptos" w:hAnsi="Aptos"/>
                <w:b w:val="0"/>
                <w:color w:val="172033"/>
                <w:sz w:val="17"/>
              </w:rPr>
              <w:t>Buyer RFQ</w:t>
            </w:r>
          </w:p>
        </w:tc>
        <w:tc>
          <w:tcPr>
            <w:tcW w:type="dxa" w:w="5083"/>
            <w:vAlign w:val="center"/>
          </w:tcPr>
          <w:p>
            <w:pPr>
              <w:spacing w:after="40"/>
            </w:pPr>
            <w:r/>
            <w:r>
              <w:rPr>
                <w:rFonts w:ascii="Aptos" w:hAnsi="Aptos"/>
                <w:b w:val="0"/>
                <w:color w:val="172033"/>
                <w:sz w:val="17"/>
              </w:rPr>
              <w:t>Buyer route -&gt; request-quote-form -&gt; corporate platform tRPC mutation -&gt; corporate profile/RFQ/attachment records -&gt; admin RFQ queue.</w:t>
            </w:r>
          </w:p>
        </w:tc>
      </w:tr>
      <w:tr>
        <w:tc>
          <w:tcPr>
            <w:tcW w:type="dxa" w:w="5083"/>
            <w:vAlign w:val="center"/>
            <w:shd w:fill="F7F9F5"/>
          </w:tcPr>
          <w:p>
            <w:pPr>
              <w:spacing w:after="40"/>
            </w:pPr>
            <w:r/>
            <w:r>
              <w:rPr>
                <w:rFonts w:ascii="Aptos" w:hAnsi="Aptos"/>
                <w:b w:val="0"/>
                <w:color w:val="172033"/>
                <w:sz w:val="17"/>
              </w:rPr>
              <w:t>Admin quote</w:t>
            </w:r>
          </w:p>
        </w:tc>
        <w:tc>
          <w:tcPr>
            <w:tcW w:type="dxa" w:w="5083"/>
            <w:vAlign w:val="center"/>
            <w:shd w:fill="F7F9F5"/>
          </w:tcPr>
          <w:p>
            <w:pPr>
              <w:spacing w:after="40"/>
            </w:pPr>
            <w:r/>
            <w:r>
              <w:rPr>
                <w:rFonts w:ascii="Aptos" w:hAnsi="Aptos"/>
                <w:b w:val="0"/>
                <w:color w:val="172033"/>
                <w:sz w:val="17"/>
              </w:rPr>
              <w:t>Admin RFQ queue -&gt; quote preparation or manual quote modal -&gt; quote record and revision history -&gt; buyer corporate dashboard.</w:t>
            </w:r>
          </w:p>
        </w:tc>
      </w:tr>
      <w:tr>
        <w:tc>
          <w:tcPr>
            <w:tcW w:type="dxa" w:w="5083"/>
            <w:vAlign w:val="center"/>
          </w:tcPr>
          <w:p>
            <w:pPr>
              <w:spacing w:after="40"/>
            </w:pPr>
            <w:r/>
            <w:r>
              <w:rPr>
                <w:rFonts w:ascii="Aptos" w:hAnsi="Aptos"/>
                <w:b w:val="0"/>
                <w:color w:val="172033"/>
                <w:sz w:val="17"/>
              </w:rPr>
              <w:t>Buyer approval</w:t>
            </w:r>
          </w:p>
        </w:tc>
        <w:tc>
          <w:tcPr>
            <w:tcW w:type="dxa" w:w="5083"/>
            <w:vAlign w:val="center"/>
          </w:tcPr>
          <w:p>
            <w:pPr>
              <w:spacing w:after="40"/>
            </w:pPr>
            <w:r/>
            <w:r>
              <w:rPr>
                <w:rFonts w:ascii="Aptos" w:hAnsi="Aptos"/>
                <w:b w:val="0"/>
                <w:color w:val="172033"/>
                <w:sz w:val="17"/>
              </w:rPr>
              <w:t>Buyer dashboard -&gt; quote decision -&gt; accepted quote state -&gt; purchase-order upload or payment setup.</w:t>
            </w:r>
          </w:p>
        </w:tc>
      </w:tr>
      <w:tr>
        <w:tc>
          <w:tcPr>
            <w:tcW w:type="dxa" w:w="5083"/>
            <w:vAlign w:val="center"/>
            <w:shd w:fill="F7F9F5"/>
          </w:tcPr>
          <w:p>
            <w:pPr>
              <w:spacing w:after="40"/>
            </w:pPr>
            <w:r/>
            <w:r>
              <w:rPr>
                <w:rFonts w:ascii="Aptos" w:hAnsi="Aptos"/>
                <w:b w:val="0"/>
                <w:color w:val="172033"/>
                <w:sz w:val="17"/>
              </w:rPr>
              <w:t>Order creation</w:t>
            </w:r>
          </w:p>
        </w:tc>
        <w:tc>
          <w:tcPr>
            <w:tcW w:type="dxa" w:w="5083"/>
            <w:vAlign w:val="center"/>
            <w:shd w:fill="F7F9F5"/>
          </w:tcPr>
          <w:p>
            <w:pPr>
              <w:spacing w:after="40"/>
            </w:pPr>
            <w:r/>
            <w:r>
              <w:rPr>
                <w:rFonts w:ascii="Aptos" w:hAnsi="Aptos"/>
                <w:b w:val="0"/>
                <w:color w:val="172033"/>
                <w:sz w:val="17"/>
              </w:rPr>
              <w:t>Purchase order or payment mutation -&gt; corporate order service -&gt; corporate order plus company, delivery, product, customization, and commercial snapshots.</w:t>
            </w:r>
          </w:p>
        </w:tc>
      </w:tr>
      <w:tr>
        <w:tc>
          <w:tcPr>
            <w:tcW w:type="dxa" w:w="5083"/>
            <w:vAlign w:val="center"/>
          </w:tcPr>
          <w:p>
            <w:pPr>
              <w:spacing w:after="40"/>
            </w:pPr>
            <w:r/>
            <w:r>
              <w:rPr>
                <w:rFonts w:ascii="Aptos" w:hAnsi="Aptos"/>
                <w:b w:val="0"/>
                <w:color w:val="172033"/>
                <w:sz w:val="17"/>
              </w:rPr>
              <w:t>Payment</w:t>
            </w:r>
          </w:p>
        </w:tc>
        <w:tc>
          <w:tcPr>
            <w:tcW w:type="dxa" w:w="5083"/>
            <w:vAlign w:val="center"/>
          </w:tcPr>
          <w:p>
            <w:pPr>
              <w:spacing w:after="40"/>
            </w:pPr>
            <w:r/>
            <w:r>
              <w:rPr>
                <w:rFonts w:ascii="Aptos" w:hAnsi="Aptos"/>
                <w:b w:val="0"/>
                <w:color w:val="172033"/>
                <w:sz w:val="17"/>
              </w:rPr>
              <w:t>Buyer payment action -&gt; Razorpay checkout -&gt; payment confirmation mutation -&gt; corporate payment record -&gt; receipt voucher and updated order payment state.</w:t>
            </w:r>
          </w:p>
        </w:tc>
      </w:tr>
      <w:tr>
        <w:tc>
          <w:tcPr>
            <w:tcW w:type="dxa" w:w="5083"/>
            <w:vAlign w:val="center"/>
            <w:shd w:fill="F7F9F5"/>
          </w:tcPr>
          <w:p>
            <w:pPr>
              <w:spacing w:after="40"/>
            </w:pPr>
            <w:r/>
            <w:r>
              <w:rPr>
                <w:rFonts w:ascii="Aptos" w:hAnsi="Aptos"/>
                <w:b w:val="0"/>
                <w:color w:val="172033"/>
                <w:sz w:val="17"/>
              </w:rPr>
              <w:t>Fulfilment</w:t>
            </w:r>
          </w:p>
        </w:tc>
        <w:tc>
          <w:tcPr>
            <w:tcW w:type="dxa" w:w="5083"/>
            <w:vAlign w:val="center"/>
            <w:shd w:fill="F7F9F5"/>
          </w:tcPr>
          <w:p>
            <w:pPr>
              <w:spacing w:after="40"/>
            </w:pPr>
            <w:r/>
            <w:r>
              <w:rPr>
                <w:rFonts w:ascii="Aptos" w:hAnsi="Aptos"/>
                <w:b w:val="0"/>
                <w:color w:val="172033"/>
                <w:sz w:val="17"/>
              </w:rPr>
              <w:t>Order detail -&gt; vendor PO/document chain -&gt; supplier/brand workspace -&gt; QC review -&gt; status timeline -&gt; shipment and dispatch workspace.</w:t>
            </w:r>
          </w:p>
        </w:tc>
      </w:tr>
      <w:tr>
        <w:tc>
          <w:tcPr>
            <w:tcW w:type="dxa" w:w="5083"/>
            <w:vAlign w:val="center"/>
          </w:tcPr>
          <w:p>
            <w:pPr>
              <w:spacing w:after="40"/>
            </w:pPr>
            <w:r/>
            <w:r>
              <w:rPr>
                <w:rFonts w:ascii="Aptos" w:hAnsi="Aptos"/>
                <w:b w:val="0"/>
                <w:color w:val="172033"/>
                <w:sz w:val="17"/>
              </w:rPr>
              <w:t>Final billing</w:t>
            </w:r>
          </w:p>
        </w:tc>
        <w:tc>
          <w:tcPr>
            <w:tcW w:type="dxa" w:w="5083"/>
            <w:vAlign w:val="center"/>
          </w:tcPr>
          <w:p>
            <w:pPr>
              <w:spacing w:after="40"/>
            </w:pPr>
            <w:r/>
            <w:r>
              <w:rPr>
                <w:rFonts w:ascii="Aptos" w:hAnsi="Aptos"/>
                <w:b w:val="0"/>
                <w:color w:val="172033"/>
                <w:sz w:val="17"/>
              </w:rPr>
              <w:t>Order/document chain -&gt; customer tax invoice route/template -&gt; invoice number and tax values -&gt; buyer/admin download.</w:t>
            </w:r>
          </w:p>
        </w:tc>
      </w:tr>
      <w:tr>
        <w:tc>
          <w:tcPr>
            <w:tcW w:type="dxa" w:w="5083"/>
            <w:vAlign w:val="center"/>
            <w:shd w:fill="F7F9F5"/>
          </w:tcPr>
          <w:p>
            <w:pPr>
              <w:spacing w:after="40"/>
            </w:pPr>
            <w:r/>
            <w:r>
              <w:rPr>
                <w:rFonts w:ascii="Aptos" w:hAnsi="Aptos"/>
                <w:b w:val="0"/>
                <w:color w:val="172033"/>
                <w:sz w:val="17"/>
              </w:rPr>
              <w:t>Settlement</w:t>
            </w:r>
          </w:p>
        </w:tc>
        <w:tc>
          <w:tcPr>
            <w:tcW w:type="dxa" w:w="5083"/>
            <w:vAlign w:val="center"/>
            <w:shd w:fill="F7F9F5"/>
          </w:tcPr>
          <w:p>
            <w:pPr>
              <w:spacing w:after="40"/>
            </w:pPr>
            <w:r/>
            <w:r>
              <w:rPr>
                <w:rFonts w:ascii="Aptos" w:hAnsi="Aptos"/>
                <w:b w:val="0"/>
                <w:color w:val="172033"/>
                <w:sz w:val="17"/>
              </w:rPr>
              <w:t>Delivered/finalized order data -&gt; settlement calculation -&gt; settlement statement route/template -&gt; finance and supplier records.</w:t>
            </w:r>
          </w:p>
        </w:tc>
      </w:tr>
    </w:tbl>
    <w:p>
      <w:pPr>
        <w:spacing w:after="40"/>
      </w:pPr>
    </w:p>
    <w:p>
      <w:pPr>
        <w:pStyle w:val="Heading1"/>
        <w:keepNext/>
      </w:pPr>
      <w:r>
        <w:t>10 Evidence-backed implementation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Repository area</w:t>
            </w:r>
          </w:p>
        </w:tc>
        <w:tc>
          <w:tcPr>
            <w:tcW w:type="dxa" w:w="5083"/>
            <w:vAlign w:val="center"/>
            <w:shd w:fill="3F6045"/>
          </w:tcPr>
          <w:p>
            <w:pPr>
              <w:spacing w:after="40"/>
            </w:pPr>
            <w:r/>
            <w:r>
              <w:rPr>
                <w:rFonts w:ascii="Aptos" w:hAnsi="Aptos"/>
                <w:b/>
                <w:color w:val="FFFFFF"/>
                <w:sz w:val="17"/>
              </w:rPr>
              <w:t>Evidence found</w:t>
            </w:r>
          </w:p>
        </w:tc>
      </w:tr>
      <w:tr>
        <w:tc>
          <w:tcPr>
            <w:tcW w:type="dxa" w:w="5083"/>
            <w:vAlign w:val="center"/>
          </w:tcPr>
          <w:p>
            <w:pPr>
              <w:spacing w:after="40"/>
            </w:pPr>
            <w:r/>
            <w:r>
              <w:rPr>
                <w:rFonts w:ascii="Aptos" w:hAnsi="Aptos"/>
                <w:b w:val="0"/>
                <w:color w:val="172033"/>
                <w:sz w:val="17"/>
              </w:rPr>
              <w:t>Buyer corporate platform</w:t>
            </w:r>
          </w:p>
        </w:tc>
        <w:tc>
          <w:tcPr>
            <w:tcW w:type="dxa" w:w="5083"/>
            <w:vAlign w:val="center"/>
          </w:tcPr>
          <w:p>
            <w:pPr>
              <w:spacing w:after="40"/>
            </w:pPr>
            <w:r/>
            <w:r>
              <w:rPr>
                <w:rFonts w:ascii="Aptos" w:hAnsi="Aptos"/>
                <w:b w:val="0"/>
                <w:color w:val="172033"/>
                <w:sz w:val="17"/>
              </w:rPr>
              <w:t>src/components/corporate-platform/customer-corporate-dashboard.tsx, request-quote-form.tsx, corporate-tabs.tsx</w:t>
            </w:r>
          </w:p>
        </w:tc>
      </w:tr>
      <w:tr>
        <w:tc>
          <w:tcPr>
            <w:tcW w:type="dxa" w:w="5083"/>
            <w:vAlign w:val="center"/>
            <w:shd w:fill="F7F9F5"/>
          </w:tcPr>
          <w:p>
            <w:pPr>
              <w:spacing w:after="40"/>
            </w:pPr>
            <w:r/>
            <w:r>
              <w:rPr>
                <w:rFonts w:ascii="Aptos" w:hAnsi="Aptos"/>
                <w:b w:val="0"/>
                <w:color w:val="172033"/>
                <w:sz w:val="17"/>
              </w:rPr>
              <w:t>Legacy order journey</w:t>
            </w:r>
          </w:p>
        </w:tc>
        <w:tc>
          <w:tcPr>
            <w:tcW w:type="dxa" w:w="5083"/>
            <w:vAlign w:val="center"/>
            <w:shd w:fill="F7F9F5"/>
          </w:tcPr>
          <w:p>
            <w:pPr>
              <w:spacing w:after="40"/>
            </w:pPr>
            <w:r/>
            <w:r>
              <w:rPr>
                <w:rFonts w:ascii="Aptos" w:hAnsi="Aptos"/>
                <w:b w:val="0"/>
                <w:color w:val="172033"/>
                <w:sz w:val="17"/>
              </w:rPr>
              <w:t>src/components/corporate-orders/corporate-order-page.tsx with five-step flow and uploads</w:t>
            </w:r>
          </w:p>
        </w:tc>
      </w:tr>
      <w:tr>
        <w:tc>
          <w:tcPr>
            <w:tcW w:type="dxa" w:w="5083"/>
            <w:vAlign w:val="center"/>
          </w:tcPr>
          <w:p>
            <w:pPr>
              <w:spacing w:after="40"/>
            </w:pPr>
            <w:r/>
            <w:r>
              <w:rPr>
                <w:rFonts w:ascii="Aptos" w:hAnsi="Aptos"/>
                <w:b w:val="0"/>
                <w:color w:val="172033"/>
                <w:sz w:val="17"/>
              </w:rPr>
              <w:t>Admin platform</w:t>
            </w:r>
          </w:p>
        </w:tc>
        <w:tc>
          <w:tcPr>
            <w:tcW w:type="dxa" w:w="5083"/>
            <w:vAlign w:val="center"/>
          </w:tcPr>
          <w:p>
            <w:pPr>
              <w:spacing w:after="40"/>
            </w:pPr>
            <w:r/>
            <w:r>
              <w:rPr>
                <w:rFonts w:ascii="Aptos" w:hAnsi="Aptos"/>
                <w:b w:val="0"/>
                <w:color w:val="172033"/>
                <w:sz w:val="17"/>
              </w:rPr>
              <w:t>admin-rfq-queue.tsx, admin-finance-queue.tsx, admin-task-center.tsx, admin-report-center.tsx</w:t>
            </w:r>
          </w:p>
        </w:tc>
      </w:tr>
      <w:tr>
        <w:tc>
          <w:tcPr>
            <w:tcW w:type="dxa" w:w="5083"/>
            <w:vAlign w:val="center"/>
            <w:shd w:fill="F7F9F5"/>
          </w:tcPr>
          <w:p>
            <w:pPr>
              <w:spacing w:after="40"/>
            </w:pPr>
            <w:r/>
            <w:r>
              <w:rPr>
                <w:rFonts w:ascii="Aptos" w:hAnsi="Aptos"/>
                <w:b w:val="0"/>
                <w:color w:val="172033"/>
                <w:sz w:val="17"/>
              </w:rPr>
              <w:t>Order operations</w:t>
            </w:r>
          </w:p>
        </w:tc>
        <w:tc>
          <w:tcPr>
            <w:tcW w:type="dxa" w:w="5083"/>
            <w:vAlign w:val="center"/>
            <w:shd w:fill="F7F9F5"/>
          </w:tcPr>
          <w:p>
            <w:pPr>
              <w:spacing w:after="40"/>
            </w:pPr>
            <w:r/>
            <w:r>
              <w:rPr>
                <w:rFonts w:ascii="Aptos" w:hAnsi="Aptos"/>
                <w:b w:val="0"/>
                <w:color w:val="172033"/>
                <w:sz w:val="17"/>
              </w:rPr>
              <w:t>corporate-order-detail.tsx and corporate-document-chain-panel.tsx</w:t>
            </w:r>
          </w:p>
        </w:tc>
      </w:tr>
      <w:tr>
        <w:tc>
          <w:tcPr>
            <w:tcW w:type="dxa" w:w="5083"/>
            <w:vAlign w:val="center"/>
          </w:tcPr>
          <w:p>
            <w:pPr>
              <w:spacing w:after="40"/>
            </w:pPr>
            <w:r/>
            <w:r>
              <w:rPr>
                <w:rFonts w:ascii="Aptos" w:hAnsi="Aptos"/>
                <w:b w:val="0"/>
                <w:color w:val="172033"/>
                <w:sz w:val="17"/>
              </w:rPr>
              <w:t>Document templates</w:t>
            </w:r>
          </w:p>
        </w:tc>
        <w:tc>
          <w:tcPr>
            <w:tcW w:type="dxa" w:w="5083"/>
            <w:vAlign w:val="center"/>
          </w:tcPr>
          <w:p>
            <w:pPr>
              <w:spacing w:after="40"/>
            </w:pPr>
            <w:r/>
            <w:r>
              <w:rPr>
                <w:rFonts w:ascii="Aptos" w:hAnsi="Aptos"/>
                <w:b w:val="0"/>
                <w:color w:val="172033"/>
                <w:sz w:val="17"/>
              </w:rPr>
              <w:t>src/components/pdf/corporate-commercial-document-template.tsx, corporate-tax-invoice-template.tsx, corporate-settlement-statement-template.tsx, corporate-receipt-voucher-template.tsx, corporate-order-summary-template.tsx</w:t>
            </w:r>
          </w:p>
        </w:tc>
      </w:tr>
      <w:tr>
        <w:tc>
          <w:tcPr>
            <w:tcW w:type="dxa" w:w="5083"/>
            <w:vAlign w:val="center"/>
            <w:shd w:fill="F7F9F5"/>
          </w:tcPr>
          <w:p>
            <w:pPr>
              <w:spacing w:after="40"/>
            </w:pPr>
            <w:r/>
            <w:r>
              <w:rPr>
                <w:rFonts w:ascii="Aptos" w:hAnsi="Aptos"/>
                <w:b w:val="0"/>
                <w:color w:val="172033"/>
                <w:sz w:val="17"/>
              </w:rPr>
              <w:t>API document routes</w:t>
            </w:r>
          </w:p>
        </w:tc>
        <w:tc>
          <w:tcPr>
            <w:tcW w:type="dxa" w:w="5083"/>
            <w:vAlign w:val="center"/>
            <w:shd w:fill="F7F9F5"/>
          </w:tcPr>
          <w:p>
            <w:pPr>
              <w:spacing w:after="40"/>
            </w:pPr>
            <w:r/>
            <w:r>
              <w:rPr>
                <w:rFonts w:ascii="Aptos" w:hAnsi="Aptos"/>
                <w:b w:val="0"/>
                <w:color w:val="172033"/>
                <w:sz w:val="17"/>
              </w:rPr>
              <w:t>src/app/api/corporate-orders/[id]/... routes for invoice, summary, receipt, vendor PO, challan, settlement, and fulfilment order</w:t>
            </w:r>
          </w:p>
        </w:tc>
      </w:tr>
      <w:tr>
        <w:tc>
          <w:tcPr>
            <w:tcW w:type="dxa" w:w="5083"/>
            <w:vAlign w:val="center"/>
          </w:tcPr>
          <w:p>
            <w:pPr>
              <w:spacing w:after="40"/>
            </w:pPr>
            <w:r/>
            <w:r>
              <w:rPr>
                <w:rFonts w:ascii="Aptos" w:hAnsi="Aptos"/>
                <w:b w:val="0"/>
                <w:color w:val="172033"/>
                <w:sz w:val="17"/>
              </w:rPr>
              <w:t>Rendered previews</w:t>
            </w:r>
          </w:p>
        </w:tc>
        <w:tc>
          <w:tcPr>
            <w:tcW w:type="dxa" w:w="5083"/>
            <w:vAlign w:val="center"/>
          </w:tcPr>
          <w:p>
            <w:pPr>
              <w:spacing w:after="40"/>
            </w:pPr>
            <w:r/>
            <w:r>
              <w:rPr>
                <w:rFonts w:ascii="Aptos" w:hAnsi="Aptos"/>
                <w:b w:val="0"/>
                <w:color w:val="172033"/>
                <w:sz w:val="17"/>
              </w:rPr>
              <w:t>output/pdf/*.pdf and tmp/corp-docs-png/*.png used in this report</w:t>
            </w:r>
          </w:p>
        </w:tc>
      </w:tr>
    </w:tbl>
    <w:p>
      <w:pPr>
        <w:spacing w:after="40"/>
      </w:pPr>
    </w:p>
    <w:p>
      <w:pPr>
        <w:pStyle w:val="Heading1"/>
        <w:keepNext/>
      </w:pPr>
      <w:r>
        <w:t>Appendix A Evidence note</w:t>
      </w:r>
    </w:p>
    <w:p>
      <w:pPr>
        <w:spacing w:after="120" w:line="269" w:lineRule="auto"/>
      </w:pPr>
      <w:r>
        <w:t>This document records the implementation visible in the repository and the rendered corporate document previews available at review time. The invoice and document previews contain test or sample identities and values and are shown to document the current layouts, fields, and document chain.</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Renivet Corporate Order Current State | 06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