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 w:cs="Noto Sans CJK SC"/>
          <w:color w:val="000000"/>
        </w:rPr>
        <w:t>东方同人社团资金与库存管理系统</w:t>
      </w:r>
    </w:p>
    <w:p>
      <w:pPr>
        <w:pStyle w:val="Subtitle"/>
      </w:pPr>
      <w:r>
        <w:rPr>
          <w:rFonts w:ascii="Noto Sans CJK SC" w:hAnsi="Noto Sans CJK SC" w:eastAsia="Noto Sans CJK SC" w:cs="Noto Sans CJK SC"/>
          <w:color w:val="000000"/>
        </w:rPr>
        <w:t>第一阶段总体架构与核心功能</w:t>
      </w:r>
    </w:p>
    <w:p>
      <w:r>
        <w:rPr>
          <w:rFonts w:ascii="Noto Sans CJK SC" w:hAnsi="Noto Sans CJK SC" w:eastAsia="Noto Sans CJK SC" w:cs="Noto Sans CJK SC"/>
          <w:color w:val="000000"/>
          <w:sz w:val="19"/>
        </w:rPr>
        <w:t>版本 v0.4　　日期 2026年10月12日　　架构方向 模块化单体</w:t>
      </w:r>
    </w:p>
    <w:p>
      <w:r>
        <w:rPr>
          <w:rFonts w:ascii="Noto Sans CJK SC" w:hAnsi="Noto Sans CJK SC" w:eastAsia="Noto Sans CJK SC" w:cs="Noto Sans CJK SC"/>
          <w:color w:val="000000"/>
        </w:rPr>
        <w:t>第一阶段建立可信的资金、数量和成员往来记录。成员通过少量日常入口登记实际发生的事，系统负责生成凭证、数量流水、审批与偿还对应关系。本版保留独立的整笔垫付记录，明确它与成员汇总余额、偿还记录和到货记录的关系。技术选型仍为候选，实施前需确认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color w:val="000000"/>
        </w:rPr>
        <w:t>1 目标与阶段范围</w:t>
      </w:r>
    </w:p>
    <w:p>
      <w:r>
        <w:rPr>
          <w:rFonts w:ascii="Noto Sans CJK SC" w:hAnsi="Noto Sans CJK SC" w:eastAsia="Noto Sans CJK SC" w:cs="Noto Sans CJK SC"/>
          <w:color w:val="000000"/>
        </w:rPr>
        <w:t>系统投入使用后，应能从正式记录回答以下问题：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000000"/>
        </w:rPr>
        <w:t>社团各资金账户的账面余额是多少，哪些金额已对账，哪些仍有已知差异；社团还欠各成员多少已确认垫付款。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000000"/>
        </w:rPr>
        <w:t>各实际位置和保管人持有哪些 SKU、数量多少，还有多少货已交出但尚未收妥。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000000"/>
        </w:rPr>
        <w:t>哪些收付、垫付确认、偿还和货物变化形成了当前结果，每笔垫付还剩多少未偿还。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000000"/>
        </w:rPr>
        <w:t>每次变化由谁发起、谁批准或依据什么规则免审批、谁确认实际事实、谁执行过账，后来怎样更正。</w:t>
      </w:r>
    </w:p>
    <w:p>
      <w:r>
        <w:rPr>
          <w:rFonts w:ascii="Noto Sans CJK SC" w:hAnsi="Noto Sans CJK SC" w:eastAsia="Noto Sans CJK SC" w:cs="Noto Sans CJK SC"/>
          <w:color w:val="000000"/>
        </w:rPr>
        <w:t>第一阶段包含资金复式账本、数量账本、整笔垫付与部分偿还、采购到货、销售或赠送出库、调拨交接、损耗、盘点、资金对账、期初和基本恢复能力。采购到货与采购付款可以分开登记，普通采购不强制先建立采购订单。</w:t>
      </w:r>
    </w:p>
    <w:p>
      <w:r>
        <w:rPr>
          <w:rFonts w:ascii="Noto Sans CJK SC" w:hAnsi="Noto Sans CJK SC" w:eastAsia="Noto Sans CJK SC" w:cs="Noto Sans CJK SC"/>
          <w:color w:val="000000"/>
        </w:rPr>
        <w:t>第一阶段不确认存货价值、销售成本或商品利润，不建设完整财务报表、通用经营归属、成本分摊、生产加工、复杂寄售结算、自动 POS 导入或 Agent 接入。数量已有记录但尚未估值时，页面显示“未估值”，不能显示为价值零。</w:t>
      </w:r>
    </w:p>
    <w:p>
      <w:r>
        <w:rPr>
          <w:rFonts w:ascii="Noto Sans CJK SC" w:hAnsi="Noto Sans CJK SC" w:eastAsia="Noto Sans CJK SC" w:cs="Noto Sans CJK SC"/>
          <w:color w:val="000000"/>
        </w:rPr>
        <w:t>资金和库存页面展示的是账面记录。只有与银行、支付平台、现金实点或实物盘点比较后，才能说明在某一时点核对的结果；账面余额与最近一次已知差异要分别呈现。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color w:val="000000"/>
        </w:rPr>
        <w:t>2 成员的日常操作入口</w:t>
      </w:r>
    </w:p>
    <w:p>
      <w:r>
        <w:rPr>
          <w:rFonts w:ascii="Noto Sans CJK SC" w:hAnsi="Noto Sans CJK SC" w:eastAsia="Noto Sans CJK SC" w:cs="Noto Sans CJK SC"/>
          <w:b/>
          <w:color w:val="000000"/>
        </w:rPr>
        <w:t>后台存在多个数据模型，不要求成员逐张填写对应表单。</w:t>
      </w:r>
      <w:r>
        <w:rPr>
          <w:rFonts w:ascii="Noto Sans CJK SC" w:hAnsi="Noto Sans CJK SC" w:eastAsia="Noto Sans CJK SC" w:cs="Noto Sans CJK SC"/>
          <w:color w:val="000000"/>
        </w:rPr>
        <w:t xml:space="preserve"> 默认只展示当前动作必需的内容，商品明细、差异说明和多笔偿还匹配按需展开。常用成员、资金账户、SKU 和位置可以预设。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4320"/>
        <w:gridCol w:w="4320"/>
      </w:tblGrid>
      <w:tr>
        <w:trPr>
          <w:cantSplit/>
          <w:tblHeader w:val="true"/>
        </w:trPr>
        <w:tc>
          <w:tcPr>
            <w:tcW w:type="dxa" w:w="158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7EDF3"/>
          </w:tcPr>
          <w:p>
            <w:pPr>
              <w:keepNext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0"/>
              </w:rPr>
              <w:t>入口</w:t>
            </w:r>
          </w:p>
        </w:tc>
        <w:tc>
          <w:tcPr>
            <w:tcW w:type="dxa" w:w="432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7EDF3"/>
          </w:tcPr>
          <w:p>
            <w:pPr>
              <w:keepNext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0"/>
              </w:rPr>
              <w:t>成员填写或确认</w:t>
            </w:r>
          </w:p>
        </w:tc>
        <w:tc>
          <w:tcPr>
            <w:tcW w:type="dxa" w:w="432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7EDF3"/>
          </w:tcPr>
          <w:p>
            <w:pPr>
              <w:keepNext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0"/>
              </w:rPr>
              <w:t>系统处理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记收支或垫付</w:t>
            </w:r>
          </w:p>
        </w:tc>
        <w:tc>
          <w:tcPr>
            <w:tcW w:type="dxa" w:w="432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谁付款或收款、金额、用途、日期与凭据；有实际货物流动时选填 SKU 和数量</w:t>
            </w:r>
          </w:p>
        </w:tc>
        <w:tc>
          <w:tcPr>
            <w:tcW w:type="dxa" w:w="432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按实际付款主体生成收付记录或待确认垫付；已到货、已出库资料可在同一入口提交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记货物</w:t>
            </w:r>
          </w:p>
        </w:tc>
        <w:tc>
          <w:tcPr>
            <w:tcW w:type="dxa" w:w="432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到货、销售出库、赠送、退回或损耗；SKU、数量、实际位置与依据</w:t>
            </w:r>
          </w:p>
        </w:tc>
        <w:tc>
          <w:tcPr>
            <w:tcW w:type="dxa" w:w="432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生成对应类型的数量记录；与已有收付或垫付关联时不重复登记钱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调拨交接</w:t>
            </w:r>
          </w:p>
        </w:tc>
        <w:tc>
          <w:tcPr>
            <w:tcW w:type="dxa" w:w="432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从哪里到哪里、什么货、多少；交出和接收时确认本次数量</w:t>
            </w:r>
          </w:p>
        </w:tc>
        <w:tc>
          <w:tcPr>
            <w:tcW w:type="dxa" w:w="432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保存计划、审批及分批交接；接收可默认全收，差异再展开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偿还垫付</w:t>
            </w:r>
          </w:p>
        </w:tc>
        <w:tc>
          <w:tcPr>
            <w:tcW w:type="dxa" w:w="432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成员、金额、社团付款账户、实际付款日期与凭据</w:t>
            </w:r>
          </w:p>
        </w:tc>
        <w:tc>
          <w:tcPr>
            <w:tcW w:type="dxa" w:w="432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生成偿还记录和逐笔匹配，展示偿还后剩余欠款</w:t>
            </w:r>
          </w:p>
        </w:tc>
      </w:tr>
    </w:tbl>
    <w:p>
      <w:pPr>
        <w:spacing w:after="0" w:before="0" w:line="240" w:lineRule="auto"/>
      </w:pPr>
      <w:r>
        <w:rPr>
          <w:rFonts w:ascii="Noto Sans CJK SC" w:hAnsi="Noto Sans CJK SC" w:eastAsia="Noto Sans CJK SC" w:cs="Noto Sans CJK SC"/>
          <w:color w:val="000000"/>
          <w:sz w:val="6"/>
        </w:rPr>
      </w:r>
    </w:p>
    <w:p>
      <w:r>
        <w:rPr>
          <w:rFonts w:ascii="Noto Sans CJK SC" w:hAnsi="Noto Sans CJK SC" w:eastAsia="Noto Sans CJK SC" w:cs="Noto Sans CJK SC"/>
          <w:color w:val="000000"/>
        </w:rPr>
        <w:t>审批、待办和查询集中展示；盘点、对账与期初作为管理入口。手机页面应能完成日常操作，第一阶段无需先实现离线账本或 PWA。</w:t>
      </w:r>
    </w:p>
    <w:p>
      <w:r>
        <w:rPr>
          <w:rFonts w:ascii="Noto Sans CJK SC" w:hAnsi="Noto Sans CJK SC" w:eastAsia="Noto Sans CJK SC" w:cs="Noto Sans CJK SC"/>
          <w:color w:val="000000"/>
        </w:rPr>
        <w:t>一张表可同时收集垫付和到货资料。垫付待确认、到货已确认时，两者按各自权限和事实处理；已正式入库的货，不因垫付申请被退回就自动消失。缺少到货信息时先记垫付，货物以后补录。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color w:val="000000"/>
        </w:rPr>
        <w:t>3 总体架构与职责</w:t>
      </w:r>
    </w:p>
    <w:p>
      <w:r>
        <w:rPr>
          <w:rFonts w:ascii="Noto Sans CJK SC" w:hAnsi="Noto Sans CJK SC" w:eastAsia="Noto Sans CJK SC" w:cs="Noto Sans CJK SC"/>
          <w:color w:val="000000"/>
        </w:rPr>
        <w:t>采用模块化单体：一个后端服务、一个权威数据库，配合基础网页界面和私有附件存储。各模块在同一应用内调用，由统一过账服务控制正式写入。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77"/>
        <w:gridCol w:w="7747"/>
      </w:tblGrid>
      <w:tr>
        <w:trPr>
          <w:cantSplit/>
          <w:tblHeader w:val="true"/>
        </w:trPr>
        <w:tc>
          <w:tcPr>
            <w:tcW w:type="dxa" w:w="247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7EDF3"/>
          </w:tcPr>
          <w:p>
            <w:pPr>
              <w:keepNext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0"/>
              </w:rPr>
              <w:t>模块</w:t>
            </w:r>
          </w:p>
        </w:tc>
        <w:tc>
          <w:tcPr>
            <w:tcW w:type="dxa" w:w="774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7EDF3"/>
          </w:tcPr>
          <w:p>
            <w:pPr>
              <w:keepNext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0"/>
              </w:rPr>
              <w:t>主要职责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业务服务</w:t>
            </w:r>
          </w:p>
        </w:tc>
        <w:tc>
          <w:tcPr>
            <w:tcW w:type="dxa" w:w="774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提供收付、垫付、偿还、到货、出库、交接和盘点动作；组织输入、权限与审批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资金账本</w:t>
            </w:r>
          </w:p>
        </w:tc>
        <w:tc>
          <w:tcPr>
            <w:tcW w:type="dxa" w:w="774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约束科目、资金账户、借贷平衡及成员往来分录；生成可重建的资金余额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数量账本</w:t>
            </w:r>
          </w:p>
        </w:tc>
        <w:tc>
          <w:tcPr>
            <w:tcW w:type="dxa" w:w="774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记录各类正式数量变化，重建实际位置库存及调拨未收妥数量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统一过账与权限审计</w:t>
            </w:r>
          </w:p>
        </w:tc>
        <w:tc>
          <w:tcPr>
            <w:tcW w:type="dxa" w:w="774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锁内校验、幂等、事务提交、审批版本、执行身份及更正链路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查询与基础设施</w:t>
            </w:r>
          </w:p>
        </w:tc>
        <w:tc>
          <w:tcPr>
            <w:tcW w:type="dxa" w:w="774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余额、明细、待办和已知差异；数据库、迁移、私有附件及备份恢复</w:t>
            </w:r>
          </w:p>
        </w:tc>
      </w:tr>
    </w:tbl>
    <w:p>
      <w:pPr>
        <w:spacing w:after="0" w:before="0" w:line="240" w:lineRule="auto"/>
      </w:pPr>
      <w:r>
        <w:rPr>
          <w:rFonts w:ascii="Noto Sans CJK SC" w:hAnsi="Noto Sans CJK SC" w:eastAsia="Noto Sans CJK SC" w:cs="Noto Sans CJK SC"/>
          <w:color w:val="000000"/>
          <w:sz w:val="6"/>
        </w:rPr>
      </w:r>
    </w:p>
    <w:p>
      <w:r>
        <w:rPr>
          <w:rFonts w:ascii="Noto Sans CJK SC" w:hAnsi="Noto Sans CJK SC" w:eastAsia="Noto Sans CJK SC" w:cs="Noto Sans CJK SC"/>
          <w:color w:val="000000"/>
        </w:rPr>
        <w:t>HTTP 接口和页面只调用业务服务，不直接维护余额。业务服务提出本次变化，统一过账校验并写入正式流水、业务状态和审计。查询层读取流水或可重建缓存。第一阶段不搭建空的估值模块、通用分摊引擎、消息队列或微服务。</w:t>
      </w:r>
    </w:p>
    <w:p>
      <w:r>
        <w:rPr>
          <w:rFonts w:ascii="Noto Sans CJK SC" w:hAnsi="Noto Sans CJK SC" w:eastAsia="Noto Sans CJK SC" w:cs="Noto Sans CJK SC"/>
          <w:b/>
          <w:color w:val="000000"/>
        </w:rPr>
        <w:t>执行过账指把已确认事实正式写入账本。</w:t>
      </w:r>
      <w:r>
        <w:rPr>
          <w:rFonts w:ascii="Noto Sans CJK SC" w:hAnsi="Noto Sans CJK SC" w:eastAsia="Noto Sans CJK SC" w:cs="Noto Sans CJK SC"/>
          <w:color w:val="000000"/>
        </w:rPr>
        <w:t xml:space="preserve"> 现实中的转账、交货和接货由成员完成并确认；第一阶段不自动操作银行或支付平台。</w:t>
      </w:r>
    </w:p>
    <w:p>
      <w:r>
        <w:rPr>
          <w:rFonts w:ascii="Noto Sans CJK SC" w:hAnsi="Noto Sans CJK SC" w:eastAsia="Noto Sans CJK SC" w:cs="Noto Sans CJK SC"/>
          <w:color w:val="000000"/>
        </w:rPr>
        <w:t>数据分为三类：凭证、数量流水和执行记录属于正式事实；单据与审批进度属于受版本约束的业务状态；余额和汇总属于派生结果。正式错误通过更正或冲销处理，不能通过修改派生余额修正。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color w:val="000000"/>
        </w:rPr>
        <w:t>4 核心数据与关系</w:t>
      </w:r>
    </w:p>
    <w:p>
      <w:r>
        <w:rPr>
          <w:rFonts w:ascii="Noto Sans CJK SC" w:hAnsi="Noto Sans CJK SC" w:eastAsia="Noto Sans CJK SC" w:cs="Noto Sans CJK SC"/>
          <w:color w:val="000000"/>
        </w:rPr>
        <w:t>以下是逻辑模型及其职责，用于指导实施；具体表名、字段和拆表方式在实施设计中确定。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000000"/>
        </w:rPr>
        <w:t>基础资料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53"/>
        <w:gridCol w:w="3485"/>
        <w:gridCol w:w="3686"/>
      </w:tblGrid>
      <w:tr>
        <w:trPr>
          <w:cantSplit/>
          <w:tblHeader w:val="true"/>
        </w:trPr>
        <w:tc>
          <w:tcPr>
            <w:tcW w:type="dxa" w:w="3053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7EDF3"/>
          </w:tcPr>
          <w:p>
            <w:pPr>
              <w:keepNext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0"/>
              </w:rPr>
              <w:t>模型</w:t>
            </w:r>
          </w:p>
        </w:tc>
        <w:tc>
          <w:tcPr>
            <w:tcW w:type="dxa" w:w="348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7EDF3"/>
          </w:tcPr>
          <w:p>
            <w:pPr>
              <w:keepNext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0"/>
              </w:rPr>
              <w:t>保存什么</w:t>
            </w:r>
          </w:p>
        </w:tc>
        <w:tc>
          <w:tcPr>
            <w:tcW w:type="dxa" w:w="368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7EDF3"/>
          </w:tcPr>
          <w:p>
            <w:pPr>
              <w:keepNext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0"/>
              </w:rPr>
              <w:t>关键边界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参与方 Party</w:t>
              <w:br/>
              <w:t>用户 User</w:t>
            </w:r>
          </w:p>
        </w:tc>
        <w:tc>
          <w:tcPr>
            <w:tcW w:type="dxa" w:w="348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成员、供应方等参与方；登录身份与权限</w:t>
            </w:r>
          </w:p>
        </w:tc>
        <w:tc>
          <w:tcPr>
            <w:tcW w:type="dxa" w:w="368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成员不必都有登录账号。登录人、付款人、保管人可不同，操作身份由认证产生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资金账户 FundAccount</w:t>
              <w:br/>
              <w:t>科目 LedgerAccount</w:t>
            </w:r>
          </w:p>
        </w:tc>
        <w:tc>
          <w:tcPr>
            <w:tcW w:type="dxa" w:w="348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现金、银行和支付账户；分录使用的科目与场景映射</w:t>
            </w:r>
          </w:p>
        </w:tc>
        <w:tc>
          <w:tcPr>
            <w:tcW w:type="dxa" w:w="368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资金账户表示组织管理的资金，不把成员私人余额计入组织资金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商品 SKU</w:t>
            </w:r>
          </w:p>
        </w:tc>
        <w:tc>
          <w:tcPr>
            <w:tcW w:type="dxa" w:w="348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名称、规格、计量单位、启用状态</w:t>
            </w:r>
          </w:p>
        </w:tc>
        <w:tc>
          <w:tcPr>
            <w:tcW w:type="dxa" w:w="368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第一阶段管理数量，不要求批次单位成本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实际位置 StockLocation</w:t>
              <w:br/>
              <w:t>保管关系 LocationCustody</w:t>
            </w:r>
          </w:p>
        </w:tc>
        <w:tc>
          <w:tcPr>
            <w:tcW w:type="dxa" w:w="348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仓库、宿舍、展会现场等位置；保管人及有效时间</w:t>
            </w:r>
          </w:p>
        </w:tc>
        <w:tc>
          <w:tcPr>
            <w:tcW w:type="dxa" w:w="368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保留历史保管关系，不能用当前保管人替代历史确认人</w:t>
            </w:r>
          </w:p>
        </w:tc>
      </w:tr>
    </w:tbl>
    <w:p>
      <w:pPr>
        <w:spacing w:after="0" w:before="0" w:line="240" w:lineRule="auto"/>
      </w:pPr>
      <w:r>
        <w:rPr>
          <w:rFonts w:ascii="Noto Sans CJK SC" w:hAnsi="Noto Sans CJK SC" w:eastAsia="Noto Sans CJK SC" w:cs="Noto Sans CJK SC"/>
          <w:color w:val="000000"/>
          <w:sz w:val="6"/>
        </w:rPr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000000"/>
        </w:rPr>
        <w:t>业务事实与正式记录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53"/>
        <w:gridCol w:w="3485"/>
        <w:gridCol w:w="3686"/>
      </w:tblGrid>
      <w:tr>
        <w:trPr>
          <w:cantSplit/>
          <w:tblHeader w:val="true"/>
        </w:trPr>
        <w:tc>
          <w:tcPr>
            <w:tcW w:type="dxa" w:w="3053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7EDF3"/>
          </w:tcPr>
          <w:p>
            <w:pPr>
              <w:keepNext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0"/>
              </w:rPr>
              <w:t>模型</w:t>
            </w:r>
          </w:p>
        </w:tc>
        <w:tc>
          <w:tcPr>
            <w:tcW w:type="dxa" w:w="348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7EDF3"/>
          </w:tcPr>
          <w:p>
            <w:pPr>
              <w:keepNext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0"/>
              </w:rPr>
              <w:t>保存什么</w:t>
            </w:r>
          </w:p>
        </w:tc>
        <w:tc>
          <w:tcPr>
            <w:tcW w:type="dxa" w:w="368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7EDF3"/>
          </w:tcPr>
          <w:p>
            <w:pPr>
              <w:keepNext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0"/>
              </w:rPr>
              <w:t>必要关联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资金业务记录</w:t>
              <w:br/>
              <w:t>MoneyTransaction</w:t>
            </w:r>
          </w:p>
        </w:tc>
        <w:tc>
          <w:tcPr>
            <w:tcW w:type="dxa" w:w="348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收款、付款、内部转账、偿还等动作及金额、账户、对方和凭据</w:t>
            </w:r>
          </w:p>
        </w:tc>
        <w:tc>
          <w:tcPr>
            <w:tcW w:type="dxa" w:w="368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同一次偿还就是一笔付款业务，不再额外记第二笔“支出”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整笔垫付 MemberClaim</w:t>
            </w:r>
          </w:p>
        </w:tc>
        <w:tc>
          <w:tcPr>
            <w:tcW w:type="dxa" w:w="348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成员、币种、申报金额、用途、凭据、确认金额和确认版本</w:t>
            </w:r>
          </w:p>
        </w:tc>
        <w:tc>
          <w:tcPr>
            <w:tcW w:type="dxa" w:w="368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一笔垫付对应一个待偿还事项；关联正式往来分录与来源依据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偿还匹配</w:t>
              <w:br/>
              <w:t>RepaymentAllocation</w:t>
            </w:r>
          </w:p>
        </w:tc>
        <w:tc>
          <w:tcPr>
            <w:tcW w:type="dxa" w:w="348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某次偿还对应哪笔垫付、偿还多少</w:t>
            </w:r>
          </w:p>
        </w:tc>
        <w:tc>
          <w:tcPr>
            <w:tcW w:type="dxa" w:w="368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一笔偿还可匹配多笔垫付，一笔垫付可分多次偿还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凭证 JournalEntry</w:t>
              <w:br/>
              <w:t>分录 JournalLine</w:t>
            </w:r>
          </w:p>
        </w:tc>
        <w:tc>
          <w:tcPr>
            <w:tcW w:type="dxa" w:w="348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借贷金额、科目、必要的资金账户或往来成员</w:t>
            </w:r>
          </w:p>
        </w:tc>
        <w:tc>
          <w:tcPr>
            <w:tcW w:type="dxa" w:w="368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关联本次操作和业务依据；每张正式凭证借贷平衡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数量流水 StockMove</w:t>
            </w:r>
          </w:p>
        </w:tc>
        <w:tc>
          <w:tcPr>
            <w:tcW w:type="dxa" w:w="348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SKU、数量、业务类型、实际位置或外部边界、日期</w:t>
            </w:r>
          </w:p>
        </w:tc>
        <w:tc>
          <w:tcPr>
            <w:tcW w:type="dxa" w:w="368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作为正式数量的唯一依据，关联来源及调拨明细等必要对象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调拨 Transfer</w:t>
              <w:br/>
              <w:t>明细 TransferLine</w:t>
            </w:r>
          </w:p>
        </w:tc>
        <w:tc>
          <w:tcPr>
            <w:tcW w:type="dxa" w:w="348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来源、目标、计划交接数量及批准的内容</w:t>
            </w:r>
          </w:p>
        </w:tc>
        <w:tc>
          <w:tcPr>
            <w:tcW w:type="dxa" w:w="368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一个调拨可含多个 SKU，每个明细可分次交接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交接 TransferHandover</w:t>
            </w:r>
          </w:p>
        </w:tc>
        <w:tc>
          <w:tcPr>
            <w:tcW w:type="dxa" w:w="348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本次交出、接收、实际退回等动作、确认人和依据</w:t>
            </w:r>
          </w:p>
        </w:tc>
        <w:tc>
          <w:tcPr>
            <w:tcW w:type="dxa" w:w="368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关联正式数量流水，交接数量从这些流水计算，不维护另一套可改余额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盘点与资金对账</w:t>
            </w:r>
          </w:p>
        </w:tc>
        <w:tc>
          <w:tcPr>
            <w:tcW w:type="dxa" w:w="348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比较时点、账面值、实点或对账值、差异、依据和确认人</w:t>
            </w:r>
          </w:p>
        </w:tc>
        <w:tc>
          <w:tcPr>
            <w:tcW w:type="dxa" w:w="368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差异确认与实际调整分开；获准调整后关联新流水或凭证</w:t>
            </w:r>
          </w:p>
        </w:tc>
      </w:tr>
    </w:tbl>
    <w:p>
      <w:pPr>
        <w:spacing w:after="0" w:before="0" w:line="240" w:lineRule="auto"/>
      </w:pPr>
      <w:r>
        <w:rPr>
          <w:rFonts w:ascii="Noto Sans CJK SC" w:hAnsi="Noto Sans CJK SC" w:eastAsia="Noto Sans CJK SC" w:cs="Noto Sans CJK SC"/>
          <w:color w:val="000000"/>
          <w:sz w:val="6"/>
        </w:rPr>
      </w:r>
    </w:p>
    <w:p>
      <w:r>
        <w:rPr>
          <w:rFonts w:ascii="Noto Sans CJK SC" w:hAnsi="Noto Sans CJK SC" w:eastAsia="Noto Sans CJK SC" w:cs="Noto Sans CJK SC"/>
          <w:color w:val="000000"/>
        </w:rPr>
        <w:t>业务记录共用稳定编号、业务生效日期、系统记录时间、发起人、版本和附件引用。每次正式动作另有操作编号、幂等标识、审批依据、执行记录及更正引用。共用这些字段即可，无需预建通用单据引擎。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000000"/>
        </w:rPr>
        <w:t>关联必须表达具体含义</w:t>
      </w:r>
    </w:p>
    <w:p>
      <w:r>
        <w:rPr>
          <w:rFonts w:ascii="Noto Sans CJK SC" w:hAnsi="Noto Sans CJK SC" w:eastAsia="Noto Sans CJK SC" w:cs="Noto Sans CJK SC"/>
          <w:color w:val="000000"/>
        </w:rPr>
        <w:t>第一阶段保留三种必要关系：</w:t>
      </w:r>
      <w:r>
        <w:rPr>
          <w:rFonts w:ascii="Noto Sans CJK SC" w:hAnsi="Noto Sans CJK SC" w:eastAsia="Noto Sans CJK SC" w:cs="Noto Sans CJK SC"/>
          <w:b/>
          <w:color w:val="000000"/>
        </w:rPr>
        <w:t>来源引用</w:t>
      </w:r>
      <w:r>
        <w:rPr>
          <w:rFonts w:ascii="Noto Sans CJK SC" w:hAnsi="Noto Sans CJK SC" w:eastAsia="Noto Sans CJK SC" w:cs="Noto Sans CJK SC"/>
          <w:color w:val="000000"/>
        </w:rPr>
        <w:t>说明这笔记录依据什么；</w:t>
      </w:r>
      <w:r>
        <w:rPr>
          <w:rFonts w:ascii="Noto Sans CJK SC" w:hAnsi="Noto Sans CJK SC" w:eastAsia="Noto Sans CJK SC" w:cs="Noto Sans CJK SC"/>
          <w:b/>
          <w:color w:val="000000"/>
        </w:rPr>
        <w:t>偿还匹配</w:t>
      </w:r>
      <w:r>
        <w:rPr>
          <w:rFonts w:ascii="Noto Sans CJK SC" w:hAnsi="Noto Sans CJK SC" w:eastAsia="Noto Sans CJK SC" w:cs="Noto Sans CJK SC"/>
          <w:color w:val="000000"/>
        </w:rPr>
        <w:t>说明这笔钱清偿哪笔垫付、多少金额；</w:t>
      </w:r>
      <w:r>
        <w:rPr>
          <w:rFonts w:ascii="Noto Sans CJK SC" w:hAnsi="Noto Sans CJK SC" w:eastAsia="Noto Sans CJK SC" w:cs="Noto Sans CJK SC"/>
          <w:b/>
          <w:color w:val="000000"/>
        </w:rPr>
        <w:t>交接关联</w:t>
      </w:r>
      <w:r>
        <w:rPr>
          <w:rFonts w:ascii="Noto Sans CJK SC" w:hAnsi="Noto Sans CJK SC" w:eastAsia="Noto Sans CJK SC" w:cs="Noto Sans CJK SC"/>
          <w:color w:val="000000"/>
        </w:rPr>
        <w:t>说明哪个调拨明细在本次交出或接收了多少货。来源引用本身不代表款项已经分摊到某个 SKU。</w:t>
      </w:r>
    </w:p>
    <w:p>
      <w:r>
        <w:rPr>
          <w:rFonts w:ascii="Noto Sans CJK SC" w:hAnsi="Noto Sans CJK SC" w:eastAsia="Noto Sans CJK SC" w:cs="Noto Sans CJK SC"/>
          <w:color w:val="000000"/>
        </w:rPr>
        <w:t>同一个采购事项可以有多次付款、分次到货和多份凭据。它们各有独立动作编号，并可共享原始事项引用；无需为每次录入先建一整套采购订单、发票与应付单。引用应保留到具体单据或明细的能力，不能只保存一段无法定位的备注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color w:val="000000"/>
        </w:rPr>
        <w:t>5 资金收付与成员垫付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000000"/>
        </w:rPr>
        <w:t>资金账本</w:t>
      </w:r>
    </w:p>
    <w:p>
      <w:r>
        <w:rPr>
          <w:rFonts w:ascii="Noto Sans CJK SC" w:hAnsi="Noto Sans CJK SC" w:eastAsia="Noto Sans CJK SC" w:cs="Noto Sans CJK SC"/>
          <w:color w:val="000000"/>
        </w:rPr>
        <w:t>金额采用确定性的精确表示，不使用浮点数计算正式余额。币种范围、金额表示和舍入规则实施前确认；不同币种分别汇总，未建立汇率口径时不提供跨币种总额。数量也按 SKU 的单位和允许精度校验。</w:t>
      </w:r>
    </w:p>
    <w:p>
      <w:r>
        <w:rPr>
          <w:rFonts w:ascii="Noto Sans CJK SC" w:hAnsi="Noto Sans CJK SC" w:eastAsia="Noto Sans CJK SC" w:cs="Noto Sans CJK SC"/>
          <w:color w:val="000000"/>
        </w:rPr>
        <w:t>组织内部账户转账只改变资金分布，不产生经营收入或费用。偿还垫付减少组织资金并清偿成员往来，不把原采购金额再次计作新费用。成员自掏腰包支付商家时，社团资金账户本身没有变化。</w:t>
      </w:r>
    </w:p>
    <w:p>
      <w:r>
        <w:rPr>
          <w:rFonts w:ascii="Noto Sans CJK SC" w:hAnsi="Noto Sans CJK SC" w:eastAsia="Noto Sans CJK SC" w:cs="Noto Sans CJK SC"/>
          <w:color w:val="000000"/>
        </w:rPr>
        <w:t>采购付款及垫付确认的对方科目需要在实施前明确。可讨论使用“采购支出待分类”等过渡记录口径，但本版不将其定为已确认科目，也不将其余额宣称为库存价值。不能未经确认把全部采购付款直接归为费用。普通成员只选业务类型，系统按经确认的映射生成借贷分录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000000"/>
        </w:rPr>
        <w:t>一笔垫付作为一个待偿还事项</w:t>
      </w:r>
    </w:p>
    <w:p>
      <w:r>
        <w:rPr>
          <w:rFonts w:ascii="Noto Sans CJK SC" w:hAnsi="Noto Sans CJK SC" w:eastAsia="Noto Sans CJK SC" w:cs="Noto Sans CJK SC"/>
          <w:color w:val="000000"/>
        </w:rPr>
        <w:t>一笔垫付以同一成员、同一币种的一次申报为单位，保存总金额和依据。商品、运费等可以写在说明或附件中，不要求把债务拆成商品明细、运费明细。只有确实记录实物变化时才填写 SKU 和数量。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/>
          <w:color w:val="000000"/>
        </w:rPr>
        <w:t>申报：</w:t>
      </w:r>
      <w:r>
        <w:rPr>
          <w:rFonts w:ascii="Noto Sans CJK SC" w:hAnsi="Noto Sans CJK SC" w:eastAsia="Noto Sans CJK SC" w:cs="Noto Sans CJK SC"/>
          <w:color w:val="000000"/>
        </w:rPr>
        <w:t>提交后形成待确认记录。申报金额单独展示，尚未形成正式成员应付款。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/>
          <w:color w:val="000000"/>
        </w:rPr>
        <w:t>确认：</w:t>
      </w:r>
      <w:r>
        <w:rPr>
          <w:rFonts w:ascii="Noto Sans CJK SC" w:hAnsi="Noto Sans CJK SC" w:eastAsia="Noto Sans CJK SC" w:cs="Noto Sans CJK SC"/>
          <w:color w:val="000000"/>
        </w:rPr>
        <w:t>按权限或审批规则确认金额；若与申报不同，保留差额原因和依据。确认结果与相应往来分录统一过账。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/>
          <w:color w:val="000000"/>
        </w:rPr>
        <w:t>偿还：</w:t>
      </w:r>
      <w:r>
        <w:rPr>
          <w:rFonts w:ascii="Noto Sans CJK SC" w:hAnsi="Noto Sans CJK SC" w:eastAsia="Noto Sans CJK SC" w:cs="Noto Sans CJK SC"/>
          <w:color w:val="000000"/>
        </w:rPr>
        <w:t>实际付款确认后，记录付款和对应垫付的偿还金额。未偿还、部分偿还和已结清由正式数据计算。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/>
          <w:color w:val="000000"/>
        </w:rPr>
        <w:t>更正：</w:t>
      </w:r>
      <w:r>
        <w:rPr>
          <w:rFonts w:ascii="Noto Sans CJK SC" w:hAnsi="Noto Sans CJK SC" w:eastAsia="Noto Sans CJK SC" w:cs="Noto Sans CJK SC"/>
          <w:color w:val="000000"/>
        </w:rPr>
        <w:t>正式确认后的金额或匹配有误，走留痕的更正流程，不覆盖原确认或原偿还结果。</w:t>
      </w:r>
    </w:p>
    <w:p>
      <w:r>
        <w:rPr>
          <w:rFonts w:ascii="Noto Sans CJK SC" w:hAnsi="Noto Sans CJK SC" w:eastAsia="Noto Sans CJK SC" w:cs="Noto Sans CJK SC"/>
          <w:color w:val="000000"/>
        </w:rPr>
        <w:t>垫付是债务的业务依据，往来分录是同一债务的正式账务表达。成员应付款从正式分录汇总；逐笔未结金额由确认金额、正式调整及有效偿还匹配计算，两者必须能核对。不能将两份结果再相加，也不能提供独立可改的“剩余欠款”字段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000000"/>
        </w:rPr>
        <w:t>简单偿还与逐笔追踪</w:t>
      </w:r>
    </w:p>
    <w:p>
      <w:r>
        <w:rPr>
          <w:rFonts w:ascii="Noto Sans CJK SC" w:hAnsi="Noto Sans CJK SC" w:eastAsia="Noto Sans CJK SC" w:cs="Noto Sans CJK SC"/>
          <w:color w:val="000000"/>
        </w:rPr>
        <w:t>成员或财务只选择收款成员、金额和社团付款账户。系统生成本次偿还对应的垫付及金额，提交前显示结果，必要时才展开调整。匹配仅覆盖同组织、同成员、同币种的已确认未结垫付。</w:t>
      </w:r>
    </w:p>
    <w:p>
      <w:r>
        <w:rPr>
          <w:rFonts w:ascii="Noto Sans CJK SC" w:hAnsi="Noto Sans CJK SC" w:eastAsia="Noto Sans CJK SC" w:cs="Noto Sans CJK SC"/>
          <w:color w:val="000000"/>
        </w:rPr>
        <w:t>本版建议默认按最早确认时间、再按稳定编号分配，实施前确认该规则。系统保存实际采用的顺序依据和匹配结果，不能在历史查询时按今天的数据重新推算。默认匹配也要明确标为系统规则生成，不伪称成员逐笔指定。</w:t>
      </w:r>
    </w:p>
    <w:p>
      <w:r>
        <w:rPr>
          <w:rFonts w:ascii="Noto Sans CJK SC" w:hAnsi="Noto Sans CJK SC" w:eastAsia="Noto Sans CJK SC" w:cs="Noto Sans CJK SC"/>
          <w:color w:val="000000"/>
        </w:rPr>
        <w:t>本次偿还金额须与匹配金额合计一致，且不能超过这些垫付的未结总额。超出部分不能自动变成负垫付或借款；需改正输入，或按另一个明确的资金业务处理。部分偿还、并发偿还及匹配更正都要在统一过账中校验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000000"/>
        </w:rPr>
        <w:t>成员总览与其他往来</w:t>
      </w:r>
    </w:p>
    <w:p>
      <w:r>
        <w:rPr>
          <w:rFonts w:ascii="Noto Sans CJK SC" w:hAnsi="Noto Sans CJK SC" w:eastAsia="Noto Sans CJK SC" w:cs="Noto Sans CJK SC"/>
          <w:color w:val="000000"/>
        </w:rPr>
        <w:t>成员页面分别展示待确认垫付、已确认未偿还垫付和偿还明细。若存在组织预先发出的采购备用金，或成员代收、代管的组织钱款，还需分别标示其性质。人的所有收支差额不能直接解释为垫付余额；净额为零也不能证明每笔垫付已结清。</w:t>
      </w:r>
    </w:p>
    <w:p>
      <w:r>
        <w:rPr>
          <w:rFonts w:ascii="Noto Sans CJK SC" w:hAnsi="Noto Sans CJK SC" w:eastAsia="Noto Sans CJK SC" w:cs="Noto Sans CJK SC"/>
          <w:color w:val="000000"/>
        </w:rPr>
        <w:t>组织先给成员钱去采购，属于预付或备用金场景；成员自掏腰包才属于垫付。成员购买社团商品、捐款或保管货物，不自动形成垫付债务。第一阶段不默认用其他往来抵消垫付；确需抵销时，另行确认依据与授权并留痕。</w:t>
      </w:r>
    </w:p>
    <w:p>
      <w:r>
        <w:rPr>
          <w:rFonts w:ascii="Noto Sans CJK SC" w:hAnsi="Noto Sans CJK SC" w:eastAsia="Noto Sans CJK SC" w:cs="Noto Sans CJK SC"/>
          <w:color w:val="000000"/>
        </w:rPr>
        <w:t>若将成员保管的组织现金建成社团资金账户，该账户只记录组织资金部分；同一笔钱不能同时再记为“成员欠社团”的另一份资产。备用金和代收款的具体处理范围在实施前确认，不为此先建设完整借款系统。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color w:val="000000"/>
        </w:rPr>
        <w:t>6 数量库存与实际交接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000000"/>
        </w:rPr>
        <w:t>数量与外部边界</w:t>
      </w:r>
    </w:p>
    <w:p>
      <w:r>
        <w:rPr>
          <w:rFonts w:ascii="Noto Sans CJK SC" w:hAnsi="Noto Sans CJK SC" w:eastAsia="Noto Sans CJK SC" w:cs="Noto Sans CJK SC"/>
          <w:color w:val="000000"/>
        </w:rPr>
        <w:t>库存只包括属于本组织的货物，不建立多所有者库存。成员或合作方可以保管组织货物，他们自有商品不进入本库存账。SKU、到货资料和生产批号可保留，第一阶段不将它们绑定为成本批次。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4205"/>
        <w:gridCol w:w="4291"/>
      </w:tblGrid>
      <w:tr>
        <w:trPr>
          <w:cantSplit/>
          <w:tblHeader w:val="true"/>
        </w:trPr>
        <w:tc>
          <w:tcPr>
            <w:tcW w:type="dxa" w:w="17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7EDF3"/>
          </w:tcPr>
          <w:p>
            <w:pPr>
              <w:keepNext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0"/>
              </w:rPr>
              <w:t>动作</w:t>
            </w:r>
          </w:p>
        </w:tc>
        <w:tc>
          <w:tcPr>
            <w:tcW w:type="dxa" w:w="420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7EDF3"/>
          </w:tcPr>
          <w:p>
            <w:pPr>
              <w:keepNext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0"/>
              </w:rPr>
              <w:t>数量变化</w:t>
            </w:r>
          </w:p>
        </w:tc>
        <w:tc>
          <w:tcPr>
            <w:tcW w:type="dxa" w:w="429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7EDF3"/>
          </w:tcPr>
          <w:p>
            <w:pPr>
              <w:keepNext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0"/>
              </w:rPr>
              <w:t>必须保留的区别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采购到货</w:t>
            </w:r>
          </w:p>
        </w:tc>
        <w:tc>
          <w:tcPr>
            <w:tcW w:type="dxa" w:w="420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外部来源进入实际位置，组织数量增加</w:t>
            </w:r>
          </w:p>
        </w:tc>
        <w:tc>
          <w:tcPr>
            <w:tcW w:type="dxa" w:w="429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到货不等于已付款，也不自动确认库存价值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销售或赠送</w:t>
            </w:r>
          </w:p>
        </w:tc>
        <w:tc>
          <w:tcPr>
            <w:tcW w:type="dxa" w:w="420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实际位置流向外部，组织数量减少</w:t>
            </w:r>
          </w:p>
        </w:tc>
        <w:tc>
          <w:tcPr>
            <w:tcW w:type="dxa" w:w="429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销售和赠送保留不同业务类型；款项可同时或另外确认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丢失或报废</w:t>
            </w:r>
          </w:p>
        </w:tc>
        <w:tc>
          <w:tcPr>
            <w:tcW w:type="dxa" w:w="420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实际位置或未收妥数量转为损耗，组织数量减少</w:t>
            </w:r>
          </w:p>
        </w:tc>
        <w:tc>
          <w:tcPr>
            <w:tcW w:type="dxa" w:w="429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保存原因和授权依据，不混作销售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真实退货或退回</w:t>
            </w:r>
          </w:p>
        </w:tc>
        <w:tc>
          <w:tcPr>
            <w:tcW w:type="dxa" w:w="420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按实际交接新增数量变化</w:t>
            </w:r>
          </w:p>
        </w:tc>
        <w:tc>
          <w:tcPr>
            <w:tcW w:type="dxa" w:w="429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退款单独确认，不能由退款推定货已退回</w:t>
            </w:r>
          </w:p>
        </w:tc>
      </w:tr>
    </w:tbl>
    <w:p>
      <w:pPr>
        <w:spacing w:after="0" w:before="0" w:line="240" w:lineRule="auto"/>
      </w:pPr>
      <w:r>
        <w:rPr>
          <w:rFonts w:ascii="Noto Sans CJK SC" w:hAnsi="Noto Sans CJK SC" w:eastAsia="Noto Sans CJK SC" w:cs="Noto Sans CJK SC"/>
          <w:color w:val="000000"/>
          <w:sz w:val="6"/>
        </w:rPr>
      </w:r>
    </w:p>
    <w:p>
      <w:r>
        <w:rPr>
          <w:rFonts w:ascii="Noto Sans CJK SC" w:hAnsi="Noto Sans CJK SC" w:eastAsia="Noto Sans CJK SC" w:cs="Noto Sans CJK SC"/>
          <w:color w:val="000000"/>
        </w:rPr>
        <w:t>外部来源和去向只是组织库存的边界标识，不维护商家的真实库存，也不计入组织数量。销售出库与收款可在同一入口登记；已经录过的事实只作关联，不能因补录另一部分而重复过账。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000000"/>
        </w:rPr>
        <w:t>调拨只有三个主状态</w:t>
      </w:r>
    </w:p>
    <w:p>
      <w:r>
        <w:rPr>
          <w:rFonts w:ascii="Noto Sans CJK SC" w:hAnsi="Noto Sans CJK SC" w:eastAsia="Noto Sans CJK SC" w:cs="Noto Sans CJK SC"/>
          <w:color w:val="000000"/>
        </w:rPr>
        <w:t>调拨主状态保留为：</w:t>
      </w:r>
      <w:r>
        <w:rPr>
          <w:rFonts w:ascii="Noto Sans CJK SC" w:hAnsi="Noto Sans CJK SC" w:eastAsia="Noto Sans CJK SC" w:cs="Noto Sans CJK SC"/>
          <w:b/>
          <w:color w:val="000000"/>
        </w:rPr>
        <w:t>待审批 → 在途 → 已完成</w:t>
      </w:r>
      <w:r>
        <w:rPr>
          <w:rFonts w:ascii="Noto Sans CJK SC" w:hAnsi="Noto Sans CJK SC" w:eastAsia="Noto Sans CJK SC" w:cs="Noto Sans CJK SC"/>
          <w:color w:val="000000"/>
        </w:rPr>
        <w:t>。免审批的操作经授权校验后进入在途，明确记录免审批依据。不增加“待交出”状态，也不建立虚拟在途位置。</w:t>
      </w:r>
    </w:p>
    <w:p>
      <w:r>
        <w:rPr>
          <w:rFonts w:ascii="Noto Sans CJK SC" w:hAnsi="Noto Sans CJK SC" w:eastAsia="Noto Sans CJK SC" w:cs="Noto Sans CJK SC"/>
          <w:color w:val="000000"/>
        </w:rPr>
        <w:t>“在途”表示调拨已获准、尚未结清，可能还没有交出任何货。批准只允许执行计划，不扣库存。实际变化由下列数量事件决定：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3600"/>
        <w:gridCol w:w="4320"/>
      </w:tblGrid>
      <w:tr>
        <w:trPr>
          <w:cantSplit/>
          <w:tblHeader w:val="true"/>
        </w:trPr>
        <w:tc>
          <w:tcPr>
            <w:tcW w:type="dxa" w:w="230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7EDF3"/>
          </w:tcPr>
          <w:p>
            <w:pPr>
              <w:keepNext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0"/>
              </w:rPr>
              <w:t>事件</w:t>
            </w:r>
          </w:p>
        </w:tc>
        <w:tc>
          <w:tcPr>
            <w:tcW w:type="dxa" w:w="360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7EDF3"/>
          </w:tcPr>
          <w:p>
            <w:pPr>
              <w:keepNext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0"/>
              </w:rPr>
              <w:t>实际位置库存</w:t>
            </w:r>
          </w:p>
        </w:tc>
        <w:tc>
          <w:tcPr>
            <w:tcW w:type="dxa" w:w="432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7EDF3"/>
          </w:tcPr>
          <w:p>
            <w:pPr>
              <w:keepNext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0"/>
              </w:rPr>
              <w:t>已交出但尚未收妥数量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批准</w:t>
            </w:r>
          </w:p>
        </w:tc>
        <w:tc>
          <w:tcPr>
            <w:tcW w:type="dxa" w:w="360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不变</w:t>
            </w:r>
          </w:p>
        </w:tc>
        <w:tc>
          <w:tcPr>
            <w:tcW w:type="dxa" w:w="432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不变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确认交出</w:t>
            </w:r>
          </w:p>
        </w:tc>
        <w:tc>
          <w:tcPr>
            <w:tcW w:type="dxa" w:w="360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来源减少</w:t>
            </w:r>
          </w:p>
        </w:tc>
        <w:tc>
          <w:tcPr>
            <w:tcW w:type="dxa" w:w="432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增加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确认接收</w:t>
            </w:r>
          </w:p>
        </w:tc>
        <w:tc>
          <w:tcPr>
            <w:tcW w:type="dxa" w:w="360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目标增加</w:t>
            </w:r>
          </w:p>
        </w:tc>
        <w:tc>
          <w:tcPr>
            <w:tcW w:type="dxa" w:w="432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减少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实际退回来源</w:t>
            </w:r>
          </w:p>
        </w:tc>
        <w:tc>
          <w:tcPr>
            <w:tcW w:type="dxa" w:w="360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来源增加</w:t>
            </w:r>
          </w:p>
        </w:tc>
        <w:tc>
          <w:tcPr>
            <w:tcW w:type="dxa" w:w="432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减少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确认在途损耗</w:t>
            </w:r>
          </w:p>
        </w:tc>
        <w:tc>
          <w:tcPr>
            <w:tcW w:type="dxa" w:w="360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实际位置不增加</w:t>
            </w:r>
          </w:p>
        </w:tc>
        <w:tc>
          <w:tcPr>
            <w:tcW w:type="dxa" w:w="432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减少，同时减少组织总数量</w:t>
            </w:r>
          </w:p>
        </w:tc>
      </w:tr>
    </w:tbl>
    <w:p>
      <w:pPr>
        <w:spacing w:after="0" w:before="0" w:line="240" w:lineRule="auto"/>
      </w:pPr>
      <w:r>
        <w:rPr>
          <w:rFonts w:ascii="Noto Sans CJK SC" w:hAnsi="Noto Sans CJK SC" w:eastAsia="Noto Sans CJK SC" w:cs="Noto Sans CJK SC"/>
          <w:color w:val="000000"/>
          <w:sz w:val="6"/>
        </w:rPr>
      </w:r>
    </w:p>
    <w:p>
      <w:r>
        <w:rPr>
          <w:rFonts w:ascii="Noto Sans CJK SC" w:hAnsi="Noto Sans CJK SC" w:eastAsia="Noto Sans CJK SC" w:cs="Noto Sans CJK SC"/>
          <w:color w:val="000000"/>
        </w:rPr>
        <w:t>未收妥数量等于已交出数量，减去已接收、实际退回和已确认在途损耗。组织总库存等于各实际位置库存加上未收妥数量。这两项都从正式数量流水计算。</w:t>
      </w:r>
    </w:p>
    <w:p>
      <w:r>
        <w:rPr>
          <w:rFonts w:ascii="Noto Sans CJK SC" w:hAnsi="Noto Sans CJK SC" w:eastAsia="Noto Sans CJK SC" w:cs="Noto Sans CJK SC"/>
          <w:color w:val="000000"/>
        </w:rPr>
        <w:t>分批交出不能超过获准的剩余可执行数量；接收、退回和损耗不能重复结清同一批未收妥数量。调拨完成时，未收妥数量必须为零，计划中的未执行部分和差异也必须已完成或经授权结清。取消未执行计划不能把已交出的货直接恢复到来源库存。</w:t>
      </w:r>
    </w:p>
    <w:p>
      <w:r>
        <w:rPr>
          <w:rFonts w:ascii="Noto Sans CJK SC" w:hAnsi="Noto Sans CJK SC" w:eastAsia="Noto Sans CJK SC" w:cs="Noto Sans CJK SC"/>
          <w:color w:val="000000"/>
        </w:rPr>
        <w:t>本版建议首版不做库存预留：批准不占数量，确认交出时检查库存；遇到其他操作已占用的情况，明确提示并重新处理。默认拒绝造成实际位置或未收妥数量为负的操作。预留、超计划交接和历史补录的例外边界实施前确认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000000"/>
        </w:rPr>
        <w:t>盘点</w:t>
      </w:r>
    </w:p>
    <w:p>
      <w:r>
        <w:rPr>
          <w:rFonts w:ascii="Noto Sans CJK SC" w:hAnsi="Noto Sans CJK SC" w:eastAsia="Noto Sans CJK SC" w:cs="Noto Sans CJK SC"/>
          <w:color w:val="000000"/>
        </w:rPr>
        <w:t>盘点保留比较时点、账面数量、实盘数量、差异、盘点人和确认人。最简单的实施方式是在盘点期间短暂暂停所盘位置的交接与出入库，固定比较依据；不能把盘点结束时的实物数直接与另一个时点的账面数比较。</w:t>
      </w:r>
    </w:p>
    <w:p>
      <w:r>
        <w:rPr>
          <w:rFonts w:ascii="Noto Sans CJK SC" w:hAnsi="Noto Sans CJK SC" w:eastAsia="Noto Sans CJK SC" w:cs="Noto Sans CJK SC"/>
          <w:color w:val="000000"/>
        </w:rPr>
        <w:t>确认差异后按规则生成调整流水。发现差异、批准调整和调整生效是可以追溯的不同记录，不直接改余额。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color w:val="000000"/>
        </w:rPr>
        <w:t>7 一个完整的日常例子</w:t>
      </w:r>
    </w:p>
    <w:p>
      <w:r>
        <w:rPr>
          <w:rFonts w:ascii="Noto Sans CJK SC" w:hAnsi="Noto Sans CJK SC" w:eastAsia="Noto Sans CJK SC" w:cs="Noto Sans CJK SC"/>
          <w:color w:val="000000"/>
        </w:rPr>
        <w:t>以下金额均为人民币。期初社团账户有 2,000 元，没有库存，也不欠小明垫付款。小明自付 1,000 元购入 100 本刊物，货物实际到达 A 宿舍。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41"/>
        <w:gridCol w:w="1498"/>
        <w:gridCol w:w="1584"/>
        <w:gridCol w:w="3802"/>
      </w:tblGrid>
      <w:tr>
        <w:trPr>
          <w:cantSplit/>
          <w:tblHeader w:val="true"/>
        </w:trPr>
        <w:tc>
          <w:tcPr>
            <w:tcW w:type="dxa" w:w="334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7EDF3"/>
          </w:tcPr>
          <w:p>
            <w:pPr>
              <w:keepNext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0"/>
              </w:rPr>
              <w:t>实际操作</w:t>
            </w:r>
          </w:p>
        </w:tc>
        <w:tc>
          <w:tcPr>
            <w:tcW w:type="dxa" w:w="149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7EDF3"/>
          </w:tcPr>
          <w:p>
            <w:pPr>
              <w:keepNext/>
              <w:spacing w:after="0" w:before="0" w:line="304" w:lineRule="exact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0"/>
              </w:rPr>
              <w:t>组织资金余额</w:t>
            </w:r>
          </w:p>
        </w:tc>
        <w:tc>
          <w:tcPr>
            <w:tcW w:type="dxa" w:w="158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7EDF3"/>
          </w:tcPr>
          <w:p>
            <w:pPr>
              <w:keepNext/>
              <w:spacing w:after="0" w:before="0" w:line="304" w:lineRule="exact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0"/>
              </w:rPr>
              <w:t>欠小明垫付款</w:t>
            </w:r>
          </w:p>
        </w:tc>
        <w:tc>
          <w:tcPr>
            <w:tcW w:type="dxa" w:w="38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7EDF3"/>
          </w:tcPr>
          <w:p>
            <w:pPr>
              <w:keepNext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0"/>
              </w:rPr>
              <w:t>库存分布</w:t>
            </w:r>
          </w:p>
        </w:tc>
      </w:tr>
      <w:tr>
        <w:trPr>
          <w:cantSplit/>
        </w:trPr>
        <w:tc>
          <w:tcPr>
            <w:tcW w:type="dxa" w:w="334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确认垫付并确认到货</w:t>
            </w:r>
          </w:p>
        </w:tc>
        <w:tc>
          <w:tcPr>
            <w:tcW w:type="dxa" w:w="149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  <w:jc w:val="center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2,000 元</w:t>
            </w:r>
          </w:p>
        </w:tc>
        <w:tc>
          <w:tcPr>
            <w:tcW w:type="dxa" w:w="158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  <w:jc w:val="center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1,000 元</w:t>
            </w:r>
          </w:p>
        </w:tc>
        <w:tc>
          <w:tcPr>
            <w:tcW w:type="dxa" w:w="38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A 100 本</w:t>
            </w:r>
          </w:p>
        </w:tc>
      </w:tr>
      <w:tr>
        <w:trPr>
          <w:cantSplit/>
        </w:trPr>
        <w:tc>
          <w:tcPr>
            <w:tcW w:type="dxa" w:w="334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社团实际偿还 400 元</w:t>
            </w:r>
          </w:p>
        </w:tc>
        <w:tc>
          <w:tcPr>
            <w:tcW w:type="dxa" w:w="149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  <w:jc w:val="center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1,600 元</w:t>
            </w:r>
          </w:p>
        </w:tc>
        <w:tc>
          <w:tcPr>
            <w:tcW w:type="dxa" w:w="158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  <w:jc w:val="center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600 元</w:t>
            </w:r>
          </w:p>
        </w:tc>
        <w:tc>
          <w:tcPr>
            <w:tcW w:type="dxa" w:w="38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A 100 本</w:t>
            </w:r>
          </w:p>
        </w:tc>
      </w:tr>
      <w:tr>
        <w:trPr>
          <w:cantSplit/>
        </w:trPr>
        <w:tc>
          <w:tcPr>
            <w:tcW w:type="dxa" w:w="334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批准从 A 调拨 30 本到 B</w:t>
            </w:r>
          </w:p>
        </w:tc>
        <w:tc>
          <w:tcPr>
            <w:tcW w:type="dxa" w:w="149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  <w:jc w:val="center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1,600 元</w:t>
            </w:r>
          </w:p>
        </w:tc>
        <w:tc>
          <w:tcPr>
            <w:tcW w:type="dxa" w:w="158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  <w:jc w:val="center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600 元</w:t>
            </w:r>
          </w:p>
        </w:tc>
        <w:tc>
          <w:tcPr>
            <w:tcW w:type="dxa" w:w="38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A 100 本；未收妥 0 本</w:t>
            </w:r>
          </w:p>
        </w:tc>
      </w:tr>
      <w:tr>
        <w:trPr>
          <w:cantSplit/>
        </w:trPr>
        <w:tc>
          <w:tcPr>
            <w:tcW w:type="dxa" w:w="334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A 实际交出 30 本</w:t>
            </w:r>
          </w:p>
        </w:tc>
        <w:tc>
          <w:tcPr>
            <w:tcW w:type="dxa" w:w="149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  <w:jc w:val="center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1,600 元</w:t>
            </w:r>
          </w:p>
        </w:tc>
        <w:tc>
          <w:tcPr>
            <w:tcW w:type="dxa" w:w="158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  <w:jc w:val="center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600 元</w:t>
            </w:r>
          </w:p>
        </w:tc>
        <w:tc>
          <w:tcPr>
            <w:tcW w:type="dxa" w:w="38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A 70 本；未收妥 30 本</w:t>
            </w:r>
          </w:p>
        </w:tc>
      </w:tr>
      <w:tr>
        <w:trPr>
          <w:cantSplit/>
        </w:trPr>
        <w:tc>
          <w:tcPr>
            <w:tcW w:type="dxa" w:w="334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B 确认收到 28 本</w:t>
            </w:r>
          </w:p>
        </w:tc>
        <w:tc>
          <w:tcPr>
            <w:tcW w:type="dxa" w:w="149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  <w:jc w:val="center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1,600 元</w:t>
            </w:r>
          </w:p>
        </w:tc>
        <w:tc>
          <w:tcPr>
            <w:tcW w:type="dxa" w:w="158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  <w:jc w:val="center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600 元</w:t>
            </w:r>
          </w:p>
        </w:tc>
        <w:tc>
          <w:tcPr>
            <w:tcW w:type="dxa" w:w="38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A 70 本；B 28 本；未收妥 2 本</w:t>
            </w:r>
          </w:p>
        </w:tc>
      </w:tr>
      <w:tr>
        <w:trPr>
          <w:cantSplit/>
        </w:trPr>
        <w:tc>
          <w:tcPr>
            <w:tcW w:type="dxa" w:w="334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余下 2 本实际退回 A，并授权结清调拨差异</w:t>
            </w:r>
          </w:p>
        </w:tc>
        <w:tc>
          <w:tcPr>
            <w:tcW w:type="dxa" w:w="149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  <w:jc w:val="center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1,600 元</w:t>
            </w:r>
          </w:p>
        </w:tc>
        <w:tc>
          <w:tcPr>
            <w:tcW w:type="dxa" w:w="158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  <w:jc w:val="center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600 元</w:t>
            </w:r>
          </w:p>
        </w:tc>
        <w:tc>
          <w:tcPr>
            <w:tcW w:type="dxa" w:w="38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A 72 本；B 28 本；未收妥 0 本</w:t>
            </w:r>
          </w:p>
        </w:tc>
      </w:tr>
    </w:tbl>
    <w:p>
      <w:pPr>
        <w:spacing w:after="0" w:before="0" w:line="240" w:lineRule="auto"/>
      </w:pPr>
      <w:r>
        <w:rPr>
          <w:rFonts w:ascii="Noto Sans CJK SC" w:hAnsi="Noto Sans CJK SC" w:eastAsia="Noto Sans CJK SC" w:cs="Noto Sans CJK SC"/>
          <w:color w:val="000000"/>
          <w:sz w:val="6"/>
        </w:rPr>
      </w:r>
    </w:p>
    <w:p>
      <w:r>
        <w:rPr>
          <w:rFonts w:ascii="Noto Sans CJK SC" w:hAnsi="Noto Sans CJK SC" w:eastAsia="Noto Sans CJK SC" w:cs="Noto Sans CJK SC"/>
          <w:color w:val="000000"/>
        </w:rPr>
        <w:t>垫付若尚未确认，只显示在“待确认”中，不计入正式欠款；已经确认的到货仍可记录。重复提交上述任一动作不会再次增加欠款、再次付款入账或再次扣增库存。第一阶段只能说明有 100 本刊物，以及欠小明 600 元，不能由此宣称库存价值是 1,000 元或每本正式成本是 10 元。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color w:val="000000"/>
        </w:rPr>
        <w:t>8 统一过账与审批审计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000000"/>
        </w:rPr>
        <w:t>正式写入流程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/>
          <w:color w:val="000000"/>
        </w:rPr>
        <w:t>准备：</w:t>
      </w:r>
      <w:r>
        <w:rPr>
          <w:rFonts w:ascii="Noto Sans CJK SC" w:hAnsi="Noto Sans CJK SC" w:eastAsia="Noto Sans CJK SC" w:cs="Noto Sans CJK SC"/>
          <w:color w:val="000000"/>
        </w:rPr>
        <w:t>认证业务命令，验证输入，生成本次需要的会计分录、数量流水和状态变化方案。一个动作可以只涉及资金或只涉及数量。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/>
          <w:color w:val="000000"/>
        </w:rPr>
        <w:t>审批：</w:t>
      </w:r>
      <w:r>
        <w:rPr>
          <w:rFonts w:ascii="Noto Sans CJK SC" w:hAnsi="Noto Sans CJK SC" w:eastAsia="Noto Sans CJK SC" w:cs="Noto Sans CJK SC"/>
          <w:color w:val="000000"/>
        </w:rPr>
        <w:t>按业务类型和风险规则批准具体内容与版本，或记录适用的免审批规则；审批期间不占用数据库长事务。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/>
          <w:color w:val="000000"/>
        </w:rPr>
        <w:t>执行：</w:t>
      </w:r>
      <w:r>
        <w:rPr>
          <w:rFonts w:ascii="Noto Sans CJK SC" w:hAnsi="Noto Sans CJK SC" w:eastAsia="Noto Sans CJK SC" w:cs="Noto Sans CJK SC"/>
          <w:color w:val="000000"/>
        </w:rPr>
        <w:t>开始事务并取得必要锁，在锁内检查幂等、当前身份与权限、审批内容、余额、未结金额及可交接数量。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/>
          <w:color w:val="000000"/>
        </w:rPr>
        <w:t>提交：</w:t>
      </w:r>
      <w:r>
        <w:rPr>
          <w:rFonts w:ascii="Noto Sans CJK SC" w:hAnsi="Noto Sans CJK SC" w:eastAsia="Noto Sans CJK SC" w:cs="Noto Sans CJK SC"/>
          <w:color w:val="000000"/>
        </w:rPr>
        <w:t>把本次正式流水、偿还匹配、相关状态与审计一并写入；任一步失败，数据库事务整体回滚。</w:t>
      </w:r>
    </w:p>
    <w:p>
      <w:r>
        <w:rPr>
          <w:rFonts w:ascii="Noto Sans CJK SC" w:hAnsi="Noto Sans CJK SC" w:eastAsia="Noto Sans CJK SC" w:cs="Noto Sans CJK SC"/>
          <w:color w:val="000000"/>
        </w:rPr>
        <w:t>幂等对应“这一次实际动作”。同一业务单据可以分次偿还、到货或交接，但同一次动作只能入账一次；同一幂等标识携带不同内容必须拒绝。请求重试标识与业务动作唯一约束共同防止重复正式记录。</w:t>
      </w:r>
    </w:p>
    <w:p>
      <w:r>
        <w:rPr>
          <w:rFonts w:ascii="Noto Sans CJK SC" w:hAnsi="Noto Sans CJK SC" w:eastAsia="Noto Sans CJK SC" w:cs="Noto Sans CJK SC"/>
          <w:color w:val="000000"/>
        </w:rPr>
        <w:t>首版可按组织串行化正式过账，减少跨账户、跨 SKU 和往来清偿的锁复杂度。具体锁策略实施时确认；无论采用哪种方式，决定能否过账的校验必须在锁内完成。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000000"/>
        </w:rPr>
        <w:t>权限与批准内容</w:t>
      </w:r>
    </w:p>
    <w:p>
      <w:r>
        <w:rPr>
          <w:rFonts w:ascii="Noto Sans CJK SC" w:hAnsi="Noto Sans CJK SC" w:eastAsia="Noto Sans CJK SC" w:cs="Noto Sans CJK SC"/>
          <w:color w:val="000000"/>
        </w:rPr>
        <w:t>权限至少区分查询、发起、批准、事实确认、执行和配置。可以把多个权限赋予同一角色，是否需要第二人审批按风险确认，不默认每次操作都需要两个人。</w:t>
      </w:r>
    </w:p>
    <w:p>
      <w:r>
        <w:rPr>
          <w:rFonts w:ascii="Noto Sans CJK SC" w:hAnsi="Noto Sans CJK SC" w:eastAsia="Noto Sans CJK SC" w:cs="Noto Sans CJK SC"/>
          <w:color w:val="000000"/>
        </w:rPr>
        <w:t>审批绑定金额、成员、账户、SKU、位置和计划数量等被批准内容。修改这些内容按规则重新确认；正常的分批执行进度不应自动使整张调拨的原批准失效。批准内容版本与执行进度版本需能区分。</w:t>
      </w:r>
    </w:p>
    <w:p>
      <w:r>
        <w:rPr>
          <w:rFonts w:ascii="Noto Sans CJK SC" w:hAnsi="Noto Sans CJK SC" w:eastAsia="Noto Sans CJK SC" w:cs="Noto Sans CJK SC"/>
          <w:color w:val="000000"/>
        </w:rPr>
        <w:t>每次正式变化保留发起人与依据、批准内容和版本、批准人或免审批规则、实际收付或交接确认人、执行主体和时间、结果与后续更正。操作身份由认证提供，业务参数中的“成员”不能伪装成批准人或执行人。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000000"/>
        </w:rPr>
        <w:t>现实事实与账本更正</w:t>
      </w:r>
    </w:p>
    <w:p>
      <w:r>
        <w:rPr>
          <w:rFonts w:ascii="Noto Sans CJK SC" w:hAnsi="Noto Sans CJK SC" w:eastAsia="Noto Sans CJK SC" w:cs="Noto Sans CJK SC"/>
          <w:color w:val="000000"/>
        </w:rPr>
        <w:t>数据库回滚不会撤销已经发生的实际付款或交货。现实动作已经完成但写入失败时，应重试记录同一事实，不能再次要求转账或交货。已发生但未事先审批的事项通过例外确认留痕，不补造事前批准。</w:t>
      </w:r>
    </w:p>
    <w:p>
      <w:r>
        <w:rPr>
          <w:rFonts w:ascii="Noto Sans CJK SC" w:hAnsi="Noto Sans CJK SC" w:eastAsia="Noto Sans CJK SC" w:cs="Noto Sans CJK SC"/>
          <w:color w:val="000000"/>
        </w:rPr>
        <w:t>正式记录不能通过普通接口覆盖或删除。录错金额、位置或偿还匹配时，使用关联原记录的冲销或更正，并检查后续引用；真实退货、退款则作为新业务登记。已部分偿还的垫付更正还要处理偿还关系，不能留下无依据的已清偿金额。</w:t>
      </w:r>
    </w:p>
    <w:p>
      <w:r>
        <w:rPr>
          <w:rFonts w:ascii="Noto Sans CJK SC" w:hAnsi="Noto Sans CJK SC" w:eastAsia="Noto Sans CJK SC" w:cs="Noto Sans CJK SC"/>
          <w:color w:val="000000"/>
        </w:rPr>
        <w:t>应用管理员也不能从普通业务入口改写正式账本。数据库账户、附件访问和恢复权限需做基本隔离；审计与备份提供追溯依据，不把应用权限宣称为绝对防篡改。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color w:val="000000"/>
        </w:rPr>
        <w:t>9 查询对账与数据恢复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000000"/>
        </w:rPr>
        <w:t>第一阶段查询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7920"/>
      </w:tblGrid>
      <w:tr>
        <w:trPr>
          <w:cantSplit/>
          <w:tblHeader w:val="true"/>
        </w:trPr>
        <w:tc>
          <w:tcPr>
            <w:tcW w:type="dxa" w:w="230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7EDF3"/>
          </w:tcPr>
          <w:p>
            <w:pPr>
              <w:keepNext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0"/>
              </w:rPr>
              <w:t>查询</w:t>
            </w:r>
          </w:p>
        </w:tc>
        <w:tc>
          <w:tcPr>
            <w:tcW w:type="dxa" w:w="792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7EDF3"/>
          </w:tcPr>
          <w:p>
            <w:pPr>
              <w:keepNext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0"/>
              </w:rPr>
              <w:t>需要直接展示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社团资金</w:t>
            </w:r>
          </w:p>
        </w:tc>
        <w:tc>
          <w:tcPr>
            <w:tcW w:type="dxa" w:w="792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各账户账面余额、按币种合计、收付与转账明细、最近对账时点和已知差异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成员垫付</w:t>
            </w:r>
          </w:p>
        </w:tc>
        <w:tc>
          <w:tcPr>
            <w:tcW w:type="dxa" w:w="792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待确认与已确认未偿还分别合计；逐笔确认金额、已偿还、未偿还、对应付款和凭据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库存与交接</w:t>
            </w:r>
          </w:p>
        </w:tc>
        <w:tc>
          <w:tcPr>
            <w:tcW w:type="dxa" w:w="792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各 SKU 在实际位置及保管人的数量；未完成调拨、计划进度和未收妥数量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交易追溯</w:t>
            </w:r>
          </w:p>
        </w:tc>
        <w:tc>
          <w:tcPr>
            <w:tcW w:type="dxa" w:w="792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一笔业务的凭证、数量流水、偿还或交接对应关系、附件、审批及更正链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盘点与对账差异</w:t>
            </w:r>
          </w:p>
        </w:tc>
        <w:tc>
          <w:tcPr>
            <w:tcW w:type="dxa" w:w="792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比较时点与范围、差异是否已确认、是否已调整、确认人和后续依据</w:t>
            </w:r>
          </w:p>
        </w:tc>
      </w:tr>
    </w:tbl>
    <w:p>
      <w:pPr>
        <w:spacing w:after="0" w:before="0" w:line="240" w:lineRule="auto"/>
      </w:pPr>
      <w:r>
        <w:rPr>
          <w:rFonts w:ascii="Noto Sans CJK SC" w:hAnsi="Noto Sans CJK SC" w:eastAsia="Noto Sans CJK SC" w:cs="Noto Sans CJK SC"/>
          <w:color w:val="000000"/>
          <w:sz w:val="6"/>
        </w:rPr>
      </w:r>
    </w:p>
    <w:p>
      <w:r>
        <w:rPr>
          <w:rFonts w:ascii="Noto Sans CJK SC" w:hAnsi="Noto Sans CJK SC" w:eastAsia="Noto Sans CJK SC" w:cs="Noto Sans CJK SC"/>
          <w:color w:val="000000"/>
        </w:rPr>
        <w:t>查询显示截至时间，同时保留业务生效日期与系统记录时间。一个页面合计多个账户或位置时采用一致的读取快照；历史补录不能伪装成当时已经记录。最近一次核对结果与当前账面余额分开展示，不将旧的实点余额宣称为现在的实际余额。</w:t>
      </w:r>
    </w:p>
    <w:p>
      <w:r>
        <w:rPr>
          <w:rFonts w:ascii="Noto Sans CJK SC" w:hAnsi="Noto Sans CJK SC" w:eastAsia="Noto Sans CJK SC" w:cs="Noto Sans CJK SC"/>
          <w:color w:val="000000"/>
        </w:rPr>
        <w:t>资金对账先保存账面、外部账单或实点结果及差异。可能是漏记、重复、时间差或录入错误，核对后按真实原因补录或更正；系统不把差额自动记为收入或费用。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000000"/>
        </w:rPr>
        <w:t>期初与恢复</w:t>
      </w:r>
    </w:p>
    <w:p>
      <w:r>
        <w:rPr>
          <w:rFonts w:ascii="Noto Sans CJK SC" w:hAnsi="Noto Sans CJK SC" w:eastAsia="Noto Sans CJK SC" w:cs="Noto Sans CJK SC"/>
          <w:color w:val="000000"/>
        </w:rPr>
        <w:t>正式使用前确认起始日期、各资金账户余额、各位置 SKU 数量和成员未结清垫付款。成员期初欠款应有可追溯的期初垫付事项；旧明细不全时，可按成员汇总建立带依据和缺口说明的期初项，不虚构原采购明细或批次成本。</w:t>
      </w:r>
    </w:p>
    <w:p>
      <w:r>
        <w:rPr>
          <w:rFonts w:ascii="Noto Sans CJK SC" w:hAnsi="Noto Sans CJK SC" w:eastAsia="Noto Sans CJK SC" w:cs="Noto Sans CJK SC"/>
          <w:color w:val="000000"/>
        </w:rPr>
        <w:t>期初金额和数量通过正式期初记录过账，并保存依据和确认人。需要接续在途货时，必须有来源、目标、SKU、尚未收妥数量和交接依据，不能只把它算进某个实际仓库。</w:t>
      </w:r>
    </w:p>
    <w:p>
      <w:r>
        <w:rPr>
          <w:rFonts w:ascii="Noto Sans CJK SC" w:hAnsi="Noto Sans CJK SC" w:eastAsia="Noto Sans CJK SC" w:cs="Noto Sans CJK SC"/>
          <w:color w:val="000000"/>
        </w:rPr>
        <w:t>上线前将数据库和原始附件备份成可恢复的版本化备份包，明确二者对应的恢复时点，并在空环境完成基本恢复。恢复后检查资金、库存、未结垫付、交接、审批和幂等标识，防止恢复后重复导入。普通备份不明文包含服务密钥。</w:t>
      </w:r>
    </w:p>
    <w:p>
      <w:r>
        <w:rPr>
          <w:rFonts w:ascii="Noto Sans CJK SC" w:hAnsi="Noto Sans CJK SC" w:eastAsia="Noto Sans CJK SC" w:cs="Noto Sans CJK SC"/>
          <w:color w:val="000000"/>
        </w:rPr>
        <w:t>备份保留周期、恢复权限和可接受的数据丢失范围实施前确认。自动备份、异地副本和长期归档可随后完善。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color w:val="000000"/>
        </w:rPr>
        <w:t>10 实施顺序与验收</w:t>
      </w:r>
    </w:p>
    <w:p>
      <w:r>
        <w:rPr>
          <w:rFonts w:ascii="Noto Sans CJK SC" w:hAnsi="Noto Sans CJK SC" w:eastAsia="Noto Sans CJK SC" w:cs="Noto Sans CJK SC"/>
          <w:color w:val="000000"/>
        </w:rPr>
        <w:t>实施分为三个可验证的增量，每个增量都使用实际业务逻辑，不先搭建未来阶段的空模型。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/>
          <w:color w:val="000000"/>
        </w:rPr>
        <w:t>先跑通钱与垫付：</w:t>
      </w:r>
      <w:r>
        <w:rPr>
          <w:rFonts w:ascii="Noto Sans CJK SC" w:hAnsi="Noto Sans CJK SC" w:eastAsia="Noto Sans CJK SC" w:cs="Noto Sans CJK SC"/>
          <w:color w:val="000000"/>
        </w:rPr>
        <w:t>基础身份、账户与科目映射、统一过账、资金期初、收付转账、垫付确认、部分偿还和查询。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/>
          <w:color w:val="000000"/>
        </w:rPr>
        <w:t>再接入货与交接：</w:t>
      </w:r>
      <w:r>
        <w:rPr>
          <w:rFonts w:ascii="Noto Sans CJK SC" w:hAnsi="Noto Sans CJK SC" w:eastAsia="Noto Sans CJK SC" w:cs="Noto Sans CJK SC"/>
          <w:color w:val="000000"/>
        </w:rPr>
        <w:t>SKU、位置与历史保管人、库存期初、到货和出库、分批交接、差异结清与盘点，并把常见关联业务放进同一录入入口。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/>
          <w:color w:val="000000"/>
        </w:rPr>
        <w:t>最后完成上线验证：</w:t>
      </w:r>
      <w:r>
        <w:rPr>
          <w:rFonts w:ascii="Noto Sans CJK SC" w:hAnsi="Noto Sans CJK SC" w:eastAsia="Noto Sans CJK SC" w:cs="Noto Sans CJK SC"/>
          <w:color w:val="000000"/>
        </w:rPr>
        <w:t>使用社团实际样例走一遍录入、审批、重复提交、更正、对账与恢复，完成普通成员可用的操作入口。</w:t>
      </w:r>
    </w:p>
    <w:p>
      <w:r>
        <w:rPr>
          <w:rFonts w:ascii="Noto Sans CJK SC" w:hAnsi="Noto Sans CJK SC" w:eastAsia="Noto Sans CJK SC" w:cs="Noto Sans CJK SC"/>
          <w:color w:val="000000"/>
        </w:rPr>
        <w:t>验收至少覆盖下列结果：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000000"/>
        </w:rPr>
        <w:t>垫付 1,000 元、偿还 400 元后，逐笔未结与成员应付款均为 600 元；再还款或多人同时操作不会重复清偿。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000000"/>
        </w:rPr>
        <w:t>批准调拨不扣库存，交出 30 本、接收 28 本时仍有 2 本未收妥；退回或损耗必须有正式数量依据。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000000"/>
        </w:rPr>
        <w:t>同一动作重试不重复入账，同一幂等标识更换内容被拒绝；一个动作的任一正式写入失败时相关写入整体回滚。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000000"/>
        </w:rPr>
        <w:t>无权主体不能正式写入，修改批准内容不能绕过重新校验；正式更正能追溯原记录、原因与相关偿还或交接影响。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color w:val="000000"/>
        </w:rPr>
        <w:t>从正式流水可重建资金和数量余额，逐笔垫付能与往来账核对；空环境恢复保留附件、审批和重复提交保护。</w:t>
      </w:r>
    </w:p>
    <w:p>
      <w:r>
        <w:rPr>
          <w:rFonts w:ascii="Noto Sans CJK SC" w:hAnsi="Noto Sans CJK SC" w:eastAsia="Noto Sans CJK SC" w:cs="Noto Sans CJK SC"/>
          <w:color w:val="000000"/>
        </w:rPr>
        <w:t>优先使用实际生产逻辑和相关已有检查验证这些不变量；新增测试覆盖明确缺口，不为尚未设计的估值或分析模型提前编写测试。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color w:val="000000"/>
        </w:rPr>
        <w:t>11 实施前需要确认的边界</w:t>
      </w:r>
    </w:p>
    <w:p>
      <w:r>
        <w:rPr>
          <w:rFonts w:ascii="Noto Sans CJK SC" w:hAnsi="Noto Sans CJK SC" w:eastAsia="Noto Sans CJK SC" w:cs="Noto Sans CJK SC"/>
          <w:color w:val="000000"/>
        </w:rPr>
        <w:t>以下属于实施决策，不要求普通成员每次录入时选择：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/>
          <w:color w:val="000000"/>
        </w:rPr>
        <w:t>组织与资金口径：</w:t>
      </w:r>
      <w:r>
        <w:rPr>
          <w:rFonts w:ascii="Noto Sans CJK SC" w:hAnsi="Noto Sans CJK SC" w:eastAsia="Noto Sans CJK SC" w:cs="Noto Sans CJK SC"/>
          <w:color w:val="000000"/>
        </w:rPr>
        <w:t>是否仅单组织、币种范围、精度与舍入、资金账户和业务科目映射，尤其是未估值阶段的采购付款。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/>
          <w:color w:val="000000"/>
        </w:rPr>
        <w:t>垫付与偿还：</w:t>
      </w:r>
      <w:r>
        <w:rPr>
          <w:rFonts w:ascii="Noto Sans CJK SC" w:hAnsi="Noto Sans CJK SC" w:eastAsia="Noto Sans CJK SC" w:cs="Noto Sans CJK SC"/>
          <w:color w:val="000000"/>
        </w:rPr>
        <w:t>确认权限、部分认可的处理、默认匹配顺序、既成付款的例外确认；是否纳入备用金和代收款及其记账方式。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/>
          <w:color w:val="000000"/>
        </w:rPr>
        <w:t>保管与调拨：</w:t>
      </w:r>
      <w:r>
        <w:rPr>
          <w:rFonts w:ascii="Noto Sans CJK SC" w:hAnsi="Noto Sans CJK SC" w:eastAsia="Noto Sans CJK SC" w:cs="Noto Sans CJK SC"/>
          <w:color w:val="000000"/>
        </w:rPr>
        <w:t>位置管理、保管关系变更、审批风险分级、分批确认、退回与损耗的结清规则，以及首版是否采用不预留库存的建议。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/>
          <w:color w:val="000000"/>
        </w:rPr>
        <w:t>更正与历史补录：</w:t>
      </w:r>
      <w:r>
        <w:rPr>
          <w:rFonts w:ascii="Noto Sans CJK SC" w:hAnsi="Noto Sans CJK SC" w:eastAsia="Noto Sans CJK SC" w:cs="Noto Sans CJK SC"/>
          <w:color w:val="000000"/>
        </w:rPr>
        <w:t>允许补录的日期范围、负库存边界、受后续偿还或交接影响时的更正规则。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/>
          <w:color w:val="000000"/>
        </w:rPr>
        <w:t>上线与恢复：</w:t>
      </w:r>
      <w:r>
        <w:rPr>
          <w:rFonts w:ascii="Noto Sans CJK SC" w:hAnsi="Noto Sans CJK SC" w:eastAsia="Noto Sans CJK SC" w:cs="Noto Sans CJK SC"/>
          <w:color w:val="000000"/>
        </w:rPr>
        <w:t>期初资料、已有在途数量、缺失历史的标示、部署负责人、备份周期、恢复权限和目标。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color w:val="000000"/>
        </w:rPr>
        <w:t>12 技术候选与后续模型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000000"/>
        </w:rPr>
        <w:t>技术候选</w:t>
      </w:r>
    </w:p>
    <w:p>
      <w:r>
        <w:rPr>
          <w:rFonts w:ascii="Noto Sans CJK SC" w:hAnsi="Noto Sans CJK SC" w:eastAsia="Noto Sans CJK SC" w:cs="Noto Sans CJK SC"/>
          <w:color w:val="000000"/>
        </w:rPr>
        <w:t>保留初稿的技术方向。以下是待确认候选，不在文档重写时直接锁定框架、版本或生产部署环境。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83"/>
        <w:gridCol w:w="4349"/>
        <w:gridCol w:w="4392"/>
      </w:tblGrid>
      <w:tr>
        <w:trPr>
          <w:cantSplit/>
          <w:tblHeader w:val="true"/>
        </w:trPr>
        <w:tc>
          <w:tcPr>
            <w:tcW w:type="dxa" w:w="1483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7EDF3"/>
          </w:tcPr>
          <w:p>
            <w:pPr>
              <w:keepNext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0"/>
              </w:rPr>
              <w:t>层次</w:t>
            </w:r>
          </w:p>
        </w:tc>
        <w:tc>
          <w:tcPr>
            <w:tcW w:type="dxa" w:w="434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7EDF3"/>
          </w:tcPr>
          <w:p>
            <w:pPr>
              <w:keepNext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0"/>
              </w:rPr>
              <w:t>候选</w:t>
            </w:r>
          </w:p>
        </w:tc>
        <w:tc>
          <w:tcPr>
            <w:tcW w:type="dxa" w:w="439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7EDF3"/>
          </w:tcPr>
          <w:p>
            <w:pPr>
              <w:keepNext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20"/>
              </w:rPr>
              <w:t>第一阶段用途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前端</w:t>
            </w:r>
          </w:p>
        </w:tc>
        <w:tc>
          <w:tcPr>
            <w:tcW w:type="dxa" w:w="434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Vue 3、TypeScript、Vite、Naive UI</w:t>
            </w:r>
          </w:p>
        </w:tc>
        <w:tc>
          <w:tcPr>
            <w:tcW w:type="dxa" w:w="439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适合手机日常录入的网页；审批、待办和查询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后端</w:t>
            </w:r>
          </w:p>
        </w:tc>
        <w:tc>
          <w:tcPr>
            <w:tcW w:type="dxa" w:w="434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FastAPI、Pydantic</w:t>
            </w:r>
          </w:p>
        </w:tc>
        <w:tc>
          <w:tcPr>
            <w:tcW w:type="dxa" w:w="439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认证入口、输入验证与业务服务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持久化</w:t>
            </w:r>
          </w:p>
        </w:tc>
        <w:tc>
          <w:tcPr>
            <w:tcW w:type="dxa" w:w="434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SQLAlchemy 2、Alembic、PostgreSQL</w:t>
            </w:r>
          </w:p>
        </w:tc>
        <w:tc>
          <w:tcPr>
            <w:tcW w:type="dxa" w:w="439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唯一权威记录、事务、约束与数据库迁移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附件</w:t>
            </w:r>
          </w:p>
        </w:tc>
        <w:tc>
          <w:tcPr>
            <w:tcW w:type="dxa" w:w="434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本地私有目录</w:t>
            </w:r>
          </w:p>
        </w:tc>
        <w:tc>
          <w:tcPr>
            <w:tcW w:type="dxa" w:w="439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票据和原始依据；受授权访问，与数据库协调备份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部署</w:t>
            </w:r>
          </w:p>
        </w:tc>
        <w:tc>
          <w:tcPr>
            <w:tcW w:type="dxa" w:w="434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Docker、Docker Compose</w:t>
            </w:r>
          </w:p>
        </w:tc>
        <w:tc>
          <w:tcPr>
            <w:tcW w:type="dxa" w:w="439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keepNext w:val="0"/>
              <w:spacing w:after="0" w:before="0" w:line="304" w:lineRule="exact"/>
            </w:pPr>
            <w:r>
              <w:rPr>
                <w:rFonts w:ascii="Noto Sans CJK SC" w:hAnsi="Noto Sans CJK SC" w:eastAsia="Noto Sans CJK SC" w:cs="Noto Sans CJK SC"/>
                <w:color w:val="000000"/>
                <w:sz w:val="20"/>
              </w:rPr>
              <w:t>封装应用和数据库环境，支持恢复演练</w:t>
            </w:r>
          </w:p>
        </w:tc>
      </w:tr>
    </w:tbl>
    <w:p>
      <w:pPr>
        <w:spacing w:after="0" w:before="0" w:line="240" w:lineRule="auto"/>
      </w:pPr>
      <w:r>
        <w:rPr>
          <w:rFonts w:ascii="Noto Sans CJK SC" w:hAnsi="Noto Sans CJK SC" w:eastAsia="Noto Sans CJK SC" w:cs="Noto Sans CJK SC"/>
          <w:color w:val="000000"/>
          <w:sz w:val="6"/>
        </w:rPr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000000"/>
        </w:rPr>
        <w:t>第二阶段及以后</w:t>
      </w:r>
    </w:p>
    <w:p>
      <w:r>
        <w:rPr>
          <w:rFonts w:ascii="Noto Sans CJK SC" w:hAnsi="Noto Sans CJK SC" w:eastAsia="Noto Sans CJK SC" w:cs="Noto Sans CJK SC"/>
          <w:color w:val="000000"/>
        </w:rPr>
        <w:t>第二阶段增加正式库存估值。大致需要成本来源、成本分配明细、库存价值记录、出库成本及价值调整等模型，引用第一阶段的采购依据、到货和数量流水。数量记录与价值记录分别保存，允许一笔取得费用涉及多批到货、一条数量流水关联多次价值确认或调整。具体成本方法、分配和关账规则届时设计。</w:t>
      </w:r>
    </w:p>
    <w:p>
      <w:r>
        <w:rPr>
          <w:rFonts w:ascii="Noto Sans CJK SC" w:hAnsi="Noto Sans CJK SC" w:eastAsia="Noto Sans CJK SC" w:cs="Noto Sans CJK SC"/>
          <w:color w:val="000000"/>
        </w:rPr>
        <w:t>例如，100 本刊物的取得成本经确认包含货款 1,000 元及运费 100 元，第二阶段才可能按获准方法确认对应库存价值。第一阶段已有的付款、垫付和库存数量只提供依据，不能自动推出历史每本成本；过渡需要单独确认期初估值和证据缺口。</w:t>
      </w:r>
    </w:p>
    <w:p>
      <w:r>
        <w:rPr>
          <w:rFonts w:ascii="Noto Sans CJK SC" w:hAnsi="Noto Sans CJK SC" w:eastAsia="Noto Sans CJK SC" w:cs="Noto Sans CJK SC"/>
          <w:color w:val="000000"/>
        </w:rPr>
        <w:t>后续再加商品、企划、展会的经营归属与管理分析；分摊规则变化不得自动改写正式账本。BoothKernel 导入、MCP 与 Agent 接入另行设计，复用既有权限、审批和统一过账。</w:t>
      </w:r>
    </w:p>
    <w:p>
      <w:pPr>
        <w:spacing w:line="260" w:lineRule="exact" w:before="40" w:after="0"/>
      </w:pPr>
      <w:r>
        <w:rPr>
          <w:rFonts w:ascii="Noto Sans CJK SC" w:hAnsi="Noto Sans CJK SC" w:eastAsia="Noto Sans CJK SC" w:cs="Noto Sans CJK SC"/>
          <w:color w:val="000000"/>
          <w:sz w:val="17"/>
        </w:rPr>
        <w:t xml:space="preserve">设计参考　</w:t>
      </w:r>
      <w:hyperlink r:id="rId11">
        <w:r>
          <w:rPr>
            <w:rFonts w:ascii="Noto Sans CJK SC" w:hAnsi="Noto Sans CJK SC" w:eastAsia="Noto Sans CJK SC" w:cs="Noto Sans CJK SC"/>
            <w:sz w:val="17"/>
            <w:u w:val="single"/>
          </w:rPr>
          <w:t>ERPNext 付款匹配</w:t>
        </w:r>
      </w:hyperlink>
      <w:r>
        <w:rPr>
          <w:rFonts w:ascii="Noto Sans CJK SC" w:hAnsi="Noto Sans CJK SC" w:eastAsia="Noto Sans CJK SC" w:cs="Noto Sans CJK SC"/>
          <w:color w:val="000000"/>
          <w:sz w:val="17"/>
        </w:rPr>
        <w:t xml:space="preserve">　·　</w:t>
      </w:r>
      <w:hyperlink r:id="rId12">
        <w:r>
          <w:rPr>
            <w:rFonts w:ascii="Noto Sans CJK SC" w:hAnsi="Noto Sans CJK SC" w:eastAsia="Noto Sans CJK SC" w:cs="Noto Sans CJK SC"/>
            <w:sz w:val="17"/>
            <w:u w:val="single"/>
          </w:rPr>
          <w:t>ERPNext 到货记录</w:t>
        </w:r>
      </w:hyperlink>
      <w:r>
        <w:rPr>
          <w:rFonts w:ascii="Noto Sans CJK SC" w:hAnsi="Noto Sans CJK SC" w:eastAsia="Noto Sans CJK SC" w:cs="Noto Sans CJK SC"/>
          <w:color w:val="000000"/>
          <w:sz w:val="17"/>
        </w:rPr>
        <w:t xml:space="preserve">　·　</w:t>
      </w:r>
      <w:hyperlink r:id="rId13">
        <w:r>
          <w:rPr>
            <w:rFonts w:ascii="Noto Sans CJK SC" w:hAnsi="Noto Sans CJK SC" w:eastAsia="Noto Sans CJK SC" w:cs="Noto Sans CJK SC"/>
            <w:sz w:val="17"/>
            <w:u w:val="single"/>
          </w:rPr>
          <w:t>Business Central 库存记录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50" w:right="1008" w:bottom="922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color w:val="000000"/>
        <w:sz w:val="16"/>
      </w:rPr>
      <w:t xml:space="preserve">v0.4   ·   </w:t>
    </w:r>
    <w:r>
      <w:rPr>
        <w:rFonts w:ascii="Noto Sans CJK SC" w:hAnsi="Noto Sans CJK SC" w:eastAsia="Noto Sans CJK SC" w:cs="Noto Sans CJK SC"/>
        <w:color w:val="000000"/>
        <w:sz w:val="16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Noto Sans CJK SC" w:hAnsi="Noto Sans CJK SC" w:eastAsia="Noto Sans CJK SC" w:cs="Noto Sans CJK SC"/>
        <w:color w:val="000000"/>
        <w:sz w:val="16"/>
      </w:rPr>
      <w:t>东方同人社团资金与库存管理系统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0" w:lineRule="exact" w:after="100"/>
    </w:pPr>
    <w:rPr>
      <w:rFonts w:ascii="Noto Sans CJK SC" w:hAnsi="Noto Sans CJK SC" w:eastAsia="Noto Sans CJK SC" w:cs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 w:cs="Noto Sans CJK SC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 w:cs="Noto Sans CJK SC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414" w:lineRule="exact"/>
      <w:outlineLvl w:val="0"/>
    </w:pPr>
    <w:rPr>
      <w:rFonts w:ascii="Noto Sans CJK SC" w:hAnsi="Noto Sans CJK SC" w:eastAsia="Noto Sans CJK SC" w:cs="Noto Sans CJK SC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331" w:lineRule="exact"/>
      <w:outlineLvl w:val="1"/>
    </w:pPr>
    <w:rPr>
      <w:rFonts w:ascii="Noto Sans CJK SC" w:hAnsi="Noto Sans CJK SC" w:eastAsia="Noto Sans CJK SC" w:cs="Noto Sans CJK SC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 w:cs="Noto Sans CJK SC"/>
      <w:color w:val="00000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580" w:lineRule="exact" w:before="0"/>
      <w:contextualSpacing/>
    </w:pPr>
    <w:rPr>
      <w:rFonts w:ascii="Noto Sans CJK SC" w:hAnsi="Noto Sans CJK SC" w:eastAsia="Noto Sans CJK SC" w:cs="Noto Sans CJK SC"/>
      <w:b/>
      <w:i w:val="0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80" w:line="386" w:lineRule="exact"/>
    </w:pPr>
    <w:rPr>
      <w:rFonts w:ascii="Noto Sans CJK SC" w:hAnsi="Noto Sans CJK SC" w:eastAsia="Noto Sans CJK SC" w:cs="Noto Sans CJK SC"/>
      <w:b w:val="0"/>
      <w:i w:val="0"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 w:cs="Noto Sans CJK SC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 w:cs="Noto Sans CJK SC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 w:cs="Noto Sans CJK SC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 w:cs="Noto Sans CJK SC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 w:cs="Noto Sans CJK SC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 w:cs="Noto Sans CJK SC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 w:cs="Noto Sans CJK SC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 w:cs="Noto Sans CJK SC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40" w:lineRule="exact" w:after="80"/>
      <w:ind w:left="288" w:hanging="202"/>
      <w:contextualSpacing/>
    </w:pPr>
    <w:rPr>
      <w:rFonts w:ascii="Noto Sans CJK SC" w:hAnsi="Noto Sans CJK SC" w:eastAsia="Noto Sans CJK SC" w:cs="Noto Sans CJK SC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 w:cs="Noto Sans CJK SC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 w:cs="Noto Sans CJK SC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40" w:lineRule="exact" w:after="80"/>
      <w:ind w:left="288" w:hanging="202"/>
      <w:contextualSpacing/>
    </w:pPr>
    <w:rPr>
      <w:rFonts w:ascii="Noto Sans CJK SC" w:hAnsi="Noto Sans CJK SC" w:eastAsia="Noto Sans CJK SC" w:cs="Noto Sans CJK SC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 w:cs="Noto Sans CJK SC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 w:cs="Noto Sans CJK SC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 w:cs="Noto Sans CJK SC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 w:cs="Noto Sans CJK SC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 w:cs="Noto Sans CJK SC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 w:cs="Noto Sans CJK SC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 w:cs="Noto Sans CJK SC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 w:cs="Noto Sans CJK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 w:cs="Noto Sans CJK SC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 w:cs="Noto Sans CJK SC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 w:cs="Noto Sans CJK SC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 w:cs="Noto Sans CJK SC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 w:cs="Noto Sans CJK SC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 w:cs="Noto Sans CJK SC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 w:cs="Noto Sans CJK SC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 w:cs="Noto Sans CJK SC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 w:cs="Noto Sans CJK SC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 w:cs="Noto Sans CJK SC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frappe.io/erpnext/payment-reconciliation" TargetMode="External"/><Relationship Id="rId12" Type="http://schemas.openxmlformats.org/officeDocument/2006/relationships/hyperlink" Target="https://docs.frappe.io/erpnext/purchase-receipt" TargetMode="External"/><Relationship Id="rId13" Type="http://schemas.openxmlformats.org/officeDocument/2006/relationships/hyperlink" Target="https://learn.microsoft.com/en-us/dynamics365/business-central/design-details-inventory-post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东方同人社团资金与库存管理系统 第一阶段总体架构与核心功能</dc:title>
  <dc:subject>第一阶段范围、数据模型、简化流程与可信过账</dc:subject>
  <dc:creator/>
  <cp:keywords>社团, 资金, 库存, 垫付, 偿还, 第一阶段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