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 w:before="720"/>
        <w:jc w:val="center"/>
      </w:pPr>
      <w:r>
        <w:rPr>
          <w:b/>
          <w:i w:val="0"/>
          <w:color w:val="1B365D"/>
          <w:sz w:val="32"/>
        </w:rPr>
        <w:t>PONTIFICIA UNIVERSIDAD CATÓLICA DEL ECUADOR</w:t>
      </w:r>
    </w:p>
    <w:p>
      <w:pPr>
        <w:spacing w:after="240" w:line="276" w:lineRule="auto"/>
        <w:jc w:val="center"/>
      </w:pPr>
      <w:r>
        <w:rPr>
          <w:b/>
          <w:i w:val="0"/>
          <w:color w:val="1B365D"/>
          <w:sz w:val="28"/>
        </w:rPr>
        <w:t>SEDE ESMERALDAS</w:t>
      </w:r>
    </w:p>
    <w:p>
      <w:pPr>
        <w:spacing w:after="80" w:line="276" w:lineRule="auto"/>
        <w:jc w:val="center"/>
      </w:pPr>
      <w:r>
        <w:rPr>
          <w:b/>
          <w:i w:val="0"/>
          <w:color w:val="4682B4"/>
          <w:sz w:val="22"/>
        </w:rPr>
        <w:t>PUCETEC</w:t>
      </w:r>
    </w:p>
    <w:p>
      <w:pPr>
        <w:spacing w:after="960" w:line="276" w:lineRule="auto"/>
        <w:jc w:val="center"/>
      </w:pPr>
      <w:r>
        <w:rPr>
          <w:b/>
          <w:i w:val="0"/>
          <w:color w:val="4682B4"/>
          <w:sz w:val="22"/>
        </w:rPr>
        <w:t>TECNOLOGÍA EN DESARROLLO DE SOFTWARE</w:t>
      </w:r>
    </w:p>
    <w:p>
      <w:pPr>
        <w:spacing w:after="240" w:line="276" w:lineRule="auto" w:before="960"/>
        <w:jc w:val="center"/>
      </w:pPr>
      <w:r>
        <w:rPr>
          <w:b/>
          <w:i w:val="0"/>
          <w:color w:val="1B365D"/>
          <w:sz w:val="32"/>
        </w:rPr>
        <w:t>PROYECTO INTEGRADOR: FASE 2 (MODELO ALGEBRAICO)</w:t>
      </w:r>
    </w:p>
    <w:p>
      <w:pPr>
        <w:spacing w:after="960" w:line="276" w:lineRule="auto"/>
        <w:jc w:val="center"/>
      </w:pPr>
      <w:r>
        <w:rPr>
          <w:b/>
          <w:i w:val="0"/>
          <w:sz w:val="24"/>
        </w:rPr>
        <w:t>TEMA:</w:t>
        <w:br/>
        <w:t>Presupuesto y logística de un envío internacional</w:t>
        <w:br/>
        <w:t>(Caso: Exportación de Cacao desde Esmeraldas)</w:t>
        <w:br/>
        <w:t>Incluye: Producto 2 — Parte C (Sistema de ecuaciones 2×2)</w:t>
      </w:r>
    </w:p>
    <w:p>
      <w:pPr>
        <w:spacing w:after="120" w:line="312" w:lineRule="auto" w:before="960"/>
        <w:jc w:val="center"/>
      </w:pPr>
      <w:r>
        <w:rPr>
          <w:b/>
        </w:rPr>
        <w:t>Integrantes:</w:t>
        <w:br/>
      </w:r>
      <w:r>
        <w:t>Alan Cárdenas Morán</w:t>
        <w:br/>
        <w:t>Geovanny Farías Estupiñán</w:t>
        <w:br/>
        <w:br/>
      </w:r>
      <w:r>
        <w:rPr>
          <w:b/>
        </w:rPr>
        <w:t>Asignatura:</w:t>
        <w:br/>
      </w:r>
      <w:r>
        <w:t>Habilidades Lógico-Matemáticas</w:t>
        <w:br/>
        <w:br/>
      </w:r>
      <w:r>
        <w:rPr>
          <w:b/>
        </w:rPr>
        <w:t>Docente:</w:t>
        <w:br/>
      </w:r>
      <w:r>
        <w:t>Msc. Adrián Vargas</w:t>
        <w:br/>
        <w:br/>
      </w:r>
      <w:r>
        <w:rPr>
          <w:b/>
        </w:rPr>
        <w:t>Nivel y Período:</w:t>
        <w:br/>
      </w:r>
      <w:r>
        <w:t>Primer Nivel — Período 2026-1</w:t>
      </w:r>
    </w:p>
    <w:p>
      <w:pPr>
        <w:spacing w:after="0" w:line="276" w:lineRule="auto" w:before="1200"/>
        <w:jc w:val="center"/>
      </w:pPr>
      <w:r>
        <w:rPr>
          <w:b/>
          <w:i w:val="0"/>
          <w:color w:val="4682B4"/>
          <w:sz w:val="22"/>
        </w:rPr>
        <w:t>Esmeraldas - Ecuador</w:t>
        <w:br/>
        <w:t>2026</w:t>
      </w:r>
    </w:p>
    <w:p>
      <w:r>
        <w:br w:type="page"/>
      </w:r>
    </w:p>
    <w:p>
      <w:pPr>
        <w:spacing w:after="480" w:line="276" w:lineRule="auto"/>
        <w:jc w:val="center"/>
      </w:pPr>
      <w:r>
        <w:rPr>
          <w:b/>
          <w:i w:val="0"/>
          <w:color w:val="1B365D"/>
          <w:sz w:val="28"/>
        </w:rPr>
        <w:t>REPORTE DE PROYECTO INTEGRADOR: FASE 2 (MODELO ALGEBRAICO)</w:t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5"/>
        </w:rPr>
        <w:t>1. DATOS GENERALES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Grupo: </w:t>
      </w:r>
      <w:r>
        <w:t>2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Integrantes: </w:t>
      </w:r>
      <w:r>
        <w:t>Alan Cárdenas Morán, Geovanny Farías Estupiñán</w:t>
      </w:r>
    </w:p>
    <w:p>
      <w:pPr>
        <w:spacing w:after="400" w:line="276" w:lineRule="auto"/>
        <w:ind w:left="360"/>
        <w:jc w:val="left"/>
      </w:pPr>
      <w:r>
        <w:rPr>
          <w:b/>
        </w:rPr>
        <w:t xml:space="preserve">•  Idea de proyecto elegida: </w:t>
      </w:r>
      <w:r>
        <w:t>7. Presupuesto y logística de un envío internacional (Caso: Exportación de Cacao)</w:t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5"/>
        </w:rPr>
        <w:t>2. INFERENCIA LÓGICA VÁLIDA (COMPLEMENTO DE LA FASE 1)</w:t>
      </w:r>
    </w:p>
    <w:p>
      <w:pPr>
        <w:spacing w:after="200" w:line="276" w:lineRule="auto"/>
        <w:jc w:val="left"/>
      </w:pPr>
      <w:r>
        <w:rPr>
          <w:b w:val="0"/>
          <w:i w:val="0"/>
        </w:rPr>
        <w:t>Para validar que la regla de decisión de la Fase 1 permite concluir correctamente la aprobación de una ruta, se aplica la regla de inferencia Modus Ponens: si se afirma un condicional y se afirma su antecedente, se concluye necesariamente su consecuente.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3120"/>
            <w:shd w:val="clear" w:color="auto" w:fill="1B365D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3120"/>
            <w:shd w:val="clear" w:color="auto" w:fill="1B365D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Lectura en el sistema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Premisa 1 (condicional)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(p ∧ ¬q) → D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Si el envío es urgente y el presupuesto no está excedido, entonces se aprueba la ruta rápida directa.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Premisa 2 (antecedente)</w:t>
            </w:r>
          </w:p>
        </w:tc>
        <w:tc>
          <w:tcPr>
            <w:tcW w:type="dxa" w:w="312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p ∧ ¬q</w:t>
            </w:r>
          </w:p>
        </w:tc>
        <w:tc>
          <w:tcPr>
            <w:tcW w:type="dxa" w:w="312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El lote de cacao es urgente (contrato con penalización) y su costo logístico no supera el techo presupuestario.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Conclusión (∴)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D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Se aprueba la ruta rápida directa para el envío del cacao.</w:t>
            </w:r>
          </w:p>
        </w:tc>
      </w:tr>
    </w:tbl>
    <w:p>
      <w:pPr>
        <w:spacing w:after="160" w:line="276" w:lineRule="auto"/>
        <w:jc w:val="left"/>
      </w:pPr>
    </w:p>
    <w:p>
      <w:pPr>
        <w:spacing w:after="400" w:line="276" w:lineRule="auto"/>
        <w:jc w:val="left"/>
      </w:pPr>
      <w:r>
        <w:rPr>
          <w:b w:val="0"/>
          <w:i w:val="0"/>
        </w:rPr>
        <w:t>La inferencia es válida porque su forma lógica [(A → B) ∧ A] → B es una tautología: en toda fila de su tabla de verdad el resultado es V, por lo que la conclusión nunca puede ser falsa si las premisas son verdaderas.</w:t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5"/>
        </w:rPr>
        <w:t>3. DATOS REALES UTILIZADOS EN EL MODELO</w:t>
      </w:r>
    </w:p>
    <w:p>
      <w:pPr>
        <w:spacing w:after="200" w:line="276" w:lineRule="auto"/>
        <w:jc w:val="left"/>
      </w:pPr>
      <w:r>
        <w:rPr>
          <w:b w:val="0"/>
          <w:i w:val="0"/>
        </w:rPr>
        <w:t>El modelo se construye con datos reales del mercado cacaotero ecuatoriano (julio 2026) y de la logística marítima internacional: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65D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type="dxa" w:w="3120"/>
            <w:shd w:val="clear" w:color="auto" w:fill="1B365D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Valor real</w:t>
            </w:r>
          </w:p>
        </w:tc>
        <w:tc>
          <w:tcPr>
            <w:tcW w:type="dxa" w:w="3120"/>
            <w:shd w:val="clear" w:color="auto" w:fill="1B365D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Fuente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Precio internacional del cacao (jul. 2026)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≈ $5,900 / t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Anecacao / Ecuavisa (10-jul-2026)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Producción de cacao en Esmeraldas</w:t>
            </w:r>
          </w:p>
        </w:tc>
        <w:tc>
          <w:tcPr>
            <w:tcW w:type="dxa" w:w="312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58,965 t en 90,248 ha</w:t>
            </w:r>
          </w:p>
        </w:tc>
        <w:tc>
          <w:tcPr>
            <w:tcW w:type="dxa" w:w="312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Ministerio de Agricultura y Ganadería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Exportación nacional de cacao (2025)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≈ 600,000 t ($4,668 millones)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Banco Central del Ecuador / Anecacao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Flete marítimo contenedor 40 pies (promedio global)</w:t>
            </w:r>
          </w:p>
        </w:tc>
        <w:tc>
          <w:tcPr>
            <w:tcW w:type="dxa" w:w="312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≈ $2,286</w:t>
            </w:r>
          </w:p>
        </w:tc>
        <w:tc>
          <w:tcPr>
            <w:tcW w:type="dxa" w:w="312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Drewry World Container Index (2026)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Seguro de carga internacional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0.3% – 1.5% del valor CIF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Logintec / TransNatur</w:t>
            </w:r>
          </w:p>
        </w:tc>
      </w:tr>
      <w:tr>
        <w:tc>
          <w:tcPr>
            <w:tcW w:type="dxa" w:w="312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Distancia marítima Guayaquil → Rotterdam (vía Canal de Panamá)</w:t>
            </w:r>
          </w:p>
        </w:tc>
        <w:tc>
          <w:tcPr>
            <w:tcW w:type="dxa" w:w="312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≈ 10,700 km</w:t>
            </w:r>
          </w:p>
        </w:tc>
        <w:tc>
          <w:tcPr>
            <w:tcW w:type="dxa" w:w="312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SeaRates / sea-distances.org</w:t>
            </w:r>
          </w:p>
        </w:tc>
      </w:tr>
      <w:tr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Arancel del cacao ecuatoriano en la Unión Europea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0% (Acuerdo Multipartes)</w:t>
            </w:r>
          </w:p>
        </w:tc>
        <w:tc>
          <w:tcPr>
            <w:tcW w:type="dxa" w:w="312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Ministerio de Agricultura / EEAS-UE</w:t>
            </w:r>
          </w:p>
        </w:tc>
      </w:tr>
    </w:tbl>
    <w:p>
      <w:pPr>
        <w:spacing w:after="160" w:line="276" w:lineRule="auto"/>
        <w:jc w:val="left"/>
      </w:pPr>
    </w:p>
    <w:p>
      <w:pPr>
        <w:spacing w:after="400" w:line="276" w:lineRule="auto"/>
        <w:jc w:val="left"/>
      </w:pPr>
      <w:r>
        <w:rPr>
          <w:b/>
        </w:rPr>
        <w:t xml:space="preserve">Lote modelado: </w:t>
      </w:r>
      <w:r>
        <w:t>un contenedor de 40 pies con 25,000 kg (25 t) de cacao fino de aroma. Valor FOB = 25 t × $5,900/t = $147,500.</w:t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5"/>
        </w:rPr>
        <w:t>4. FÓRMULAS DEL SISTEMA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Costo logístico total: </w:t>
      </w:r>
      <w:r>
        <w:t>C = T + S + (a/100)·FOB, donde T = costo del transporte, S = costo del seguro y a = comisión logística (%) aplicada al valor FOB.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Aranceles / tasas: </w:t>
      </w:r>
      <w:r>
        <w:t>A = (t/100)·FOB, donde t es el porcentaje de impuestos o tasas del mercado de destino (UE: t = 0%).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Conversión de distancia: </w:t>
      </w:r>
      <w:r>
        <w:t>millas = kilómetros × 0.621371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Conversión de volumen: </w:t>
      </w:r>
      <w:r>
        <w:t>galones = litros × 0.264172</w:t>
      </w:r>
    </w:p>
    <w:p>
      <w:pPr>
        <w:spacing w:after="400" w:line="276" w:lineRule="auto"/>
        <w:ind w:left="360"/>
        <w:jc w:val="left"/>
      </w:pPr>
      <w:r>
        <w:rPr>
          <w:b/>
        </w:rPr>
        <w:t xml:space="preserve">•  Conversión de masa: </w:t>
      </w:r>
      <w:r>
        <w:t>libras = kilogramos × 2.20462</w:t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5"/>
        </w:rPr>
        <w:t>5. SISTEMA DE ECUACIONES 2×2 — PRODUCTO 2, PARTE C</w:t>
      </w:r>
    </w:p>
    <w:p>
      <w:pPr>
        <w:spacing w:after="80" w:line="276" w:lineRule="auto"/>
        <w:jc w:val="left"/>
      </w:pPr>
      <w:r>
        <w:rPr>
          <w:b/>
        </w:rPr>
        <w:t>Variables del sistema: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T: </w:t>
      </w:r>
      <w:r>
        <w:t>costo del transporte marítimo del lote (dólares).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S: </w:t>
      </w:r>
      <w:r>
        <w:t>costo del seguro de la carga (dólares).</w:t>
      </w:r>
    </w:p>
    <w:p>
      <w:pPr>
        <w:spacing w:after="200" w:line="276" w:lineRule="auto"/>
        <w:jc w:val="left"/>
      </w:pPr>
      <w:r>
        <w:rPr>
          <w:b/>
        </w:rPr>
        <w:t xml:space="preserve">Nota de nomenclatura: </w:t>
      </w:r>
      <w:r>
        <w:t>las incógnitas se nombran T y S, y no x e y, para no confundirlas con la variable x del análisis de funciones (Producto 2/3), que cuenta contenedores. Son magnitudes distintas y por eso llevan nombres distintos.</w:t>
      </w:r>
    </w:p>
    <w:p>
      <w:pPr>
        <w:spacing w:after="80" w:line="276" w:lineRule="auto"/>
        <w:jc w:val="left"/>
      </w:pPr>
      <w:r>
        <w:rPr>
          <w:b/>
        </w:rPr>
        <w:t>Condiciones reales de la operación: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Condición 1: </w:t>
      </w:r>
      <w:r>
        <w:t>el presupuesto logístico conjunto asignado al lote (transporte + seguro) es de $3,500.</w:t>
      </w:r>
    </w:p>
    <w:p>
      <w:pPr>
        <w:spacing w:after="200" w:line="276" w:lineRule="auto"/>
        <w:ind w:left="360"/>
        <w:jc w:val="left"/>
      </w:pPr>
      <w:r>
        <w:rPr>
          <w:b/>
        </w:rPr>
        <w:t xml:space="preserve">•  Condición 2: </w:t>
      </w:r>
      <w:r>
        <w:t>según los datos de mercado (flete ≈ $2,286–2,900 frente a un seguro de ≈ 0.5% del FOB), el transporte cuesta el cuádruple del seguro.</w:t>
      </w:r>
    </w:p>
    <w:p>
      <w:pPr>
        <w:spacing w:after="240" w:line="276" w:lineRule="auto"/>
        <w:jc w:val="center"/>
      </w:pPr>
      <w:r>
        <w:rPr>
          <w:b/>
          <w:color w:val="1B365D"/>
          <w:sz w:val="25"/>
        </w:rPr>
        <w:t>Ecuación 1:   T + S = 3500</w:t>
        <w:br/>
        <w:t>Ecuación 2:   T = 4S</w:t>
      </w:r>
    </w:p>
    <w:p>
      <w:pPr>
        <w:spacing w:after="80" w:line="276" w:lineRule="auto"/>
        <w:jc w:val="left"/>
      </w:pPr>
      <w:r>
        <w:rPr>
          <w:b/>
        </w:rPr>
        <w:t>Resolución por el método de sustitución: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Paso 1: </w:t>
      </w:r>
      <w:r>
        <w:t>sustituir la Ecuación 2 en la Ecuación 1:  4S + S = 3500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Paso 2: </w:t>
      </w:r>
      <w:r>
        <w:t>reducir términos semejantes:  5S = 3500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Paso 3: </w:t>
      </w:r>
      <w:r>
        <w:t>despejar S:  S = 3500 / 5 = 700</w:t>
      </w:r>
    </w:p>
    <w:p>
      <w:pPr>
        <w:spacing w:after="200" w:line="276" w:lineRule="auto"/>
        <w:ind w:left="360"/>
        <w:jc w:val="left"/>
      </w:pPr>
      <w:r>
        <w:rPr>
          <w:b/>
        </w:rPr>
        <w:t xml:space="preserve">•  Paso 4: </w:t>
      </w:r>
      <w:r>
        <w:t>reemplazar en la Ecuación 2:  T = 4(700) = 2800</w:t>
      </w:r>
    </w:p>
    <w:p>
      <w:pPr>
        <w:spacing w:after="200" w:line="276" w:lineRule="auto"/>
        <w:jc w:val="center"/>
      </w:pPr>
      <w:r>
        <w:rPr>
          <w:b/>
          <w:color w:val="228B22"/>
          <w:sz w:val="24"/>
        </w:rPr>
        <w:t>Solución:   T = $2,800 (transporte)   ;   S = $700 (seguro)</w:t>
      </w:r>
    </w:p>
    <w:p>
      <w:pPr>
        <w:spacing w:after="80" w:line="276" w:lineRule="auto"/>
        <w:jc w:val="left"/>
      </w:pPr>
      <w:r>
        <w:rPr>
          <w:b/>
        </w:rPr>
        <w:t>Comprobación (sustituyendo en ambas ecuaciones originales):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Ecuación 1: </w:t>
      </w:r>
      <w:r>
        <w:t>2800 + 700 = 3500 ✓</w:t>
      </w:r>
    </w:p>
    <w:p>
      <w:pPr>
        <w:spacing w:after="200" w:line="276" w:lineRule="auto"/>
        <w:ind w:left="360"/>
        <w:jc w:val="left"/>
      </w:pPr>
      <w:r>
        <w:rPr>
          <w:b/>
        </w:rPr>
        <w:t xml:space="preserve">•  Ecuación 2: </w:t>
      </w:r>
      <w:r>
        <w:t>2800 = 4 × 700 = 2800 ✓</w:t>
      </w:r>
    </w:p>
    <w:p>
      <w:pPr>
        <w:spacing w:after="200" w:line="276" w:lineRule="auto"/>
        <w:jc w:val="left"/>
      </w:pPr>
      <w:r>
        <w:rPr>
          <w:b/>
        </w:rPr>
        <w:t xml:space="preserve">Validación con datos reales: </w:t>
      </w:r>
      <w:r>
        <w:t>T = $2,800 es coherente con el flete promedio de un contenedor de 40 pies (Drewry: ≈ $2,286 promedio global; las rutas específicas suelen superar el promedio), y S = $700 equivale al 0.47% del valor FOB ($147,500), dentro del rango real de 0.3%–1.5% del seguro de carga internacional.</w:t>
      </w:r>
    </w:p>
    <w:p>
      <w:pPr>
        <w:spacing w:after="160" w:line="276" w:lineRule="auto"/>
        <w:jc w:val="left"/>
      </w:pPr>
      <w:r>
        <w:rPr>
          <w:b/>
        </w:rPr>
        <w:t xml:space="preserve">Decisión técnica que permite tomar este resultado (una línea): </w:t>
      </w:r>
      <w:r>
        <w:t>como el costo logístico total ($3,500) no excede el techo presupuestario del lote, ¬q es verdadera; siendo el envío urgente (p), por Modus Ponens se concluye D: se aprueba la ruta rápida directa.</w:t>
      </w:r>
    </w:p>
    <w:p>
      <w:pPr>
        <w:spacing w:after="400" w:line="276" w:lineRule="auto"/>
        <w:jc w:val="left"/>
      </w:pPr>
      <w:r>
        <w:rPr>
          <w:b/>
        </w:rPr>
        <w:t xml:space="preserve">Evidencia gráfica: </w:t>
      </w:r>
      <w:r>
        <w:t>al graficar ambas rectas (T + S = 3500 y T = 4S) en GeoGebra/Desmos o en el simulador web del proyecto, las rectas se intersecan exactamente en el punto (S, T) = (700, 2800), que es la solución del sistema.</w:t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5"/>
        </w:rPr>
        <w:t>6. CONVERSIONES DE UNIDADES DEL LOTE (SI ↔ IMPERIAL)</w:t>
      </w:r>
    </w:p>
    <w:p>
      <w:pPr>
        <w:spacing w:after="200" w:line="276" w:lineRule="auto"/>
        <w:jc w:val="left"/>
      </w:pPr>
      <w:r>
        <w:rPr>
          <w:b w:val="0"/>
          <w:i w:val="0"/>
        </w:rPr>
        <w:t>Aplicadas a los datos reales del envío modelado: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65D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Magnitud</w:t>
            </w:r>
          </w:p>
        </w:tc>
        <w:tc>
          <w:tcPr>
            <w:tcW w:type="dxa" w:w="2340"/>
            <w:shd w:val="clear" w:color="auto" w:fill="1B365D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Dato (SI)</w:t>
            </w:r>
          </w:p>
        </w:tc>
        <w:tc>
          <w:tcPr>
            <w:tcW w:type="dxa" w:w="2340"/>
            <w:shd w:val="clear" w:color="auto" w:fill="1B365D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Procedimiento</w:t>
            </w:r>
          </w:p>
        </w:tc>
        <w:tc>
          <w:tcPr>
            <w:tcW w:type="dxa" w:w="2340"/>
            <w:shd w:val="clear" w:color="auto" w:fill="1B365D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FFFFFF"/>
                <w:sz w:val="20"/>
              </w:rPr>
              <w:t>Resultado (Imperial)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Distancia de la ruta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10,700 km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10,700 × 0.621371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6,648.67 mi</w:t>
            </w:r>
          </w:p>
        </w:tc>
      </w:tr>
      <w:tr>
        <w:tc>
          <w:tcPr>
            <w:tcW w:type="dxa" w:w="234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Peso de la carga</w:t>
            </w:r>
          </w:p>
        </w:tc>
        <w:tc>
          <w:tcPr>
            <w:tcW w:type="dxa" w:w="234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25,000 kg</w:t>
            </w:r>
          </w:p>
        </w:tc>
        <w:tc>
          <w:tcPr>
            <w:tcW w:type="dxa" w:w="234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25,000 × 2.20462</w:t>
            </w:r>
          </w:p>
        </w:tc>
        <w:tc>
          <w:tcPr>
            <w:tcW w:type="dxa" w:w="2340"/>
            <w:shd w:val="clear" w:color="auto" w:fill="F4F6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55,115.50 lb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Combustible terrestre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188 L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center"/>
            </w:pPr>
            <w:r/>
            <w:r>
              <w:rPr>
                <w:sz w:val="20"/>
              </w:rPr>
              <w:t>188 × 0.264172</w:t>
            </w:r>
          </w:p>
        </w:tc>
        <w:tc>
          <w:tcPr>
            <w:tcW w:type="dxa" w:w="2340"/>
            <w:shd w:val="clear" w:color="auto" w:fill="FFFFFF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sz w:val="20"/>
              </w:rPr>
              <w:t>49.66 gal</w:t>
            </w:r>
          </w:p>
        </w:tc>
      </w:tr>
    </w:tbl>
    <w:p>
      <w:pPr>
        <w:spacing w:after="160" w:line="276" w:lineRule="auto"/>
        <w:jc w:val="left"/>
      </w:pPr>
    </w:p>
    <w:p>
      <w:pPr>
        <w:spacing w:after="80" w:line="276" w:lineRule="auto"/>
        <w:jc w:val="left"/>
      </w:pPr>
      <w:r>
        <w:rPr>
          <w:b/>
        </w:rPr>
        <w:t xml:space="preserve">Proporcionalidad: </w:t>
      </w:r>
      <w:r>
        <w:t>el combustible del tramo terrestre Esmeraldas → Puerto de Guayaquil (≈ 470 km) se calcula por proporcionalidad directa con el consumo del camión (40 L por cada 100 km): 470 × 40/100 = 188 L.</w:t>
      </w:r>
    </w:p>
    <w:p>
      <w:pPr>
        <w:spacing w:after="400" w:line="276" w:lineRule="auto"/>
        <w:jc w:val="left"/>
      </w:pPr>
      <w:r>
        <w:rPr>
          <w:b/>
        </w:rPr>
        <w:t xml:space="preserve">Porcentajes: </w:t>
      </w:r>
      <w:r>
        <w:t>el seguro representa 700/147,500 = 0.47% del valor FOB; la comisión logística del 2% del FOB equivale a $2,950; con ellos el costo logístico total es C = 2,800 + 700 + 2,950 = $6,450. En la UE el arancel es 0% gracias al Acuerdo Multipartes.</w:t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5"/>
        </w:rPr>
        <w:t>7. HERRAMIENTAS UTILIZADAS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Simulador web del proyecto: </w:t>
      </w:r>
      <w:r>
        <w:t>resuelve el sistema 2×2 en vivo, grafica las dos rectas con su punto de intersección y calcula el costo total y las conversiones.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GeoGebra / Desmos: </w:t>
      </w:r>
      <w:r>
        <w:t>verificación gráfica del sistema (las rectas T + S = 3500 y T = 4S se cruzan en (700, 2800)).</w:t>
      </w:r>
    </w:p>
    <w:p>
      <w:pPr>
        <w:spacing w:after="400" w:line="276" w:lineRule="auto"/>
        <w:ind w:left="360"/>
        <w:jc w:val="left"/>
      </w:pPr>
      <w:r>
        <w:rPr>
          <w:b/>
        </w:rPr>
        <w:t xml:space="preserve">•  Hoja de cálculo: </w:t>
      </w:r>
      <w:r>
        <w:t>comprobación numérica de conversiones y porcentajes.</w:t>
      </w:r>
    </w:p>
    <w:p>
      <w:pPr>
        <w:spacing w:after="200" w:line="276" w:lineRule="auto"/>
        <w:jc w:val="left"/>
      </w:pPr>
      <w:r>
        <w:rPr>
          <w:b/>
          <w:i w:val="0"/>
          <w:color w:val="1B365D"/>
          <w:sz w:val="25"/>
        </w:rPr>
        <w:t>8. CONCLUSIONES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</w:t>
      </w:r>
      <w:r>
        <w:t>El sistema 2×2 permitió repartir el presupuesto logístico real del lote entre transporte ($2,800) y seguro ($700), con una solución comprobada algebraica y gráficamente.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</w:t>
      </w:r>
      <w:r>
        <w:t>Los valores obtenidos son consistentes con los datos reales del mercado (flete Drewry y rango del seguro de carga), lo que valida el modelo.</w:t>
      </w:r>
    </w:p>
    <w:p>
      <w:pPr>
        <w:spacing w:after="120" w:line="276" w:lineRule="auto"/>
        <w:ind w:left="360"/>
        <w:jc w:val="left"/>
      </w:pPr>
      <w:r>
        <w:rPr>
          <w:b/>
        </w:rPr>
        <w:t xml:space="preserve">•  </w:t>
      </w:r>
      <w:r>
        <w:t>La regla lógica D = p ∧ ¬q y la inferencia Modus Ponens conectan el modelo algebraico con la decisión técnica final: aprobar la ruta rápida directa del envío de cacao.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