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b/>
          <w:i w:val="0"/>
          <w:color w:val="1B365D"/>
          <w:sz w:val="26"/>
        </w:rPr>
        <w:t>PONTIFICIA UNIVERSIDAD CATÓLICA DEL ECUADOR - SEDE ESMERALDAS</w:t>
      </w:r>
    </w:p>
    <w:p>
      <w:pPr>
        <w:spacing w:after="240" w:line="276" w:lineRule="auto"/>
        <w:jc w:val="center"/>
      </w:pPr>
      <w:r>
        <w:rPr>
          <w:b/>
          <w:i w:val="0"/>
          <w:color w:val="4682B4"/>
          <w:sz w:val="22"/>
        </w:rPr>
        <w:t>PUCETEC - TECNOLOGÍA EN DESARROLLO DE SOFTWARE</w:t>
      </w:r>
    </w:p>
    <w:p>
      <w:pPr>
        <w:spacing w:after="80" w:line="276" w:lineRule="auto"/>
        <w:jc w:val="center"/>
      </w:pPr>
      <w:r>
        <w:rPr>
          <w:b/>
        </w:rPr>
        <w:t xml:space="preserve">Asignatura: </w:t>
      </w:r>
      <w:r>
        <w:t>Habilidades Lógico-Matemáticas</w:t>
      </w:r>
    </w:p>
    <w:p>
      <w:pPr>
        <w:spacing w:after="80" w:line="276" w:lineRule="auto"/>
        <w:jc w:val="center"/>
      </w:pPr>
      <w:r>
        <w:rPr>
          <w:b/>
        </w:rPr>
        <w:t xml:space="preserve">Nivel: </w:t>
      </w:r>
      <w:r>
        <w:t>Primer Nivel</w:t>
      </w:r>
    </w:p>
    <w:p>
      <w:pPr>
        <w:spacing w:after="480" w:line="276" w:lineRule="auto"/>
        <w:jc w:val="center"/>
      </w:pPr>
      <w:r>
        <w:rPr>
          <w:b/>
        </w:rPr>
        <w:t xml:space="preserve">Período: </w:t>
      </w:r>
      <w:r>
        <w:t>2026-1</w:t>
      </w:r>
    </w:p>
    <w:p>
      <w:pPr>
        <w:spacing w:after="480" w:line="276" w:lineRule="auto"/>
        <w:jc w:val="center"/>
      </w:pPr>
      <w:r>
        <w:rPr>
          <w:b w:val="0"/>
          <w:i w:val="0"/>
          <w:color w:val="4682B4"/>
          <w:sz w:val="20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after="480" w:line="276" w:lineRule="auto"/>
        <w:jc w:val="center"/>
      </w:pPr>
      <w:r>
        <w:rPr>
          <w:b/>
          <w:i w:val="0"/>
          <w:color w:val="1B365D"/>
          <w:sz w:val="28"/>
        </w:rPr>
        <w:t>REPORTE DE PROYECTO INTEGRADOR: FASE 1 (DEFINICIÓN)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1. DATOS GENERALES</w:t>
      </w:r>
    </w:p>
    <w:p>
      <w:pPr>
        <w:spacing w:after="80" w:line="276" w:lineRule="auto"/>
        <w:ind w:left="360"/>
        <w:jc w:val="left"/>
      </w:pPr>
      <w:r>
        <w:rPr>
          <w:b/>
        </w:rPr>
        <w:t xml:space="preserve">•  Integrantes: </w:t>
      </w:r>
      <w:r>
        <w:t>Alan Cárdenas Morán, Geovanny Farías Estupiñán</w:t>
      </w:r>
    </w:p>
    <w:p>
      <w:pPr>
        <w:spacing w:after="400" w:line="276" w:lineRule="auto"/>
        <w:ind w:left="360"/>
        <w:jc w:val="left"/>
      </w:pPr>
      <w:r>
        <w:rPr>
          <w:b/>
        </w:rPr>
        <w:t xml:space="preserve">•  Idea de proyecto elegida: </w:t>
      </w:r>
      <w:r>
        <w:t>7. Presupuesto y logística de un envío internacional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2. DESCRIPCIÓN DEL SISTEMA Y PROBLEMA REAL QUE RESUELVE</w:t>
      </w:r>
    </w:p>
    <w:p>
      <w:pPr>
        <w:spacing w:after="160" w:line="276" w:lineRule="auto"/>
        <w:jc w:val="left"/>
      </w:pPr>
      <w:r>
        <w:rPr>
          <w:b w:val="0"/>
          <w:i w:val="0"/>
        </w:rPr>
        <w:t>El sistema modela y optimiza la toma de decisiones logísticas para la exportación de productos agrícolas locales (como el cacao fino de aroma) desde la provincia de Esmeraldas hacia mercados internacionales (como Europa o Estados Unidos).</w:t>
      </w:r>
    </w:p>
    <w:p>
      <w:pPr>
        <w:spacing w:after="400" w:line="276" w:lineRule="auto"/>
        <w:jc w:val="left"/>
      </w:pPr>
      <w:r>
        <w:rPr>
          <w:b/>
        </w:rPr>
        <w:t xml:space="preserve">Problema real: </w:t>
      </w:r>
      <w:r>
        <w:t>Las asociaciones de productores en Esmeraldas enfrentan pérdidas económicas debido a la falta de un criterio automatizado y claro para elegir rutas de transporte. Frecuentemente se toman decisiones apresuradas sobre envíos urgentes que terminan excediendo el presupuesto asignado, o se seleccionan rutas lentas para carga perecedera. Este sistema resuelve la problemática delimitando de manera matemática cuándo se aprueba una ruta de distribución directa y urgente, balanceando la prioridad del tiempo de entrega con la viabilidad financiera de la exportación.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3. VARIABLES PRINCIPALES DEL SISTEMA</w:t>
      </w:r>
    </w:p>
    <w:p>
      <w:pPr>
        <w:spacing w:after="160" w:line="276" w:lineRule="auto"/>
        <w:jc w:val="left"/>
      </w:pPr>
      <w:r>
        <w:rPr>
          <w:b w:val="0"/>
          <w:i w:val="0"/>
        </w:rPr>
        <w:t>El sistema evalúa el estado del envío mediante tres variables concretas adaptadas a la operación de exportación:</w:t>
      </w:r>
    </w:p>
    <w:p>
      <w:pPr>
        <w:spacing w:after="120" w:line="276" w:lineRule="auto"/>
        <w:ind w:left="360"/>
        <w:jc w:val="left"/>
      </w:pPr>
      <w:r>
        <w:rPr>
          <w:b/>
        </w:rPr>
        <w:t>1.  Estado de Urgencia de la Carga (</w:t>
      </w:r>
      <w:r>
        <w:rPr>
          <w:b/>
          <w:i/>
        </w:rPr>
        <w:t>p</w:t>
      </w:r>
      <w:r>
        <w:rPr>
          <w:b/>
        </w:rPr>
        <w:t xml:space="preserve">): </w:t>
      </w:r>
      <w:r>
        <w:t>Determina si el producto corre riesgo de caducidad o si existe un contrato con penalización por retraso en el puerto de destino.</w:t>
      </w:r>
    </w:p>
    <w:p>
      <w:pPr>
        <w:spacing w:after="120" w:line="276" w:lineRule="auto"/>
        <w:ind w:left="360"/>
        <w:jc w:val="left"/>
      </w:pPr>
      <w:r>
        <w:rPr>
          <w:b/>
        </w:rPr>
        <w:t>2.  Límite Presupuestario (</w:t>
      </w:r>
      <w:r>
        <w:rPr>
          <w:b/>
          <w:i/>
        </w:rPr>
        <w:t>q</w:t>
      </w:r>
      <w:r>
        <w:rPr>
          <w:b/>
        </w:rPr>
        <w:t xml:space="preserve">): </w:t>
      </w:r>
      <w:r>
        <w:t>Monitorea si los costos calculados de flete, aduanas e imprevistos superan el techo financiero asignado para el lote de envío.</w:t>
      </w:r>
    </w:p>
    <w:p>
      <w:pPr>
        <w:spacing w:after="400" w:line="276" w:lineRule="auto"/>
        <w:ind w:left="360"/>
        <w:jc w:val="left"/>
      </w:pPr>
      <w:r>
        <w:rPr>
          <w:b/>
        </w:rPr>
        <w:t>3.  Peso Total del Envío (</w:t>
      </w:r>
      <w:r>
        <w:rPr>
          <w:b/>
          <w:i/>
        </w:rPr>
        <w:t>r</w:t>
      </w:r>
      <w:r>
        <w:rPr>
          <w:b/>
        </w:rPr>
        <w:t xml:space="preserve">): </w:t>
      </w:r>
      <w:r>
        <w:t>Registra la masa neta de la carga contratada, la cual afecta directamente las tarifas aeroportuarias o marítimas y el consumo estimado de combustible.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4. PROPOSICIONES LÓGICAS Y REGLA DE DECISIÓN</w:t>
      </w:r>
    </w:p>
    <w:p>
      <w:pPr>
        <w:spacing w:after="160" w:line="276" w:lineRule="auto"/>
        <w:jc w:val="left"/>
      </w:pPr>
      <w:r>
        <w:rPr>
          <w:b w:val="0"/>
          <w:i w:val="0"/>
        </w:rPr>
        <w:t>Para automatizar la aprobación de la ruta directa, se definen las siguientes proposiciones atómicas: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</w:t>
      </w:r>
      <w:r>
        <w:rPr>
          <w:b/>
          <w:i/>
        </w:rPr>
        <w:t>p</w:t>
      </w:r>
      <w:r>
        <w:t>: El envío es calificado como urgente.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</w:t>
      </w:r>
      <w:r>
        <w:rPr>
          <w:b/>
          <w:i/>
        </w:rPr>
        <w:t>q</w:t>
      </w:r>
      <w:r>
        <w:t>: El presupuesto del envío está excedido.</w:t>
      </w:r>
    </w:p>
    <w:p>
      <w:pPr>
        <w:spacing w:after="120" w:line="276" w:lineRule="auto"/>
        <w:jc w:val="left"/>
      </w:pPr>
      <w:r>
        <w:rPr>
          <w:b/>
        </w:rPr>
        <w:t>Regla de Decisión del Sistema (</w:t>
      </w:r>
      <w:r>
        <w:rPr>
          <w:b/>
          <w:i/>
        </w:rPr>
        <w:t>D</w:t>
      </w:r>
      <w:r>
        <w:rPr>
          <w:b/>
        </w:rPr>
        <w:t xml:space="preserve">): </w:t>
      </w:r>
      <w:r>
        <w:t>La ruta rápida y directa se aprueba (</w:t>
      </w:r>
      <w:r>
        <w:rPr>
          <w:i/>
        </w:rPr>
        <w:t>D</w:t>
      </w:r>
      <w:r>
        <w:t xml:space="preserve">) si y solo si el envío es urgente y el presupuesto </w:t>
      </w:r>
      <w:r>
        <w:rPr>
          <w:b/>
        </w:rPr>
        <w:t>no</w:t>
      </w:r>
      <w:r>
        <w:t xml:space="preserve"> está excedido.</w:t>
      </w:r>
    </w:p>
    <w:p>
      <w:pPr>
        <w:spacing w:after="320" w:line="276" w:lineRule="auto"/>
        <w:jc w:val="center"/>
      </w:pPr>
      <w:r>
        <w:rPr>
          <w:b/>
          <w:color w:val="1B365D"/>
          <w:sz w:val="25"/>
        </w:rPr>
        <w:t>D = p ∧ ¬q</w:t>
      </w:r>
    </w:p>
    <w:p>
      <w:pPr>
        <w:spacing w:after="160" w:line="276" w:lineRule="auto"/>
        <w:jc w:val="left"/>
      </w:pPr>
      <w:r>
        <w:rPr>
          <w:b/>
          <w:i w:val="0"/>
          <w:color w:val="4682B4"/>
          <w:sz w:val="23"/>
        </w:rPr>
        <w:t>Tabla de Verdad de la Regla de Decisión</w:t>
      </w:r>
    </w:p>
    <w:p>
      <w:pPr>
        <w:spacing w:after="200" w:line="276" w:lineRule="auto"/>
        <w:jc w:val="left"/>
      </w:pPr>
      <w:r>
        <w:rPr>
          <w:b w:val="0"/>
          <w:i w:val="0"/>
        </w:rPr>
        <w:t>A continuación se detallan las 4 combinaciones lógicas posibles para el flujo del programa: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p (Urgente)</w:t>
            </w:r>
          </w:p>
        </w:tc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q (Presupuesto Excedido)</w:t>
            </w:r>
          </w:p>
        </w:tc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¬q</w:t>
            </w:r>
          </w:p>
        </w:tc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D = p ∧ ¬q (Ruta Aprobada)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228B22"/>
              </w:rPr>
              <w:t>V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228B22"/>
              </w:rPr>
              <w:t>V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B22222"/>
              </w:rPr>
              <w:t>F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B22222"/>
              </w:rPr>
              <w:t>F</w:t>
            </w:r>
            <w:r>
              <w:t xml:space="preserve"> (Rechazado por costo elevado)</w:t>
            </w:r>
          </w:p>
        </w:tc>
      </w:tr>
      <w:tr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228B22"/>
              </w:rPr>
              <w:t>V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B22222"/>
              </w:rPr>
              <w:t>F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228B22"/>
              </w:rPr>
              <w:t>V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228B22"/>
              </w:rPr>
              <w:t>V</w:t>
            </w:r>
            <w:r>
              <w:t xml:space="preserve"> (Aprobado: se requiere prioridad y hay fondos)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B22222"/>
              </w:rPr>
              <w:t>F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228B22"/>
              </w:rPr>
              <w:t>V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B22222"/>
              </w:rPr>
              <w:t>F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B22222"/>
              </w:rPr>
              <w:t>F</w:t>
            </w:r>
            <w:r>
              <w:t xml:space="preserve"> (Rechazado: no es urgente y supera el costo)</w:t>
            </w:r>
          </w:p>
        </w:tc>
      </w:tr>
      <w:tr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B22222"/>
              </w:rPr>
              <w:t>F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B22222"/>
              </w:rPr>
              <w:t>F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228B22"/>
              </w:rPr>
              <w:t>V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B22222"/>
              </w:rPr>
              <w:t>F</w:t>
            </w:r>
            <w:r>
              <w:t xml:space="preserve"> (Rechazado: no amerita ruta rápida, se usa ruta estándar)</w:t>
            </w:r>
          </w:p>
        </w:tc>
      </w:tr>
    </w:tbl>
    <w:p>
      <w:pPr>
        <w:spacing w:after="400" w:line="276" w:lineRule="auto"/>
        <w:jc w:val="left"/>
      </w:pP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5. MAGNITUDES Y UNIDADES DE MEDIDA</w:t>
      </w:r>
    </w:p>
    <w:p>
      <w:pPr>
        <w:spacing w:after="240" w:line="276" w:lineRule="auto"/>
        <w:jc w:val="left"/>
      </w:pPr>
      <w:r>
        <w:rPr>
          <w:b w:val="0"/>
          <w:i w:val="0"/>
        </w:rPr>
        <w:t>Para garantizar la compatibilidad del software con clientes norteamericanos y europeos, el sistema procesará y convertirá de forma automática las siguientes magnitudes en ambos sistemas de medida:</w:t>
      </w:r>
    </w:p>
    <w:p>
      <w:pPr>
        <w:spacing w:after="80" w:line="276" w:lineRule="auto"/>
        <w:ind w:left="360"/>
        <w:jc w:val="left"/>
      </w:pPr>
      <w:r>
        <w:rPr>
          <w:b/>
        </w:rPr>
        <w:t xml:space="preserve">•  </w:t>
      </w:r>
      <w:r>
        <w:rPr>
          <w:b/>
        </w:rPr>
        <w:t>Distancia de la Ruta Internacional:</w:t>
      </w:r>
    </w:p>
    <w:p>
      <w:pPr>
        <w:spacing w:after="40" w:line="276" w:lineRule="auto"/>
        <w:ind w:left="720"/>
        <w:jc w:val="left"/>
      </w:pPr>
      <w:r>
        <w:rPr>
          <w:i/>
        </w:rPr>
        <w:t xml:space="preserve">-  Sistema Internacional (SI): </w:t>
      </w:r>
      <w:r>
        <w:t>Kilómetros (km)</w:t>
      </w:r>
    </w:p>
    <w:p>
      <w:pPr>
        <w:spacing w:after="160" w:line="276" w:lineRule="auto"/>
        <w:ind w:left="720"/>
        <w:jc w:val="left"/>
      </w:pPr>
      <w:r>
        <w:rPr>
          <w:i/>
        </w:rPr>
        <w:t xml:space="preserve">-  Sistema Imperial: </w:t>
      </w:r>
      <w:r>
        <w:t>Millas (mi)</w:t>
      </w:r>
    </w:p>
    <w:p>
      <w:pPr>
        <w:spacing w:after="80" w:line="276" w:lineRule="auto"/>
        <w:ind w:left="360"/>
        <w:jc w:val="left"/>
      </w:pPr>
      <w:r>
        <w:rPr>
          <w:b/>
        </w:rPr>
        <w:t xml:space="preserve">•  </w:t>
      </w:r>
      <w:r>
        <w:rPr>
          <w:b/>
        </w:rPr>
        <w:t>Volumen de Combustible Requerido:</w:t>
      </w:r>
    </w:p>
    <w:p>
      <w:pPr>
        <w:spacing w:after="40" w:line="276" w:lineRule="auto"/>
        <w:ind w:left="720"/>
        <w:jc w:val="left"/>
      </w:pPr>
      <w:r>
        <w:rPr>
          <w:i/>
        </w:rPr>
        <w:t xml:space="preserve">-  Sistema Internacional (SI): </w:t>
      </w:r>
      <w:r>
        <w:t>Litros (L)</w:t>
      </w:r>
    </w:p>
    <w:p>
      <w:pPr>
        <w:spacing w:after="160" w:line="276" w:lineRule="auto"/>
        <w:ind w:left="720"/>
        <w:jc w:val="left"/>
      </w:pPr>
      <w:r>
        <w:rPr>
          <w:i/>
        </w:rPr>
        <w:t xml:space="preserve">-  Sistema Imperial: </w:t>
      </w:r>
      <w:r>
        <w:t>Galones (gal)</w:t>
      </w:r>
    </w:p>
    <w:p>
      <w:pPr>
        <w:spacing w:after="80" w:line="276" w:lineRule="auto"/>
        <w:ind w:left="360"/>
        <w:jc w:val="left"/>
      </w:pPr>
      <w:r>
        <w:rPr>
          <w:b/>
        </w:rPr>
        <w:t xml:space="preserve">•  </w:t>
      </w:r>
      <w:r>
        <w:rPr>
          <w:b/>
        </w:rPr>
        <w:t>Masa / Peso de la Carga de Cacao:</w:t>
      </w:r>
    </w:p>
    <w:p>
      <w:pPr>
        <w:spacing w:after="40" w:line="276" w:lineRule="auto"/>
        <w:ind w:left="720"/>
        <w:jc w:val="left"/>
      </w:pPr>
      <w:r>
        <w:rPr>
          <w:i/>
        </w:rPr>
        <w:t xml:space="preserve">-  Sistema Internacional (SI): </w:t>
      </w:r>
      <w:r>
        <w:t>Kilogramos (kg)</w:t>
      </w:r>
    </w:p>
    <w:p>
      <w:pPr>
        <w:spacing w:after="160" w:line="276" w:lineRule="auto"/>
        <w:ind w:left="720"/>
        <w:jc w:val="left"/>
      </w:pPr>
      <w:r>
        <w:rPr>
          <w:i/>
        </w:rPr>
        <w:t xml:space="preserve">-  Sistema Imperial: </w:t>
      </w:r>
      <w:r>
        <w:t>Libras (lb)</w:t>
      </w:r>
    </w:p>
    <w:p>
      <w:pPr>
        <w:spacing w:after="240" w:line="276" w:lineRule="auto"/>
        <w:ind w:left="360"/>
        <w:jc w:val="left"/>
      </w:pPr>
      <w:r>
        <w:rPr>
          <w:b/>
        </w:rPr>
        <w:t xml:space="preserve">•  </w:t>
      </w:r>
      <w:r>
        <w:rPr>
          <w:b/>
        </w:rPr>
        <w:t>Indicadores Financieros:</w:t>
      </w:r>
    </w:p>
    <w:p>
      <w:pPr>
        <w:spacing w:after="240" w:line="276" w:lineRule="auto"/>
        <w:ind w:left="720"/>
        <w:jc w:val="left"/>
      </w:pPr>
      <w:r>
        <w:t>-  Porcentaje (%) de impuestos aduaneros, aranceles de importación y comisiones logísticas aplicadas al valor FOB de la mercancía.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