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4"/>
        </w:rPr>
        <w:t>ANEXO A. EVIDENCIAS DEL DESPLIEGUE EN EL SERVIDOR UBUNTU</w:t>
      </w:r>
    </w:p>
    <w:p>
      <w:pPr>
        <w:spacing w:after="120"/>
        <w:ind w:firstLine="432"/>
        <w:jc w:val="both"/>
      </w:pPr>
      <w:r>
        <w:rPr>
          <w:rFonts w:ascii="Times New Roman" w:hAnsi="Times New Roman"/>
          <w:b w:val="0"/>
          <w:sz w:val="22"/>
        </w:rPr>
        <w:t>Las figuras de las secciones anteriores muestran el sitio ya publicado. Este anexo recoge la evidencia del lado del servidor: las capturas se tomaron sobre la máquina Ubuntu a través de una sesión SSH y documentan la instalación de la pila LAMP, la asignación de permisos, la configuración del host virtual y el registro efectivo de un mensaje en la base de datos.</w:t>
      </w:r>
    </w:p>
    <w:p>
      <w:pPr>
        <w:spacing w:after="280"/>
        <w:ind w:firstLine="432"/>
        <w:jc w:val="both"/>
      </w:pPr>
      <w:r>
        <w:rPr>
          <w:rFonts w:ascii="Times New Roman" w:hAnsi="Times New Roman"/>
          <w:b w:val="0"/>
          <w:sz w:val="22"/>
        </w:rPr>
        <w:t>La última figura resulta especialmente significativa: en una sola pantalla se observa Apache atendiendo dos puertos de forma simultánea y el mensaje enviado desde el formulario ya almacenado en MySQL. Ese encadenamiento verifica que los cuatro componentes de la pila trabajan de manera conjunta y no de forma aislada.</w:t>
      </w: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94960" cy="87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d-ip-fij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7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sz w:val="18"/>
        </w:rPr>
        <w:t>Fig. 17. Sesión SSH sobre el servidor. Se observa el usuario, el nombre del equipo, la distribución Ubuntu 22.04.5 LTS y la dirección IP fija 192.168.1.60/26 con ruta estática.</w:t>
      </w: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94960" cy="12055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versio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05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sz w:val="18"/>
        </w:rPr>
        <w:t>Fig. 18. Versiones de los cuatro componentes de la pila LAMP instalados en el servidor: Ubuntu 22.04.5 LTS, Apache 2.4.52, MySQL 8.0.46 y PHP 8.1.2.</w:t>
      </w: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94960" cy="26605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ermis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0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sz w:val="18"/>
        </w:rPr>
        <w:t>Fig. 19. Permisos del directorio del sitio. Los archivos quedan en 640 y los directorios en 750, con el usuario administrador como propietario y www-data como grupo, de modo que Apache solo puede leer.</w:t>
      </w: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94960" cy="30416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bases-d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41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sz w:val="18"/>
        </w:rPr>
        <w:t>Fig. 20. Coexistencia de los esquemas nivelup y wordpress_db en el mismo gestor, junto con las tres tablas del sitio y el recuento de ocho productos.</w:t>
      </w: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94960" cy="28546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pache-virtualho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54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sz w:val="18"/>
        </w:rPr>
        <w:t>Fig. 21. Verificación de la configuración de Apache. La comprobación de sintaxis devuelve Syntax OK y el host virtual nivelup.local queda asociado al puerto 8080.</w:t>
      </w: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94960" cy="9161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uertos-y-mensaj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6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sz w:val="18"/>
        </w:rPr>
        <w:t>Fig. 22. Prueba integral de la pila. Apache atiende simultáneamente en los puertos 80 y 8080, y la consulta a la tabla mensajes muestra el registro generado desde el formulario de contacto con su marca temporal.</w:t>
      </w: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94960" cy="27436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itio-navegad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43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sz w:val="18"/>
        </w:rPr>
        <w:t>Fig. 23. El sitio servido desde el servidor Ubuntu, abierto en el navegador de la estación de trabajo. La barra de direcciones muestra nivelup.local:8080, nombre resuelto mediante el archivo hosts hacia la dirección 192.168.1.60 y atendido por el host virtual de Apache.</w:t>
      </w:r>
    </w:p>
    <w:p>
      <w:pPr>
        <w:spacing w:after="120"/>
        <w:ind w:firstLine="432"/>
        <w:jc w:val="both"/>
      </w:pPr>
      <w:r>
        <w:rPr>
          <w:rFonts w:ascii="Times New Roman" w:hAnsi="Times New Roman"/>
          <w:b w:val="0"/>
          <w:sz w:val="22"/>
        </w:rPr>
        <w:t>En conjunto, estas siete figuras cubren el requisito de evidenciar el correcto despliegue y funcionamiento del sitio sobre el servidor Ubuntu. La última cierra el recorrido: muestra el sitio servido desde la máquina Ubuntu y abierto en un equipo distinto de la red, complementando las capturas de la interfaz presentadas en la sección de resultados.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