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76EE7" w14:textId="77777777" w:rsidR="005D7E4B" w:rsidRDefault="0025628B">
      <w:pPr>
        <w:spacing w:after="80"/>
        <w:jc w:val="right"/>
      </w:pPr>
      <w:r>
        <w:rPr>
          <w:rFonts w:eastAsia="宋体"/>
          <w:color w:val="000000"/>
          <w:sz w:val="24"/>
        </w:rPr>
        <w:t>ERP-G2-05    V1.0</w:t>
      </w:r>
      <w:r>
        <w:rPr>
          <w:rFonts w:eastAsia="宋体"/>
          <w:color w:val="000000"/>
          <w:sz w:val="24"/>
        </w:rPr>
      </w:r>
      <w:r>
        <w:rPr>
          <w:rFonts w:eastAsia="宋体"/>
          <w:color w:val="000000"/>
          <w:sz w:val="24"/>
        </w:rPr>
      </w:r>
      <w:r>
        <w:rPr>
          <w:rFonts w:eastAsia="宋体"/>
          <w:color w:val="000000"/>
          <w:sz w:val="24"/>
        </w:rPr>
      </w:r>
    </w:p>
    <w:p w14:paraId="7C0691B8" w14:textId="77777777" w:rsidR="005D7E4B" w:rsidRDefault="0025628B">
      <w:pPr>
        <w:spacing w:before="1200" w:after="360"/>
        <w:jc w:val="right"/>
      </w:pPr>
      <w:r>
        <w:rPr>
          <w:rFonts w:eastAsia="宋体"/>
          <w:color w:val="000000"/>
          <w:sz w:val="24"/>
        </w:rPr>
        <w:t>密    级：内部·教学用</w:t>
      </w:r>
      <w:r>
        <w:rPr>
          <w:rFonts w:eastAsia="宋体"/>
          <w:color w:val="000000"/>
          <w:sz w:val="24"/>
        </w:rPr>
      </w:r>
      <w:r>
        <w:rPr>
          <w:rFonts w:eastAsia="宋体"/>
          <w:color w:val="000000"/>
          <w:sz w:val="24"/>
        </w:rPr>
      </w:r>
    </w:p>
    <w:p w14:paraId="23113F26" w14:textId="77777777" w:rsidR="005D7E4B" w:rsidRDefault="005D7E4B">
      <w:pPr>
        <w:spacing w:before="2000" w:after="480"/>
        <w:jc w:val="center"/>
      </w:pPr>
    </w:p>
    <w:p w14:paraId="67B05FA8" w14:textId="77777777" w:rsidR="005D7E4B" w:rsidRDefault="0025628B">
      <w:pPr>
        <w:pBdr>
          <w:bottom w:val="single" w:sz="12" w:space="8" w:color="000000"/>
        </w:pBdr>
        <w:spacing w:before="240" w:after="360"/>
        <w:jc w:val="center"/>
      </w:pPr>
      <w:r>
        <w:rPr>
          <w:rFonts w:eastAsia="黑体"/>
          <w:b/>
          <w:color w:val="000000"/>
          <w:sz w:val="44"/>
        </w:rPr>
        <w:t>某自然博物馆智能运营中心建设项目——应急管理子系统</w:t>
      </w:r>
      <w:r>
        <w:rPr>
          <w:rFonts w:eastAsia="黑体"/>
          <w:b/>
          <w:color w:val="000000"/>
          <w:sz w:val="44"/>
        </w:rPr>
      </w:r>
      <w:r>
        <w:rPr>
          <w:rFonts w:eastAsia="黑体"/>
          <w:b/>
          <w:color w:val="000000"/>
          <w:sz w:val="44"/>
        </w:rPr>
      </w:r>
      <w:r>
        <w:rPr>
          <w:rFonts w:eastAsia="黑体"/>
          <w:b/>
          <w:color w:val="000000"/>
          <w:sz w:val="44"/>
        </w:rPr>
      </w:r>
    </w:p>
    <w:p w14:paraId="74529B7A" w14:textId="77777777" w:rsidR="005D7E4B" w:rsidRDefault="0025628B">
      <w:pPr>
        <w:spacing w:before="520" w:after="200"/>
        <w:jc w:val="center"/>
      </w:pPr>
      <w:r>
        <w:rPr>
          <w:rFonts w:eastAsia="黑体"/>
          <w:b/>
          <w:color w:val="000000"/>
          <w:sz w:val="56"/>
        </w:rPr>
        <w:t>AI 反向澄清记录</w:t>
      </w:r>
      <w:r>
        <w:rPr>
          <w:rFonts w:eastAsia="黑体"/>
          <w:b/>
          <w:color w:val="000000"/>
          <w:sz w:val="56"/>
        </w:rPr>
      </w:r>
    </w:p>
    <w:p w14:paraId="2023834B" w14:textId="77777777" w:rsidR="005D7E4B" w:rsidRDefault="0025628B">
      <w:pPr>
        <w:spacing w:after="80"/>
        <w:jc w:val="center"/>
      </w:pPr>
      <w:r>
        <w:rPr>
          <w:rFonts w:eastAsia="楷体"/>
          <w:color w:val="000000"/>
          <w:sz w:val="28"/>
        </w:rPr>
        <w:t>（课程模拟项目交付件）</w:t>
      </w:r>
    </w:p>
    <w:p w14:paraId="0D70A459" w14:textId="77777777" w:rsidR="005D7E4B" w:rsidRDefault="005D7E4B">
      <w:pPr>
        <w:spacing w:before="1600" w:after="80"/>
        <w:jc w:val="center"/>
      </w:pPr>
    </w:p>
    <w:p w14:paraId="355DA47A" w14:textId="77777777" w:rsidR="005D7E4B" w:rsidRDefault="0025628B" w:rsidP="004D4B12">
      <w:pPr>
        <w:spacing w:after="200"/>
        <w:ind w:leftChars="1134" w:left="2268"/>
        <w:jc w:val="left"/>
      </w:pPr>
      <w:r>
        <w:rPr>
          <w:rFonts w:eastAsia="仿宋"/>
          <w:color w:val="000000"/>
          <w:sz w:val="32"/>
        </w:rPr>
        <w:t>编制单位：项目组三人组</w:t>
      </w:r>
      <w:r>
        <w:rPr>
          <w:rFonts w:eastAsia="仿宋"/>
          <w:color w:val="000000"/>
          <w:sz w:val="32"/>
        </w:rPr>
      </w:r>
      <w:r>
        <w:rPr>
          <w:rFonts w:eastAsia="仿宋"/>
          <w:color w:val="000000"/>
          <w:sz w:val="32"/>
        </w:rPr>
      </w:r>
    </w:p>
    <w:p w14:paraId="647BB45C" w14:textId="77777777" w:rsidR="005D7E4B" w:rsidRDefault="0025628B" w:rsidP="004D4B12">
      <w:pPr>
        <w:spacing w:after="200"/>
        <w:ind w:leftChars="1134" w:left="2268"/>
        <w:jc w:val="left"/>
      </w:pPr>
      <w:r>
        <w:rPr>
          <w:rFonts w:eastAsia="仿宋"/>
          <w:color w:val="000000"/>
          <w:sz w:val="32"/>
        </w:rPr>
        <w:t>编    制：任俊强（需求与合规负责人）</w:t>
      </w:r>
    </w:p>
    <w:p w14:paraId="78C317AB" w14:textId="77777777" w:rsidR="005D7E4B" w:rsidRDefault="0025628B" w:rsidP="004D4B12">
      <w:pPr>
        <w:spacing w:after="200"/>
        <w:ind w:leftChars="1134" w:left="2268"/>
        <w:jc w:val="left"/>
      </w:pPr>
      <w:r>
        <w:rPr>
          <w:rFonts w:eastAsia="仿宋"/>
          <w:color w:val="000000"/>
          <w:sz w:val="32"/>
        </w:rPr>
        <w:t>审    核：严宇（技术负责人）</w:t>
      </w:r>
    </w:p>
    <w:p w14:paraId="6F6FEAB0" w14:textId="77777777" w:rsidR="005D7E4B" w:rsidRDefault="0025628B" w:rsidP="004D4B12">
      <w:pPr>
        <w:spacing w:after="200"/>
        <w:ind w:leftChars="1134" w:left="2268"/>
        <w:jc w:val="left"/>
      </w:pPr>
      <w:r>
        <w:rPr>
          <w:rFonts w:eastAsia="仿宋"/>
          <w:color w:val="000000"/>
          <w:sz w:val="32"/>
        </w:rPr>
        <w:t>批    准：何思源（项目经理）</w:t>
      </w:r>
    </w:p>
    <w:p w14:paraId="338B4D9C" w14:textId="77777777" w:rsidR="005D7E4B" w:rsidRDefault="0025628B" w:rsidP="004D4B12">
      <w:pPr>
        <w:spacing w:before="200" w:after="80"/>
        <w:ind w:leftChars="1134" w:left="2268"/>
        <w:jc w:val="left"/>
      </w:pPr>
      <w:r>
        <w:rPr>
          <w:rFonts w:eastAsia="仿宋"/>
          <w:color w:val="000000"/>
          <w:sz w:val="32"/>
        </w:rPr>
        <w:t>编制日期：2026 年 9 月 14 日</w:t>
      </w:r>
      <w:r>
        <w:rPr>
          <w:rFonts w:eastAsia="仿宋"/>
          <w:color w:val="000000"/>
          <w:sz w:val="32"/>
        </w:rPr>
      </w:r>
      <w:r>
        <w:rPr>
          <w:rFonts w:eastAsia="仿宋"/>
          <w:color w:val="000000"/>
          <w:sz w:val="32"/>
        </w:rPr>
      </w:r>
      <w:r>
        <w:rPr>
          <w:rFonts w:eastAsia="仿宋"/>
          <w:color w:val="000000"/>
          <w:sz w:val="32"/>
        </w:rPr>
      </w:r>
      <w:r>
        <w:rPr>
          <w:rFonts w:eastAsia="仿宋"/>
          <w:color w:val="000000"/>
          <w:sz w:val="32"/>
        </w:rPr>
      </w:r>
      <w:r>
        <w:rPr>
          <w:rFonts w:eastAsia="仿宋"/>
          <w:color w:val="000000"/>
          <w:sz w:val="32"/>
        </w:rPr>
      </w:r>
      <w:r>
        <w:rPr>
          <w:rFonts w:eastAsia="仿宋"/>
          <w:color w:val="000000"/>
          <w:sz w:val="32"/>
        </w:rPr>
      </w:r>
    </w:p>
    <w:p w14:paraId="022D3444" w14:textId="77777777" w:rsidR="005D7E4B" w:rsidRDefault="0025628B">
      <w:r>
        <w:rPr>
          <w:color w:val="000000"/>
        </w:rPr>
        <w:br w:type="page"/>
      </w:r>
    </w:p>
    <w:p w14:paraId="1B3AB8F9" w14:textId="77777777" w:rsidR="005D7E4B" w:rsidRDefault="0025628B">
      <w:pPr>
        <w:spacing w:before="120" w:after="120"/>
        <w:jc w:val="center"/>
      </w:pPr>
      <w:r>
        <w:rPr>
          <w:rFonts w:eastAsia="黑体"/>
          <w:b/>
          <w:color w:val="000000"/>
          <w:sz w:val="24"/>
        </w:rPr>
        <w:t>修订记录</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512"/>
        <w:gridCol w:w="1529"/>
        <w:gridCol w:w="1499"/>
        <w:gridCol w:w="3007"/>
        <w:gridCol w:w="1469"/>
      </w:tblGrid>
      <w:tr w:rsidR="005D7E4B" w14:paraId="1889DBD1" w14:textId="77777777" w:rsidTr="004D4B12">
        <w:trPr>
          <w:jc w:val="center"/>
        </w:trPr>
        <w:tc>
          <w:tcPr>
            <w:tcW w:w="1512" w:type="dxa"/>
            <w:shd w:val="clear" w:color="auto" w:fill="D9E2EC"/>
          </w:tcPr>
          <w:p>
            <w:r/>
            <w:r>
              <w:rPr>
                <w:b/>
              </w:rPr>
              <w:t>版本</w:t>
            </w:r>
          </w:p>
        </w:tc>
        <w:tc>
          <w:tcPr>
            <w:tcW w:w="1529" w:type="dxa"/>
            <w:shd w:val="clear" w:color="auto" w:fill="D9E2EC"/>
          </w:tcPr>
          <w:p>
            <w:r/>
            <w:r>
              <w:rPr>
                <w:b/>
              </w:rPr>
              <w:t>日期</w:t>
            </w:r>
          </w:p>
        </w:tc>
        <w:tc>
          <w:tcPr>
            <w:tcW w:w="1499" w:type="dxa"/>
            <w:shd w:val="clear" w:color="auto" w:fill="D9E2EC"/>
          </w:tcPr>
          <w:p>
            <w:r/>
            <w:r>
              <w:rPr>
                <w:b/>
              </w:rPr>
              <w:t>修订章节</w:t>
            </w:r>
          </w:p>
        </w:tc>
        <w:tc>
          <w:tcPr>
            <w:tcW w:w="3007" w:type="dxa"/>
            <w:shd w:val="clear" w:color="auto" w:fill="D9E2EC"/>
          </w:tcPr>
          <w:p>
            <w:r/>
            <w:r>
              <w:rPr>
                <w:b/>
              </w:rPr>
              <w:t>修订说明</w:t>
            </w:r>
          </w:p>
        </w:tc>
        <w:tc>
          <w:tcPr>
            <w:tcW w:w="1469" w:type="dxa"/>
            <w:shd w:val="clear" w:color="auto" w:fill="D9E2EC"/>
          </w:tcPr>
          <w:p>
            <w:r/>
            <w:r>
              <w:rPr>
                <w:b/>
              </w:rPr>
              <w:t>编制/修订人</w:t>
            </w:r>
          </w:p>
        </w:tc>
      </w:tr>
      <w:tr>
        <w:tc>
          <w:tcPr>
            <w:tcW w:type="dxa" w:w="1512"/>
          </w:tcPr>
          <w:p>
            <w:r/>
            <w:r>
              <w:rPr/>
              <w:t>V0.1</w:t>
            </w:r>
          </w:p>
        </w:tc>
        <w:tc>
          <w:tcPr>
            <w:tcW w:type="dxa" w:w="1529"/>
          </w:tcPr>
          <w:p>
            <w:r/>
            <w:r>
              <w:rPr/>
              <w:t>2026-09-13</w:t>
            </w:r>
          </w:p>
        </w:tc>
        <w:tc>
          <w:tcPr>
            <w:tcW w:type="dxa" w:w="1499"/>
          </w:tcPr>
          <w:p>
            <w:r/>
            <w:r>
              <w:rPr/>
              <w:t>全文</w:t>
            </w:r>
          </w:p>
        </w:tc>
        <w:tc>
          <w:tcPr>
            <w:tcW w:type="dxa" w:w="3007"/>
          </w:tcPr>
          <w:p>
            <w:r/>
            <w:r>
              <w:rPr/>
              <w:t>形成 12 条 AI 反向澄清与既有裁决映射。</w:t>
            </w:r>
          </w:p>
        </w:tc>
        <w:tc>
          <w:tcPr>
            <w:tcW w:type="dxa" w:w="1469"/>
          </w:tcPr>
          <w:p>
            <w:r/>
            <w:r>
              <w:rPr/>
              <w:t>任俊强</w:t>
            </w:r>
          </w:p>
        </w:tc>
      </w:tr>
      <w:tr>
        <w:tc>
          <w:tcPr>
            <w:tcW w:type="dxa" w:w="1512"/>
          </w:tcPr>
          <w:p>
            <w:r/>
            <w:r>
              <w:rPr/>
              <w:t>V1.0</w:t>
            </w:r>
          </w:p>
        </w:tc>
        <w:tc>
          <w:tcPr>
            <w:tcW w:type="dxa" w:w="1529"/>
          </w:tcPr>
          <w:p>
            <w:r/>
            <w:r>
              <w:rPr/>
              <w:t>2026-09-14</w:t>
            </w:r>
          </w:p>
        </w:tc>
        <w:tc>
          <w:tcPr>
            <w:tcW w:type="dxa" w:w="1499"/>
          </w:tcPr>
          <w:p>
            <w:r/>
            <w:r>
              <w:rPr/>
              <w:t>全文</w:t>
            </w:r>
          </w:p>
        </w:tc>
        <w:tc>
          <w:tcPr>
            <w:tcW w:type="dxa" w:w="3007"/>
          </w:tcPr>
          <w:p>
            <w:r/>
            <w:r>
              <w:rPr/>
              <w:t>按唯一 Pair 重构正式交付承载结构与版式，裁决口径不变。</w:t>
            </w:r>
          </w:p>
        </w:tc>
        <w:tc>
          <w:tcPr>
            <w:tcW w:type="dxa" w:w="1469"/>
          </w:tcPr>
          <w:p>
            <w:r/>
            <w:r>
              <w:rPr/>
              <w:t>任俊强</w:t>
            </w:r>
          </w:p>
        </w:tc>
      </w:tr>
    </w:tbl>
    <w:p w14:paraId="1DD81451" w14:textId="77777777" w:rsidR="005D7E4B" w:rsidRDefault="0025628B">
      <w:pPr>
        <w:spacing w:before="160" w:after="120"/>
        <w:jc w:val="left"/>
      </w:pPr>
      <w:r>
        <w:rPr>
          <w:rFonts w:eastAsia="宋体"/>
          <w:color w:val="000000"/>
          <w:sz w:val="18"/>
        </w:rPr>
        <w:t>注：本记录引用的裁决均为已归档的课程模拟书面澄清；AI 不重新解释或代替甲方裁决。</w:t>
      </w:r>
    </w:p>
    <w:p w14:paraId="05902000" w14:textId="77777777" w:rsidR="005D7E4B" w:rsidRDefault="0025628B">
      <w:r>
        <w:rPr>
          <w:color w:val="000000"/>
        </w:rPr>
        <w:br w:type="page"/>
      </w:r>
    </w:p>
    <w:p>
      <w:pPr>
        <w:pStyle w:val="1"/>
        <w:spacing w:before="240" w:after="160"/>
      </w:pPr>
      <w:r>
        <w:rPr>
          <w:rFonts w:eastAsia="黑体"/>
          <w:b/>
          <w:bCs/>
        </w:rPr>
        <w:t>1 使用方法</w:t>
      </w:r>
    </w:p>
    <w:p>
      <w:pPr>
        <w:spacing w:after="100" w:line="360" w:lineRule="auto"/>
        <w:ind w:firstLine="475"/>
      </w:pPr>
      <w:r>
        <w:rPr>
          <w:rFonts w:eastAsia="宋体"/>
          <w:color w:val="000000"/>
          <w:sz w:val="24"/>
          <w:szCs w:val="24"/>
        </w:rPr>
        <w:t>AI 反向澄清用于识别“写成需求后仍可能导致范围、责任、接口或验收误解”的问题。每一条记录均包含问题、影响、既有人工裁决、双镜像落点及尚待验证的证据。本轮不新增、删除或改变功能、★属性、数字、责任或验收强度；若出现超出既有裁决的新问题，必须进入 Issue/Change 流程，不得静默填补。</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Layout w:type="fixed"/>
        <w:tblCellMar>
          <w:left w:w="10" w:type="dxa"/>
          <w:right w:w="10" w:type="dxa"/>
        </w:tblCellMar>
        <w:tblLook w:val="04A0" w:firstRow="1" w:lastRow="0" w:firstColumn="1" w:lastColumn="0" w:noHBand="0" w:noVBand="1"/>
      </w:tblPr>
      <w:tblGrid>
        <w:gridCol w:w="2500"/>
        <w:gridCol w:w="6500"/>
      </w:tblGrid>
      <w:tr>
        <w:trPr>
          <w:tblHeader/>
        </w:trPr>
        <w:tc>
          <w:tcPr>
            <w:tcW w:w="2500" w:type="dxa"/>
            <w:shd w:val="clear" w:color="auto" w:fill="DCE6F1"/>
            <w:tcMar>
              <w:top w:w="80" w:type="dxa"/>
              <w:left w:w="100" w:type="dxa"/>
              <w:bottom w:w="80" w:type="dxa"/>
              <w:right w:w="100" w:type="dxa"/>
            </w:tcMar>
          </w:tcPr>
          <w:p>
            <w:pPr>
              <w:spacing w:line="300" w:lineRule="auto"/>
            </w:pPr>
            <w:r/>
            <w:r>
              <w:rPr>
                <w:rFonts w:eastAsia="宋体"/>
                <w:b/>
                <w:bCs/>
                <w:color w:val="000000"/>
                <w:sz w:val="21"/>
                <w:szCs w:val="21"/>
              </w:rPr>
              <w:t>统计项</w:t>
            </w:r>
          </w:p>
        </w:tc>
        <w:tc>
          <w:tcPr>
            <w:tcW w:w="6500" w:type="dxa"/>
            <w:shd w:val="clear" w:color="auto" w:fill="DCE6F1"/>
            <w:tcMar>
              <w:top w:w="80" w:type="dxa"/>
              <w:left w:w="100" w:type="dxa"/>
              <w:bottom w:w="80" w:type="dxa"/>
              <w:right w:w="100" w:type="dxa"/>
            </w:tcMar>
          </w:tcPr>
          <w:p>
            <w:pPr>
              <w:spacing w:line="300" w:lineRule="auto"/>
            </w:pPr>
            <w:r/>
            <w:r>
              <w:rPr>
                <w:rFonts w:eastAsia="宋体"/>
                <w:b/>
                <w:bCs/>
                <w:color w:val="000000"/>
                <w:sz w:val="21"/>
                <w:szCs w:val="21"/>
              </w:rPr>
              <w:t>结果</w:t>
            </w:r>
          </w:p>
        </w:tc>
      </w:tr>
      <w:tr>
        <w:tc>
          <w:tcPr>
            <w:tcW w:w="2500" w:type="dxa"/>
            <w:tcMar>
              <w:top w:w="80" w:type="dxa"/>
              <w:left w:w="100" w:type="dxa"/>
              <w:bottom w:w="80" w:type="dxa"/>
              <w:right w:w="100" w:type="dxa"/>
            </w:tcMar>
          </w:tcPr>
          <w:p>
            <w:pPr>
              <w:spacing w:line="300" w:lineRule="auto"/>
            </w:pPr>
            <w:r/>
            <w:r>
              <w:rPr>
                <w:rFonts w:eastAsia="宋体"/>
                <w:color w:val="000000"/>
                <w:sz w:val="21"/>
                <w:szCs w:val="21"/>
              </w:rPr>
              <w:t>反向澄清记录</w:t>
            </w:r>
          </w:p>
        </w:tc>
        <w:tc>
          <w:tcPr>
            <w:tcW w:w="6500" w:type="dxa"/>
            <w:tcMar>
              <w:top w:w="80" w:type="dxa"/>
              <w:left w:w="100" w:type="dxa"/>
              <w:bottom w:w="80" w:type="dxa"/>
              <w:right w:w="100" w:type="dxa"/>
            </w:tcMar>
          </w:tcPr>
          <w:p>
            <w:pPr>
              <w:spacing w:line="300" w:lineRule="auto"/>
            </w:pPr>
            <w:r/>
            <w:r>
              <w:rPr>
                <w:rFonts w:eastAsia="宋体"/>
                <w:color w:val="000000"/>
                <w:sz w:val="21"/>
                <w:szCs w:val="21"/>
              </w:rPr>
              <w:t>12 条（G2-CLR-001—012）</w:t>
            </w:r>
          </w:p>
        </w:tc>
      </w:tr>
      <w:tr>
        <w:tc>
          <w:tcPr>
            <w:tcW w:w="2500" w:type="dxa"/>
            <w:tcMar>
              <w:top w:w="80" w:type="dxa"/>
              <w:left w:w="100" w:type="dxa"/>
              <w:bottom w:w="80" w:type="dxa"/>
              <w:right w:w="100" w:type="dxa"/>
            </w:tcMar>
          </w:tcPr>
          <w:p>
            <w:pPr>
              <w:spacing w:line="300" w:lineRule="auto"/>
            </w:pPr>
            <w:r/>
            <w:r>
              <w:rPr>
                <w:rFonts w:eastAsia="宋体"/>
                <w:color w:val="000000"/>
                <w:sz w:val="21"/>
                <w:szCs w:val="21"/>
              </w:rPr>
              <w:t>有既有模拟甲方裁决</w:t>
            </w:r>
          </w:p>
        </w:tc>
        <w:tc>
          <w:tcPr>
            <w:tcW w:w="6500" w:type="dxa"/>
            <w:tcMar>
              <w:top w:w="80" w:type="dxa"/>
              <w:left w:w="100" w:type="dxa"/>
              <w:bottom w:w="80" w:type="dxa"/>
              <w:right w:w="100" w:type="dxa"/>
            </w:tcMar>
          </w:tcPr>
          <w:p>
            <w:pPr>
              <w:spacing w:line="300" w:lineRule="auto"/>
            </w:pPr>
            <w:r/>
            <w:r>
              <w:rPr>
                <w:rFonts w:eastAsia="宋体"/>
                <w:color w:val="000000"/>
                <w:sz w:val="21"/>
                <w:szCs w:val="21"/>
              </w:rPr>
              <w:t>12 条</w:t>
            </w:r>
          </w:p>
        </w:tc>
      </w:tr>
      <w:tr>
        <w:tc>
          <w:tcPr>
            <w:tcW w:w="2500" w:type="dxa"/>
            <w:tcMar>
              <w:top w:w="80" w:type="dxa"/>
              <w:left w:w="100" w:type="dxa"/>
              <w:bottom w:w="80" w:type="dxa"/>
              <w:right w:w="100" w:type="dxa"/>
            </w:tcMar>
          </w:tcPr>
          <w:p>
            <w:pPr>
              <w:spacing w:line="300" w:lineRule="auto"/>
            </w:pPr>
            <w:r/>
            <w:r>
              <w:rPr>
                <w:rFonts w:eastAsia="宋体"/>
                <w:color w:val="000000"/>
                <w:sz w:val="21"/>
                <w:szCs w:val="21"/>
              </w:rPr>
              <w:t>需本轮新建事实/数字</w:t>
            </w:r>
          </w:p>
        </w:tc>
        <w:tc>
          <w:tcPr>
            <w:tcW w:w="6500" w:type="dxa"/>
            <w:tcMar>
              <w:top w:w="80" w:type="dxa"/>
              <w:left w:w="100" w:type="dxa"/>
              <w:bottom w:w="80" w:type="dxa"/>
              <w:right w:w="100" w:type="dxa"/>
            </w:tcMar>
          </w:tcPr>
          <w:p>
            <w:pPr>
              <w:spacing w:line="300" w:lineRule="auto"/>
            </w:pPr>
            <w:r/>
            <w:r>
              <w:rPr>
                <w:rFonts w:eastAsia="宋体"/>
                <w:color w:val="000000"/>
                <w:sz w:val="21"/>
                <w:szCs w:val="21"/>
              </w:rPr>
              <w:t>0 条</w:t>
            </w:r>
          </w:p>
        </w:tc>
      </w:tr>
      <w:tr>
        <w:tc>
          <w:tcPr>
            <w:tcW w:w="2500" w:type="dxa"/>
            <w:tcMar>
              <w:top w:w="80" w:type="dxa"/>
              <w:left w:w="100" w:type="dxa"/>
              <w:bottom w:w="80" w:type="dxa"/>
              <w:right w:w="100" w:type="dxa"/>
            </w:tcMar>
          </w:tcPr>
          <w:p>
            <w:pPr>
              <w:spacing w:line="300" w:lineRule="auto"/>
            </w:pPr>
            <w:r/>
            <w:r>
              <w:rPr>
                <w:rFonts w:eastAsia="宋体"/>
                <w:color w:val="000000"/>
                <w:sz w:val="21"/>
                <w:szCs w:val="21"/>
              </w:rPr>
              <w:t>未决的现场/接口/性能验证</w:t>
            </w:r>
          </w:p>
        </w:tc>
        <w:tc>
          <w:tcPr>
            <w:tcW w:w="6500" w:type="dxa"/>
            <w:tcMar>
              <w:top w:w="80" w:type="dxa"/>
              <w:left w:w="100" w:type="dxa"/>
              <w:bottom w:w="80" w:type="dxa"/>
              <w:right w:w="100" w:type="dxa"/>
            </w:tcMar>
          </w:tcPr>
          <w:p>
            <w:pPr>
              <w:spacing w:line="300" w:lineRule="auto"/>
            </w:pPr>
            <w:r/>
            <w:r>
              <w:rPr>
                <w:rFonts w:eastAsia="宋体"/>
                <w:color w:val="000000"/>
                <w:sz w:val="21"/>
                <w:szCs w:val="21"/>
              </w:rPr>
              <w:t>保留为各条“验证与证据”项，不写成已通过</w:t>
            </w:r>
          </w:p>
        </w:tc>
      </w:tr>
    </w:tbl>
    <w:p>
      <w:pPr>
        <w:jc w:val="center"/>
      </w:pPr>
      <w:r>
        <w:drawing>
          <wp:inline xmlns:a="http://schemas.openxmlformats.org/drawingml/2006/main" xmlns:pic="http://schemas.openxmlformats.org/drawingml/2006/picture">
            <wp:extent cx="5580000" cy="1764036"/>
            <wp:docPr id="1" name="Picture 1"/>
            <wp:cNvGraphicFramePr>
              <a:graphicFrameLocks noChangeAspect="1"/>
            </wp:cNvGraphicFramePr>
            <a:graphic>
              <a:graphicData uri="http://schemas.openxmlformats.org/drawingml/2006/picture">
                <pic:pic>
                  <pic:nvPicPr>
                    <pic:cNvPr id="0" name="09-图1-1-AI反向澄清裁决闭环.png"/>
                    <pic:cNvPicPr/>
                  </pic:nvPicPr>
                  <pic:blipFill>
                    <a:blip r:embed="rId12"/>
                    <a:stretch>
                      <a:fillRect/>
                    </a:stretch>
                  </pic:blipFill>
                  <pic:spPr>
                    <a:xfrm>
                      <a:off x="0" y="0"/>
                      <a:ext cx="5580000" cy="1764036"/>
                    </a:xfrm>
                    <a:prstGeom prst="rect"/>
                  </pic:spPr>
                </pic:pic>
              </a:graphicData>
            </a:graphic>
          </wp:inline>
        </w:drawing>
      </w:r>
    </w:p>
    <w:p>
      <w:pPr>
        <w:pStyle w:val="a"/>
        <w:jc w:val="center"/>
      </w:pPr>
      <w:r>
        <w:rPr>
          <w:rFonts w:eastAsia="宋体"/>
          <w:b/>
          <w:color w:val="000000"/>
          <w:sz w:val="18"/>
        </w:rPr>
        <w:t>图 1-1  AI 反向澄清裁决闭环</w:t>
      </w:r>
    </w:p>
    <w:p>
      <w:pPr>
        <w:pStyle w:val="1"/>
        <w:spacing w:before="240" w:after="160"/>
      </w:pPr>
      <w:r>
        <w:rPr>
          <w:rFonts w:eastAsia="黑体"/>
          <w:b/>
          <w:bCs/>
        </w:rPr>
        <w:t>2 澄清记录</w:t>
      </w:r>
    </w:p>
    <w:p>
      <w:pPr>
        <w:pStyle w:val="2"/>
        <w:spacing w:before="200" w:after="120"/>
      </w:pPr>
      <w:r>
        <w:rPr>
          <w:rFonts w:eastAsia="黑体"/>
          <w:b/>
          <w:bCs/>
          <w:sz w:val="28"/>
          <w:szCs w:val="28"/>
        </w:rPr>
        <w:t>G2-CLR-001｜视频录像、回放与保存责任</w:t>
      </w:r>
    </w:p>
    <w:p>
      <w:pPr>
        <w:spacing w:after="100" w:line="360" w:lineRule="auto"/>
        <w:ind w:firstLine="475"/>
      </w:pPr>
      <w:r>
        <w:rPr>
          <w:rFonts w:eastAsia="宋体"/>
          <w:color w:val="000000"/>
          <w:sz w:val="24"/>
          <w:szCs w:val="24"/>
        </w:rPr>
        <w:t>AI 反向问题</w:t>
      </w:r>
      <w:r>
        <w:rPr>
          <w:rFonts w:eastAsia="宋体"/>
          <w:color w:val="000000"/>
          <w:sz w:val="24"/>
          <w:szCs w:val="24"/>
        </w:rPr>
        <w:t>：历史录像回放是强制能力时，本项目是否要新建录像平台并承诺保存时长？</w:t>
      </w:r>
    </w:p>
    <w:p>
      <w:pPr>
        <w:spacing w:after="100" w:line="360" w:lineRule="auto"/>
        <w:ind w:firstLine="475"/>
      </w:pPr>
      <w:r>
        <w:rPr>
          <w:rFonts w:eastAsia="宋体"/>
          <w:color w:val="000000"/>
          <w:sz w:val="24"/>
          <w:szCs w:val="24"/>
        </w:rPr>
        <w:t>影响</w:t>
      </w:r>
      <w:r>
        <w:rPr>
          <w:rFonts w:eastAsia="宋体"/>
          <w:color w:val="000000"/>
          <w:sz w:val="24"/>
          <w:szCs w:val="24"/>
        </w:rPr>
        <w:t>：若把既有录像存储纳入本项目，将错误扩大采购、部署、容量和验收责任；若弱化回放，则会遗漏强制功能。</w:t>
      </w:r>
    </w:p>
    <w:p>
      <w:pPr>
        <w:spacing w:after="100" w:line="360" w:lineRule="auto"/>
        <w:ind w:firstLine="475"/>
      </w:pPr>
      <w:r>
        <w:rPr>
          <w:rFonts w:eastAsia="宋体"/>
          <w:color w:val="000000"/>
          <w:sz w:val="24"/>
          <w:szCs w:val="24"/>
        </w:rPr>
        <w:t>既有人工裁决</w:t>
      </w:r>
      <w:r>
        <w:rPr>
          <w:rFonts w:eastAsia="宋体"/>
          <w:color w:val="000000"/>
          <w:sz w:val="24"/>
          <w:szCs w:val="24"/>
        </w:rPr>
        <w:t>：历史录像回放为强制要求；录像产生、存储和不少于 30 天保存由既有视频系统负责；本项目负责接口接入、实时调阅、历史回放和验证，不新建录像存储。</w:t>
      </w:r>
    </w:p>
    <w:p>
      <w:pPr>
        <w:spacing w:after="100" w:line="360" w:lineRule="auto"/>
        <w:ind w:firstLine="475"/>
      </w:pPr>
      <w:r>
        <w:rPr>
          <w:rFonts w:eastAsia="宋体"/>
          <w:color w:val="000000"/>
          <w:sz w:val="24"/>
          <w:szCs w:val="24"/>
        </w:rPr>
        <w:t>裁决来源</w:t>
      </w:r>
      <w:r>
        <w:rPr>
          <w:rFonts w:eastAsia="宋体"/>
          <w:color w:val="000000"/>
          <w:sz w:val="24"/>
          <w:szCs w:val="24"/>
        </w:rPr>
        <w:t>：DEC-001；F-106；KN-010、KN-060。</w:t>
      </w:r>
    </w:p>
    <w:p>
      <w:pPr>
        <w:spacing w:after="100" w:line="360" w:lineRule="auto"/>
        <w:ind w:firstLine="475"/>
      </w:pPr>
      <w:r>
        <w:rPr>
          <w:rFonts w:eastAsia="宋体"/>
          <w:color w:val="000000"/>
          <w:sz w:val="24"/>
          <w:szCs w:val="24"/>
        </w:rPr>
        <w:t>双镜像落点</w:t>
      </w:r>
      <w:r>
        <w:rPr>
          <w:rFonts w:eastAsia="宋体"/>
          <w:color w:val="000000"/>
          <w:sz w:val="24"/>
          <w:szCs w:val="24"/>
        </w:rPr>
        <w:t>：SRS G2-FR-006、G2-FR-029；spec AC-G2-FR-006-01—03、AC-G2-FR-029-01。</w:t>
      </w:r>
    </w:p>
    <w:p>
      <w:pPr>
        <w:spacing w:after="100" w:line="360" w:lineRule="auto"/>
        <w:ind w:firstLine="475"/>
      </w:pPr>
      <w:r>
        <w:rPr>
          <w:rFonts w:eastAsia="宋体"/>
          <w:color w:val="000000"/>
          <w:sz w:val="24"/>
          <w:szCs w:val="24"/>
        </w:rPr>
        <w:t>验证与证据</w:t>
      </w:r>
      <w:r>
        <w:rPr>
          <w:rFonts w:eastAsia="宋体"/>
          <w:color w:val="000000"/>
          <w:sz w:val="24"/>
          <w:szCs w:val="24"/>
        </w:rPr>
        <w:t>：M2 前完成视频连通；在既有录像和授权账号条件下实测回放与首帧，保存条件以既有系统证据确认。</w:t>
      </w:r>
    </w:p>
    <w:p>
      <w:pPr>
        <w:spacing w:after="100" w:line="360" w:lineRule="auto"/>
        <w:ind w:firstLine="475"/>
      </w:pPr>
      <w:r>
        <w:rPr>
          <w:rFonts w:eastAsia="宋体"/>
          <w:color w:val="000000"/>
          <w:sz w:val="24"/>
          <w:szCs w:val="24"/>
        </w:rPr>
        <w:t>结论</w:t>
      </w:r>
      <w:r>
        <w:rPr>
          <w:rFonts w:eastAsia="宋体"/>
          <w:color w:val="000000"/>
          <w:sz w:val="24"/>
          <w:szCs w:val="24"/>
        </w:rPr>
        <w:t>：已裁决；不改变需求范围，现场能力仍待验证。</w:t>
      </w:r>
    </w:p>
    <w:p>
      <w:pPr>
        <w:pStyle w:val="2"/>
        <w:spacing w:before="200" w:after="120"/>
      </w:pPr>
      <w:r>
        <w:rPr>
          <w:rFonts w:eastAsia="黑体"/>
          <w:b/>
          <w:bCs/>
          <w:sz w:val="28"/>
          <w:szCs w:val="28"/>
        </w:rPr>
        <w:t>G2-CLR-002｜定位源精度与刷新责任</w:t>
      </w:r>
    </w:p>
    <w:p>
      <w:pPr>
        <w:spacing w:after="100" w:line="360" w:lineRule="auto"/>
        <w:ind w:firstLine="475"/>
      </w:pPr>
      <w:r>
        <w:rPr>
          <w:rFonts w:eastAsia="宋体"/>
          <w:color w:val="000000"/>
          <w:sz w:val="24"/>
          <w:szCs w:val="24"/>
        </w:rPr>
        <w:t>AI 反向问题</w:t>
      </w:r>
      <w:r>
        <w:rPr>
          <w:rFonts w:eastAsia="宋体"/>
          <w:color w:val="000000"/>
          <w:sz w:val="24"/>
          <w:szCs w:val="24"/>
        </w:rPr>
        <w:t>：≤2 秒刷新和亚米级精度是否意味着乙方需要建设定位基站并保证源精度？</w:t>
      </w:r>
    </w:p>
    <w:p>
      <w:pPr>
        <w:spacing w:after="100" w:line="360" w:lineRule="auto"/>
        <w:ind w:firstLine="475"/>
      </w:pPr>
      <w:r>
        <w:rPr>
          <w:rFonts w:eastAsia="宋体"/>
          <w:color w:val="000000"/>
          <w:sz w:val="24"/>
          <w:szCs w:val="24"/>
        </w:rPr>
        <w:t>影响</w:t>
      </w:r>
      <w:r>
        <w:rPr>
          <w:rFonts w:eastAsia="宋体"/>
          <w:color w:val="000000"/>
          <w:sz w:val="24"/>
          <w:szCs w:val="24"/>
        </w:rPr>
        <w:t>：错误归责会造成范围外硬件承诺；未声明源精度边界会导致验收对象不清。</w:t>
      </w:r>
    </w:p>
    <w:p>
      <w:pPr>
        <w:spacing w:after="100" w:line="360" w:lineRule="auto"/>
        <w:ind w:firstLine="475"/>
      </w:pPr>
      <w:r>
        <w:rPr>
          <w:rFonts w:eastAsia="宋体"/>
          <w:color w:val="000000"/>
          <w:sz w:val="24"/>
          <w:szCs w:val="24"/>
        </w:rPr>
        <w:t>既有人工裁决</w:t>
      </w:r>
      <w:r>
        <w:rPr>
          <w:rFonts w:eastAsia="宋体"/>
          <w:color w:val="000000"/>
          <w:sz w:val="24"/>
          <w:szCs w:val="24"/>
        </w:rPr>
        <w:t>：甲方提供定位基础设施、源数据和验收所需亚米级能力；乙方负责接口、人员关联、坐标/楼层映射、展示和不超过 2 秒刷新，且不得降低源精度。</w:t>
      </w:r>
    </w:p>
    <w:p>
      <w:pPr>
        <w:spacing w:after="100" w:line="360" w:lineRule="auto"/>
        <w:ind w:firstLine="475"/>
      </w:pPr>
      <w:r>
        <w:rPr>
          <w:rFonts w:eastAsia="宋体"/>
          <w:color w:val="000000"/>
          <w:sz w:val="24"/>
          <w:szCs w:val="24"/>
        </w:rPr>
        <w:t>裁决来源</w:t>
      </w:r>
      <w:r>
        <w:rPr>
          <w:rFonts w:eastAsia="宋体"/>
          <w:color w:val="000000"/>
          <w:sz w:val="24"/>
          <w:szCs w:val="24"/>
        </w:rPr>
        <w:t>：DEC-002；F-105；KN-008、KN-009。</w:t>
      </w:r>
    </w:p>
    <w:p>
      <w:pPr>
        <w:spacing w:after="100" w:line="360" w:lineRule="auto"/>
        <w:ind w:firstLine="475"/>
      </w:pPr>
      <w:r>
        <w:rPr>
          <w:rFonts w:eastAsia="宋体"/>
          <w:color w:val="000000"/>
          <w:sz w:val="24"/>
          <w:szCs w:val="24"/>
        </w:rPr>
        <w:t>双镜像落点</w:t>
      </w:r>
      <w:r>
        <w:rPr>
          <w:rFonts w:eastAsia="宋体"/>
          <w:color w:val="000000"/>
          <w:sz w:val="24"/>
          <w:szCs w:val="24"/>
        </w:rPr>
        <w:t>：SRS G2-FR-005；spec AC-G2-FR-005-01—03。</w:t>
      </w:r>
    </w:p>
    <w:p>
      <w:pPr>
        <w:spacing w:after="100" w:line="360" w:lineRule="auto"/>
        <w:ind w:firstLine="475"/>
      </w:pPr>
      <w:r>
        <w:rPr>
          <w:rFonts w:eastAsia="宋体"/>
          <w:color w:val="000000"/>
          <w:sz w:val="24"/>
          <w:szCs w:val="24"/>
        </w:rPr>
        <w:t>验证与证据</w:t>
      </w:r>
      <w:r>
        <w:rPr>
          <w:rFonts w:eastAsia="宋体"/>
          <w:color w:val="000000"/>
          <w:sz w:val="24"/>
          <w:szCs w:val="24"/>
        </w:rPr>
        <w:t>：在甲方验收环境比较源/展示时间戳与精度；对过期或不可用位置标识新鲜度并禁止自动邻近调派结论。</w:t>
      </w:r>
    </w:p>
    <w:p>
      <w:pPr>
        <w:spacing w:after="100" w:line="360" w:lineRule="auto"/>
        <w:ind w:firstLine="475"/>
      </w:pPr>
      <w:r>
        <w:rPr>
          <w:rFonts w:eastAsia="宋体"/>
          <w:color w:val="000000"/>
          <w:sz w:val="24"/>
          <w:szCs w:val="24"/>
        </w:rPr>
        <w:t>结论</w:t>
      </w:r>
      <w:r>
        <w:rPr>
          <w:rFonts w:eastAsia="宋体"/>
          <w:color w:val="000000"/>
          <w:sz w:val="24"/>
          <w:szCs w:val="24"/>
        </w:rPr>
        <w:t>：已裁决；定位基础设施不纳入本项目，链路性能待现场验证。</w:t>
      </w:r>
    </w:p>
    <w:p>
      <w:pPr>
        <w:pStyle w:val="2"/>
        <w:spacing w:before="200" w:after="120"/>
      </w:pPr>
      <w:r>
        <w:rPr>
          <w:rFonts w:eastAsia="黑体"/>
          <w:b/>
          <w:bCs/>
          <w:sz w:val="28"/>
          <w:szCs w:val="28"/>
        </w:rPr>
        <w:t>G2-CLR-003｜疏散门禁联动的授权与降级</w:t>
      </w:r>
    </w:p>
    <w:p>
      <w:pPr>
        <w:spacing w:after="100" w:line="360" w:lineRule="auto"/>
        <w:ind w:firstLine="475"/>
      </w:pPr>
      <w:r>
        <w:rPr>
          <w:rFonts w:eastAsia="宋体"/>
          <w:color w:val="000000"/>
          <w:sz w:val="24"/>
          <w:szCs w:val="24"/>
        </w:rPr>
        <w:t>AI 反向问题</w:t>
      </w:r>
      <w:r>
        <w:rPr>
          <w:rFonts w:eastAsia="宋体"/>
          <w:color w:val="000000"/>
          <w:sz w:val="24"/>
          <w:szCs w:val="24"/>
        </w:rPr>
        <w:t>：系统接到疏散事件后，能否自动绕过既有门禁联锁直接开门？</w:t>
      </w:r>
    </w:p>
    <w:p>
      <w:pPr>
        <w:spacing w:after="100" w:line="360" w:lineRule="auto"/>
        <w:ind w:firstLine="475"/>
      </w:pPr>
      <w:r>
        <w:rPr>
          <w:rFonts w:eastAsia="宋体"/>
          <w:color w:val="000000"/>
          <w:sz w:val="24"/>
          <w:szCs w:val="24"/>
        </w:rPr>
        <w:t>影响</w:t>
      </w:r>
      <w:r>
        <w:rPr>
          <w:rFonts w:eastAsia="宋体"/>
          <w:color w:val="000000"/>
          <w:sz w:val="24"/>
          <w:szCs w:val="24"/>
        </w:rPr>
        <w:t>：自动越权或绕过安全联锁会引入安全风险；不定义失败路径则无法验证降级行为。</w:t>
      </w:r>
    </w:p>
    <w:p>
      <w:pPr>
        <w:spacing w:after="100" w:line="360" w:lineRule="auto"/>
        <w:ind w:firstLine="475"/>
      </w:pPr>
      <w:r>
        <w:rPr>
          <w:rFonts w:eastAsia="宋体"/>
          <w:color w:val="000000"/>
          <w:sz w:val="24"/>
          <w:szCs w:val="24"/>
        </w:rPr>
        <w:t>既有人工裁决</w:t>
      </w:r>
      <w:r>
        <w:rPr>
          <w:rFonts w:eastAsia="宋体"/>
          <w:color w:val="000000"/>
          <w:sz w:val="24"/>
          <w:szCs w:val="24"/>
        </w:rPr>
        <w:t>：门禁联动提升为“应支持”；授权人员确认后下发开启指令，服从既有门禁安全联锁，失败时告警并人工降级。</w:t>
      </w:r>
    </w:p>
    <w:p>
      <w:pPr>
        <w:spacing w:after="100" w:line="360" w:lineRule="auto"/>
        <w:ind w:firstLine="475"/>
      </w:pPr>
      <w:r>
        <w:rPr>
          <w:rFonts w:eastAsia="宋体"/>
          <w:color w:val="000000"/>
          <w:sz w:val="24"/>
          <w:szCs w:val="24"/>
        </w:rPr>
        <w:t>裁决来源</w:t>
      </w:r>
      <w:r>
        <w:rPr>
          <w:rFonts w:eastAsia="宋体"/>
          <w:color w:val="000000"/>
          <w:sz w:val="24"/>
          <w:szCs w:val="24"/>
        </w:rPr>
        <w:t>：DEC-003；F-138。</w:t>
      </w:r>
    </w:p>
    <w:p>
      <w:pPr>
        <w:spacing w:after="100" w:line="360" w:lineRule="auto"/>
        <w:ind w:firstLine="475"/>
      </w:pPr>
      <w:r>
        <w:rPr>
          <w:rFonts w:eastAsia="宋体"/>
          <w:color w:val="000000"/>
          <w:sz w:val="24"/>
          <w:szCs w:val="24"/>
        </w:rPr>
        <w:t>双镜像落点</w:t>
      </w:r>
      <w:r>
        <w:rPr>
          <w:rFonts w:eastAsia="宋体"/>
          <w:color w:val="000000"/>
          <w:sz w:val="24"/>
          <w:szCs w:val="24"/>
        </w:rPr>
        <w:t>：SRS G2-FR-029；spec AC-G2-FR-029-02—03。</w:t>
      </w:r>
    </w:p>
    <w:p>
      <w:pPr>
        <w:spacing w:after="100" w:line="360" w:lineRule="auto"/>
        <w:ind w:firstLine="475"/>
      </w:pPr>
      <w:r>
        <w:rPr>
          <w:rFonts w:eastAsia="宋体"/>
          <w:color w:val="000000"/>
          <w:sz w:val="24"/>
          <w:szCs w:val="24"/>
        </w:rPr>
        <w:t>验证与证据</w:t>
      </w:r>
      <w:r>
        <w:rPr>
          <w:rFonts w:eastAsia="宋体"/>
          <w:color w:val="000000"/>
          <w:sz w:val="24"/>
          <w:szCs w:val="24"/>
        </w:rPr>
        <w:t>：用授权、拒绝、超时和联锁失败场景检查指令、回执、告警和人工处置记录；不以未联调结果宣称联动成功。</w:t>
      </w:r>
    </w:p>
    <w:p>
      <w:pPr>
        <w:spacing w:after="100" w:line="360" w:lineRule="auto"/>
        <w:ind w:firstLine="475"/>
      </w:pPr>
      <w:r>
        <w:rPr>
          <w:rFonts w:eastAsia="宋体"/>
          <w:color w:val="000000"/>
          <w:sz w:val="24"/>
          <w:szCs w:val="24"/>
        </w:rPr>
        <w:t>结论</w:t>
      </w:r>
      <w:r>
        <w:rPr>
          <w:rFonts w:eastAsia="宋体"/>
          <w:color w:val="000000"/>
          <w:sz w:val="24"/>
          <w:szCs w:val="24"/>
        </w:rPr>
        <w:t>：已裁决；仅受权联动，不绕过既有安全机制。</w:t>
      </w:r>
    </w:p>
    <w:p>
      <w:pPr>
        <w:pStyle w:val="2"/>
        <w:spacing w:before="200" w:after="120"/>
      </w:pPr>
      <w:r>
        <w:rPr>
          <w:rFonts w:eastAsia="黑体"/>
          <w:b/>
          <w:bCs/>
          <w:sz w:val="28"/>
          <w:szCs w:val="28"/>
        </w:rPr>
        <w:t>G2-CLR-004｜统一消息通道与指标口径</w:t>
      </w:r>
    </w:p>
    <w:p>
      <w:pPr>
        <w:spacing w:after="100" w:line="360" w:lineRule="auto"/>
        <w:ind w:firstLine="475"/>
      </w:pPr>
      <w:r>
        <w:rPr>
          <w:rFonts w:eastAsia="宋体"/>
          <w:color w:val="000000"/>
          <w:sz w:val="24"/>
          <w:szCs w:val="24"/>
        </w:rPr>
        <w:t>AI 反向问题</w:t>
      </w:r>
      <w:r>
        <w:rPr>
          <w:rFonts w:eastAsia="宋体"/>
          <w:color w:val="000000"/>
          <w:sz w:val="24"/>
          <w:szCs w:val="24"/>
        </w:rPr>
        <w:t>：≥20 路并发、≥99% 到达率是否要求乙方自建短信/消息平台，且能否以模拟回执替代验收？</w:t>
      </w:r>
    </w:p>
    <w:p>
      <w:pPr>
        <w:spacing w:after="100" w:line="360" w:lineRule="auto"/>
        <w:ind w:firstLine="475"/>
      </w:pPr>
      <w:r>
        <w:rPr>
          <w:rFonts w:eastAsia="宋体"/>
          <w:color w:val="000000"/>
          <w:sz w:val="24"/>
          <w:szCs w:val="24"/>
        </w:rPr>
        <w:t>影响</w:t>
      </w:r>
      <w:r>
        <w:rPr>
          <w:rFonts w:eastAsia="宋体"/>
          <w:color w:val="000000"/>
          <w:sz w:val="24"/>
          <w:szCs w:val="24"/>
        </w:rPr>
        <w:t>：自建会重复甲方既有能力；使用非验收通道会使指标证据无效。</w:t>
      </w:r>
    </w:p>
    <w:p>
      <w:pPr>
        <w:spacing w:after="100" w:line="360" w:lineRule="auto"/>
        <w:ind w:firstLine="475"/>
      </w:pPr>
      <w:r>
        <w:rPr>
          <w:rFonts w:eastAsia="宋体"/>
          <w:color w:val="000000"/>
          <w:sz w:val="24"/>
          <w:szCs w:val="24"/>
        </w:rPr>
        <w:t>既有人工裁决</w:t>
      </w:r>
      <w:r>
        <w:rPr>
          <w:rFonts w:eastAsia="宋体"/>
          <w:color w:val="000000"/>
          <w:sz w:val="24"/>
          <w:szCs w:val="24"/>
        </w:rPr>
        <w:t>：甲方提供统一消息通道、短信账号/签名/配额；乙方负责调用、并发、重试、回执与留痕；在正常验收通道内验证≥20 路、≥99%。</w:t>
      </w:r>
    </w:p>
    <w:p>
      <w:pPr>
        <w:spacing w:after="100" w:line="360" w:lineRule="auto"/>
        <w:ind w:firstLine="475"/>
      </w:pPr>
      <w:r>
        <w:rPr>
          <w:rFonts w:eastAsia="宋体"/>
          <w:color w:val="000000"/>
          <w:sz w:val="24"/>
          <w:szCs w:val="24"/>
        </w:rPr>
        <w:t>裁决来源</w:t>
      </w:r>
      <w:r>
        <w:rPr>
          <w:rFonts w:eastAsia="宋体"/>
          <w:color w:val="000000"/>
          <w:sz w:val="24"/>
          <w:szCs w:val="24"/>
        </w:rPr>
        <w:t>：DEC-004；F-122、F-129；KN-006、KN-007。</w:t>
      </w:r>
    </w:p>
    <w:p>
      <w:pPr>
        <w:spacing w:after="100" w:line="360" w:lineRule="auto"/>
        <w:ind w:firstLine="475"/>
      </w:pPr>
      <w:r>
        <w:rPr>
          <w:rFonts w:eastAsia="宋体"/>
          <w:color w:val="000000"/>
          <w:sz w:val="24"/>
          <w:szCs w:val="24"/>
        </w:rPr>
        <w:t>双镜像落点</w:t>
      </w:r>
      <w:r>
        <w:rPr>
          <w:rFonts w:eastAsia="宋体"/>
          <w:color w:val="000000"/>
          <w:sz w:val="24"/>
          <w:szCs w:val="24"/>
        </w:rPr>
        <w:t>：SRS G2-FR-020、G2-FR-022；spec AC-G2-FR-020-02—03、AC-G2-FR-022-03。</w:t>
      </w:r>
    </w:p>
    <w:p>
      <w:pPr>
        <w:spacing w:after="100" w:line="360" w:lineRule="auto"/>
        <w:ind w:firstLine="475"/>
      </w:pPr>
      <w:r>
        <w:rPr>
          <w:rFonts w:eastAsia="宋体"/>
          <w:color w:val="000000"/>
          <w:sz w:val="24"/>
          <w:szCs w:val="24"/>
        </w:rPr>
        <w:t>验证与证据</w:t>
      </w:r>
      <w:r>
        <w:rPr>
          <w:rFonts w:eastAsia="宋体"/>
          <w:color w:val="000000"/>
          <w:sz w:val="24"/>
          <w:szCs w:val="24"/>
        </w:rPr>
        <w:t>：M2 前连通；以通道请求、回执、重试和并发统计记录验证，失败进入告警或人工处置。</w:t>
      </w:r>
    </w:p>
    <w:p>
      <w:pPr>
        <w:spacing w:after="100" w:line="360" w:lineRule="auto"/>
        <w:ind w:firstLine="475"/>
      </w:pPr>
      <w:r>
        <w:rPr>
          <w:rFonts w:eastAsia="宋体"/>
          <w:color w:val="000000"/>
          <w:sz w:val="24"/>
          <w:szCs w:val="24"/>
        </w:rPr>
        <w:t>结论</w:t>
      </w:r>
      <w:r>
        <w:rPr>
          <w:rFonts w:eastAsia="宋体"/>
          <w:color w:val="000000"/>
          <w:sz w:val="24"/>
          <w:szCs w:val="24"/>
        </w:rPr>
        <w:t>：已裁决；消息通道本体不纳入建设，指标尚待实测。</w:t>
      </w:r>
    </w:p>
    <w:p>
      <w:pPr>
        <w:pStyle w:val="2"/>
        <w:spacing w:before="200" w:after="120"/>
      </w:pPr>
      <w:r>
        <w:rPr>
          <w:rFonts w:eastAsia="黑体"/>
          <w:b/>
          <w:bCs/>
          <w:sz w:val="28"/>
          <w:szCs w:val="28"/>
        </w:rPr>
        <w:t>G2-CLR-005｜统一中台的建设边界</w:t>
      </w:r>
    </w:p>
    <w:p>
      <w:pPr>
        <w:spacing w:after="100" w:line="360" w:lineRule="auto"/>
        <w:ind w:firstLine="475"/>
      </w:pPr>
      <w:r>
        <w:rPr>
          <w:rFonts w:eastAsia="宋体"/>
          <w:color w:val="000000"/>
          <w:sz w:val="24"/>
          <w:szCs w:val="24"/>
        </w:rPr>
        <w:t>AI 反向问题</w:t>
      </w:r>
      <w:r>
        <w:rPr>
          <w:rFonts w:eastAsia="宋体"/>
          <w:color w:val="000000"/>
          <w:sz w:val="24"/>
          <w:szCs w:val="24"/>
        </w:rPr>
        <w:t>：为保证本系统可独立运行，是否可以自行实现身份、组织、权限、消息、工作流、文件和门户？</w:t>
      </w:r>
    </w:p>
    <w:p>
      <w:pPr>
        <w:spacing w:after="100" w:line="360" w:lineRule="auto"/>
        <w:ind w:firstLine="475"/>
      </w:pPr>
      <w:r>
        <w:rPr>
          <w:rFonts w:eastAsia="宋体"/>
          <w:color w:val="000000"/>
          <w:sz w:val="24"/>
          <w:szCs w:val="24"/>
        </w:rPr>
        <w:t>影响</w:t>
      </w:r>
      <w:r>
        <w:rPr>
          <w:rFonts w:eastAsia="宋体"/>
          <w:color w:val="000000"/>
          <w:sz w:val="24"/>
          <w:szCs w:val="24"/>
        </w:rPr>
        <w:t>：重复建设会偏离既有中台复用边界，并造成权限与审计口径不一致。</w:t>
      </w:r>
    </w:p>
    <w:p>
      <w:pPr>
        <w:spacing w:after="100" w:line="360" w:lineRule="auto"/>
        <w:ind w:firstLine="475"/>
      </w:pPr>
      <w:r>
        <w:rPr>
          <w:rFonts w:eastAsia="宋体"/>
          <w:color w:val="000000"/>
          <w:sz w:val="24"/>
          <w:szCs w:val="24"/>
        </w:rPr>
        <w:t>既有人工裁决</w:t>
      </w:r>
      <w:r>
        <w:rPr>
          <w:rFonts w:eastAsia="宋体"/>
          <w:color w:val="000000"/>
          <w:sz w:val="24"/>
          <w:szCs w:val="24"/>
        </w:rPr>
        <w:t>：统一中台提供身份、组织、权限、消息、工作流、文件存储、门户和数据汇聚；乙方只做应急业务适配，不重复建设通用平台能力。</w:t>
      </w:r>
    </w:p>
    <w:p>
      <w:pPr>
        <w:spacing w:after="100" w:line="360" w:lineRule="auto"/>
        <w:ind w:firstLine="475"/>
      </w:pPr>
      <w:r>
        <w:rPr>
          <w:rFonts w:eastAsia="宋体"/>
          <w:color w:val="000000"/>
          <w:sz w:val="24"/>
          <w:szCs w:val="24"/>
        </w:rPr>
        <w:t>裁决来源</w:t>
      </w:r>
      <w:r>
        <w:rPr>
          <w:rFonts w:eastAsia="宋体"/>
          <w:color w:val="000000"/>
          <w:sz w:val="24"/>
          <w:szCs w:val="24"/>
        </w:rPr>
        <w:t>：DEC-005；F-137。</w:t>
      </w:r>
    </w:p>
    <w:p>
      <w:pPr>
        <w:spacing w:after="100" w:line="360" w:lineRule="auto"/>
        <w:ind w:firstLine="475"/>
      </w:pPr>
      <w:r>
        <w:rPr>
          <w:rFonts w:eastAsia="宋体"/>
          <w:color w:val="000000"/>
          <w:sz w:val="24"/>
          <w:szCs w:val="24"/>
        </w:rPr>
        <w:t>双镜像落点</w:t>
      </w:r>
      <w:r>
        <w:rPr>
          <w:rFonts w:eastAsia="宋体"/>
          <w:color w:val="000000"/>
          <w:sz w:val="24"/>
          <w:szCs w:val="24"/>
        </w:rPr>
        <w:t>：SRS G2-FR-028；spec AC-G2-FR-028-01—03。</w:t>
      </w:r>
    </w:p>
    <w:p>
      <w:pPr>
        <w:spacing w:after="100" w:line="360" w:lineRule="auto"/>
        <w:ind w:firstLine="475"/>
      </w:pPr>
      <w:r>
        <w:rPr>
          <w:rFonts w:eastAsia="宋体"/>
          <w:color w:val="000000"/>
          <w:sz w:val="24"/>
          <w:szCs w:val="24"/>
        </w:rPr>
        <w:t>验证与证据</w:t>
      </w:r>
      <w:r>
        <w:rPr>
          <w:rFonts w:eastAsia="宋体"/>
          <w:color w:val="000000"/>
          <w:sz w:val="24"/>
          <w:szCs w:val="24"/>
        </w:rPr>
        <w:t>：以中台账号、组织与权限联调，以及消息/工作流/文件调用审计验证；中台异常应记录降级或人工处置。</w:t>
      </w:r>
    </w:p>
    <w:p>
      <w:pPr>
        <w:spacing w:after="100" w:line="360" w:lineRule="auto"/>
        <w:ind w:firstLine="475"/>
      </w:pPr>
      <w:r>
        <w:rPr>
          <w:rFonts w:eastAsia="宋体"/>
          <w:color w:val="000000"/>
          <w:sz w:val="24"/>
          <w:szCs w:val="24"/>
        </w:rPr>
        <w:t>结论</w:t>
      </w:r>
      <w:r>
        <w:rPr>
          <w:rFonts w:eastAsia="宋体"/>
          <w:color w:val="000000"/>
          <w:sz w:val="24"/>
          <w:szCs w:val="24"/>
        </w:rPr>
        <w:t>：已裁决；不创建通用平台替代品，接口能力待联调。</w:t>
      </w:r>
    </w:p>
    <w:p>
      <w:pPr>
        <w:pStyle w:val="2"/>
        <w:spacing w:before="200" w:after="120"/>
      </w:pPr>
      <w:r>
        <w:rPr>
          <w:rFonts w:eastAsia="黑体"/>
          <w:b/>
          <w:bCs/>
          <w:sz w:val="28"/>
          <w:szCs w:val="28"/>
        </w:rPr>
        <w:t>G2-CLR-006｜地图与三维服务责任</w:t>
      </w:r>
    </w:p>
    <w:p>
      <w:pPr>
        <w:spacing w:after="100" w:line="360" w:lineRule="auto"/>
        <w:ind w:firstLine="475"/>
      </w:pPr>
      <w:r>
        <w:rPr>
          <w:rFonts w:eastAsia="宋体"/>
          <w:color w:val="000000"/>
          <w:sz w:val="24"/>
          <w:szCs w:val="24"/>
        </w:rPr>
        <w:t>AI 反向问题</w:t>
      </w:r>
      <w:r>
        <w:rPr>
          <w:rFonts w:eastAsia="宋体"/>
          <w:color w:val="000000"/>
          <w:sz w:val="24"/>
          <w:szCs w:val="24"/>
        </w:rPr>
        <w:t>：一张图和空间点位能力是否包含重新测绘、购买底图或三维建模？</w:t>
      </w:r>
    </w:p>
    <w:p>
      <w:pPr>
        <w:spacing w:after="100" w:line="360" w:lineRule="auto"/>
        <w:ind w:firstLine="475"/>
      </w:pPr>
      <w:r>
        <w:rPr>
          <w:rFonts w:eastAsia="宋体"/>
          <w:color w:val="000000"/>
          <w:sz w:val="24"/>
          <w:szCs w:val="24"/>
        </w:rPr>
        <w:t>影响</w:t>
      </w:r>
      <w:r>
        <w:rPr>
          <w:rFonts w:eastAsia="宋体"/>
          <w:color w:val="000000"/>
          <w:sz w:val="24"/>
          <w:szCs w:val="24"/>
        </w:rPr>
        <w:t>：错误扩大交付范围，并会混淆地图源、坐标系与业务叠加的验收责任。</w:t>
      </w:r>
    </w:p>
    <w:p>
      <w:pPr>
        <w:spacing w:after="100" w:line="360" w:lineRule="auto"/>
        <w:ind w:firstLine="475"/>
      </w:pPr>
      <w:r>
        <w:rPr>
          <w:rFonts w:eastAsia="宋体"/>
          <w:color w:val="000000"/>
          <w:sz w:val="24"/>
          <w:szCs w:val="24"/>
        </w:rPr>
        <w:t>既有人工裁决</w:t>
      </w:r>
      <w:r>
        <w:rPr>
          <w:rFonts w:eastAsia="宋体"/>
          <w:color w:val="000000"/>
          <w:sz w:val="24"/>
          <w:szCs w:val="24"/>
        </w:rPr>
        <w:t>：甲方提供二维、楼层及验收所需三维地图/服务和合法使用权；乙方负责加载、叠加和点位能力，不负责重新测绘或三维建模。</w:t>
      </w:r>
    </w:p>
    <w:p>
      <w:pPr>
        <w:spacing w:after="100" w:line="360" w:lineRule="auto"/>
        <w:ind w:firstLine="475"/>
      </w:pPr>
      <w:r>
        <w:rPr>
          <w:rFonts w:eastAsia="宋体"/>
          <w:color w:val="000000"/>
          <w:sz w:val="24"/>
          <w:szCs w:val="24"/>
        </w:rPr>
        <w:t>裁决来源</w:t>
      </w:r>
      <w:r>
        <w:rPr>
          <w:rFonts w:eastAsia="宋体"/>
          <w:color w:val="000000"/>
          <w:sz w:val="24"/>
          <w:szCs w:val="24"/>
        </w:rPr>
        <w:t>：DEC-006；F-009、F-107、F-120。</w:t>
      </w:r>
    </w:p>
    <w:p>
      <w:pPr>
        <w:spacing w:after="100" w:line="360" w:lineRule="auto"/>
        <w:ind w:firstLine="475"/>
      </w:pPr>
      <w:r>
        <w:rPr>
          <w:rFonts w:eastAsia="宋体"/>
          <w:color w:val="000000"/>
          <w:sz w:val="24"/>
          <w:szCs w:val="24"/>
        </w:rPr>
        <w:t>双镜像落点</w:t>
      </w:r>
      <w:r>
        <w:rPr>
          <w:rFonts w:eastAsia="宋体"/>
          <w:color w:val="000000"/>
          <w:sz w:val="24"/>
          <w:szCs w:val="24"/>
        </w:rPr>
        <w:t>：SRS G2-FR-005、007、018、026；spec AC-G2-FR-007-01—03、AC-G2-FR-018-01—03、AC-G2-FR-026-01。</w:t>
      </w:r>
    </w:p>
    <w:p>
      <w:pPr>
        <w:spacing w:after="100" w:line="360" w:lineRule="auto"/>
        <w:ind w:firstLine="475"/>
      </w:pPr>
      <w:r>
        <w:rPr>
          <w:rFonts w:eastAsia="宋体"/>
          <w:color w:val="000000"/>
          <w:sz w:val="24"/>
          <w:szCs w:val="24"/>
        </w:rPr>
        <w:t>验证与证据</w:t>
      </w:r>
      <w:r>
        <w:rPr>
          <w:rFonts w:eastAsia="宋体"/>
          <w:color w:val="000000"/>
          <w:sz w:val="24"/>
          <w:szCs w:val="24"/>
        </w:rPr>
        <w:t>：在甲方地图服务上验证加载、坐标/楼层映射、站点与点位叠加；格式或坐标系差异进入接口问题处理。</w:t>
      </w:r>
    </w:p>
    <w:p>
      <w:pPr>
        <w:spacing w:after="100" w:line="360" w:lineRule="auto"/>
        <w:ind w:firstLine="475"/>
      </w:pPr>
      <w:r>
        <w:rPr>
          <w:rFonts w:eastAsia="宋体"/>
          <w:color w:val="000000"/>
          <w:sz w:val="24"/>
          <w:szCs w:val="24"/>
        </w:rPr>
        <w:t>结论</w:t>
      </w:r>
      <w:r>
        <w:rPr>
          <w:rFonts w:eastAsia="宋体"/>
          <w:color w:val="000000"/>
          <w:sz w:val="24"/>
          <w:szCs w:val="24"/>
        </w:rPr>
        <w:t>：已裁决；地图服务提供与业务叠加责任清楚，现场适配待验证。</w:t>
      </w:r>
    </w:p>
    <w:p>
      <w:pPr>
        <w:pStyle w:val="2"/>
        <w:spacing w:before="200" w:after="120"/>
      </w:pPr>
      <w:r>
        <w:rPr>
          <w:rFonts w:eastAsia="黑体"/>
          <w:b/>
          <w:bCs/>
          <w:sz w:val="28"/>
          <w:szCs w:val="28"/>
        </w:rPr>
        <w:t>G2-CLR-007｜移动端形态与发布责任</w:t>
      </w:r>
    </w:p>
    <w:p>
      <w:pPr>
        <w:spacing w:after="100" w:line="360" w:lineRule="auto"/>
        <w:ind w:firstLine="475"/>
      </w:pPr>
      <w:r>
        <w:rPr>
          <w:rFonts w:eastAsia="宋体"/>
          <w:color w:val="000000"/>
          <w:sz w:val="24"/>
          <w:szCs w:val="24"/>
        </w:rPr>
        <w:t>AI 反向问题</w:t>
      </w:r>
      <w:r>
        <w:rPr>
          <w:rFonts w:eastAsia="宋体"/>
          <w:color w:val="000000"/>
          <w:sz w:val="24"/>
          <w:szCs w:val="24"/>
        </w:rPr>
        <w:t>：移动功能是否需要额外交付 Android/iOS 原生 APP，并由乙方上架发布？</w:t>
      </w:r>
    </w:p>
    <w:p>
      <w:pPr>
        <w:spacing w:after="100" w:line="360" w:lineRule="auto"/>
        <w:ind w:firstLine="475"/>
      </w:pPr>
      <w:r>
        <w:rPr>
          <w:rFonts w:eastAsia="宋体"/>
          <w:color w:val="000000"/>
          <w:sz w:val="24"/>
          <w:szCs w:val="24"/>
        </w:rPr>
        <w:t>影响</w:t>
      </w:r>
      <w:r>
        <w:rPr>
          <w:rFonts w:eastAsia="宋体"/>
          <w:color w:val="000000"/>
          <w:sz w:val="24"/>
          <w:szCs w:val="24"/>
        </w:rPr>
        <w:t>：会扩大交付物、测试矩阵和发布责任，且与既有宿主 APP 边界冲突。</w:t>
      </w:r>
    </w:p>
    <w:p>
      <w:pPr>
        <w:spacing w:after="100" w:line="360" w:lineRule="auto"/>
        <w:ind w:firstLine="475"/>
      </w:pPr>
      <w:r>
        <w:rPr>
          <w:rFonts w:eastAsia="宋体"/>
          <w:color w:val="000000"/>
          <w:sz w:val="24"/>
          <w:szCs w:val="24"/>
        </w:rPr>
        <w:t>既有人工裁决</w:t>
      </w:r>
      <w:r>
        <w:rPr>
          <w:rFonts w:eastAsia="宋体"/>
          <w:color w:val="000000"/>
          <w:sz w:val="24"/>
          <w:szCs w:val="24"/>
        </w:rPr>
        <w:t>：移动端采用 H5 嵌入现有智慧管理 APP；乙方交付 H5 包，不要求另做原生 APP；甲方负责宿主 APP 和发布。</w:t>
      </w:r>
    </w:p>
    <w:p>
      <w:pPr>
        <w:spacing w:after="100" w:line="360" w:lineRule="auto"/>
        <w:ind w:firstLine="475"/>
      </w:pPr>
      <w:r>
        <w:rPr>
          <w:rFonts w:eastAsia="宋体"/>
          <w:color w:val="000000"/>
          <w:sz w:val="24"/>
          <w:szCs w:val="24"/>
        </w:rPr>
        <w:t>裁决来源</w:t>
      </w:r>
      <w:r>
        <w:rPr>
          <w:rFonts w:eastAsia="宋体"/>
          <w:color w:val="000000"/>
          <w:sz w:val="24"/>
          <w:szCs w:val="24"/>
        </w:rPr>
        <w:t>：DEC-007；F-008。</w:t>
      </w:r>
    </w:p>
    <w:p>
      <w:pPr>
        <w:spacing w:after="100" w:line="360" w:lineRule="auto"/>
        <w:ind w:firstLine="475"/>
      </w:pPr>
      <w:r>
        <w:rPr>
          <w:rFonts w:eastAsia="宋体"/>
          <w:color w:val="000000"/>
          <w:sz w:val="24"/>
          <w:szCs w:val="24"/>
        </w:rPr>
        <w:t>双镜像落点</w:t>
      </w:r>
      <w:r>
        <w:rPr>
          <w:rFonts w:eastAsia="宋体"/>
          <w:color w:val="000000"/>
          <w:sz w:val="24"/>
          <w:szCs w:val="24"/>
        </w:rPr>
        <w:t>：SRS G2-FR-021—025；spec AC-G2-FR-021-01—03、AC-G2-FR-022-01—03、AC-G2-FR-023-01—03、AC-G2-FR-024-01—03、AC-G2-FR-025-01—03。</w:t>
      </w:r>
    </w:p>
    <w:p>
      <w:pPr>
        <w:spacing w:after="100" w:line="360" w:lineRule="auto"/>
        <w:ind w:firstLine="475"/>
      </w:pPr>
      <w:r>
        <w:rPr>
          <w:rFonts w:eastAsia="宋体"/>
          <w:color w:val="000000"/>
          <w:sz w:val="24"/>
          <w:szCs w:val="24"/>
        </w:rPr>
        <w:t>验证与证据</w:t>
      </w:r>
      <w:r>
        <w:rPr>
          <w:rFonts w:eastAsia="宋体"/>
          <w:color w:val="000000"/>
          <w:sz w:val="24"/>
          <w:szCs w:val="24"/>
        </w:rPr>
        <w:t>：由甲方确认宿主、签名、发布和终端矩阵；乙方验证 H5 认证、相机/扫码、任务和上传能力。</w:t>
      </w:r>
    </w:p>
    <w:p>
      <w:pPr>
        <w:spacing w:after="100" w:line="360" w:lineRule="auto"/>
        <w:ind w:firstLine="475"/>
      </w:pPr>
      <w:r>
        <w:rPr>
          <w:rFonts w:eastAsia="宋体"/>
          <w:color w:val="000000"/>
          <w:sz w:val="24"/>
          <w:szCs w:val="24"/>
        </w:rPr>
        <w:t>结论</w:t>
      </w:r>
      <w:r>
        <w:rPr>
          <w:rFonts w:eastAsia="宋体"/>
          <w:color w:val="000000"/>
          <w:sz w:val="24"/>
          <w:szCs w:val="24"/>
        </w:rPr>
        <w:t>：已裁决；不交付独立原生 APP，H5 宿主集成待验证。</w:t>
      </w:r>
    </w:p>
    <w:p>
      <w:pPr>
        <w:pStyle w:val="2"/>
        <w:spacing w:before="200" w:after="120"/>
      </w:pPr>
      <w:r>
        <w:rPr>
          <w:rFonts w:eastAsia="黑体"/>
          <w:b/>
          <w:bCs/>
          <w:sz w:val="28"/>
          <w:szCs w:val="28"/>
        </w:rPr>
        <w:t>G2-CLR-008｜部署基础资源与最低配置</w:t>
      </w:r>
    </w:p>
    <w:p>
      <w:pPr>
        <w:spacing w:after="100" w:line="360" w:lineRule="auto"/>
        <w:ind w:firstLine="475"/>
      </w:pPr>
      <w:r>
        <w:rPr>
          <w:rFonts w:eastAsia="宋体"/>
          <w:color w:val="000000"/>
          <w:sz w:val="24"/>
          <w:szCs w:val="24"/>
        </w:rPr>
        <w:t>AI 反向问题</w:t>
      </w:r>
      <w:r>
        <w:rPr>
          <w:rFonts w:eastAsia="宋体"/>
          <w:color w:val="000000"/>
          <w:sz w:val="24"/>
          <w:szCs w:val="24"/>
        </w:rPr>
        <w:t>：应用交付是否包含采购服务器、网络、证书、备份介质和后备电源？</w:t>
      </w:r>
    </w:p>
    <w:p>
      <w:pPr>
        <w:spacing w:after="100" w:line="360" w:lineRule="auto"/>
        <w:ind w:firstLine="475"/>
      </w:pPr>
      <w:r>
        <w:rPr>
          <w:rFonts w:eastAsia="宋体"/>
          <w:color w:val="000000"/>
          <w:sz w:val="24"/>
          <w:szCs w:val="24"/>
        </w:rPr>
        <w:t>影响</w:t>
      </w:r>
      <w:r>
        <w:rPr>
          <w:rFonts w:eastAsia="宋体"/>
          <w:color w:val="000000"/>
          <w:sz w:val="24"/>
          <w:szCs w:val="24"/>
        </w:rPr>
        <w:t>：若把基础资源误列为乙方交付，会改变成本、责任和部署验收边界。</w:t>
      </w:r>
    </w:p>
    <w:p>
      <w:pPr>
        <w:spacing w:after="100" w:line="360" w:lineRule="auto"/>
        <w:ind w:firstLine="475"/>
      </w:pPr>
      <w:r>
        <w:rPr>
          <w:rFonts w:eastAsia="宋体"/>
          <w:color w:val="000000"/>
          <w:sz w:val="24"/>
          <w:szCs w:val="24"/>
        </w:rPr>
        <w:t>既有人工裁决</w:t>
      </w:r>
      <w:r>
        <w:rPr>
          <w:rFonts w:eastAsia="宋体"/>
          <w:color w:val="000000"/>
          <w:sz w:val="24"/>
          <w:szCs w:val="24"/>
        </w:rPr>
        <w:t>：服务器、网络、域名证书、备份介质和后备电源由甲方提供；乙方提交最低配置和部署方案。</w:t>
      </w:r>
    </w:p>
    <w:p>
      <w:pPr>
        <w:spacing w:after="100" w:line="360" w:lineRule="auto"/>
        <w:ind w:firstLine="475"/>
      </w:pPr>
      <w:r>
        <w:rPr>
          <w:rFonts w:eastAsia="宋体"/>
          <w:color w:val="000000"/>
          <w:sz w:val="24"/>
          <w:szCs w:val="24"/>
        </w:rPr>
        <w:t>裁决来源</w:t>
      </w:r>
      <w:r>
        <w:rPr>
          <w:rFonts w:eastAsia="宋体"/>
          <w:color w:val="000000"/>
          <w:sz w:val="24"/>
          <w:szCs w:val="24"/>
        </w:rPr>
        <w:t>：DEC-008；F-006、F-207；KN-005。</w:t>
      </w:r>
    </w:p>
    <w:p>
      <w:pPr>
        <w:spacing w:after="100" w:line="360" w:lineRule="auto"/>
        <w:ind w:firstLine="475"/>
      </w:pPr>
      <w:r>
        <w:rPr>
          <w:rFonts w:eastAsia="宋体"/>
          <w:color w:val="000000"/>
          <w:sz w:val="24"/>
          <w:szCs w:val="24"/>
        </w:rPr>
        <w:t>双镜像落点</w:t>
      </w:r>
      <w:r>
        <w:rPr>
          <w:rFonts w:eastAsia="宋体"/>
          <w:color w:val="000000"/>
          <w:sz w:val="24"/>
          <w:szCs w:val="24"/>
        </w:rPr>
        <w:t>：SRS 第 7 章部署交付约束；spec 第 1.1 通用约束及各项目标环境验收前置。</w:t>
      </w:r>
    </w:p>
    <w:p>
      <w:pPr>
        <w:spacing w:after="100" w:line="360" w:lineRule="auto"/>
        <w:ind w:firstLine="475"/>
      </w:pPr>
      <w:r>
        <w:rPr>
          <w:rFonts w:eastAsia="宋体"/>
          <w:color w:val="000000"/>
          <w:sz w:val="24"/>
          <w:szCs w:val="24"/>
        </w:rPr>
        <w:t>验证与证据</w:t>
      </w:r>
      <w:r>
        <w:rPr>
          <w:rFonts w:eastAsia="宋体"/>
          <w:color w:val="000000"/>
          <w:sz w:val="24"/>
          <w:szCs w:val="24"/>
        </w:rPr>
        <w:t>：以甲方提供的环境、部署手册、容器制品和干净环境独立部署记录验证；建议配置不得写为甲方既定采购指标。</w:t>
      </w:r>
    </w:p>
    <w:p>
      <w:pPr>
        <w:spacing w:after="100" w:line="360" w:lineRule="auto"/>
        <w:ind w:firstLine="475"/>
      </w:pPr>
      <w:r>
        <w:rPr>
          <w:rFonts w:eastAsia="宋体"/>
          <w:color w:val="000000"/>
          <w:sz w:val="24"/>
          <w:szCs w:val="24"/>
        </w:rPr>
        <w:t>结论</w:t>
      </w:r>
      <w:r>
        <w:rPr>
          <w:rFonts w:eastAsia="宋体"/>
          <w:color w:val="000000"/>
          <w:sz w:val="24"/>
          <w:szCs w:val="24"/>
        </w:rPr>
        <w:t>：已裁决；基础资源非本项目采购范围，部署结果待验证。</w:t>
      </w:r>
    </w:p>
    <w:p>
      <w:pPr>
        <w:pStyle w:val="2"/>
        <w:spacing w:before="200" w:after="120"/>
      </w:pPr>
      <w:r>
        <w:rPr>
          <w:rFonts w:eastAsia="黑体"/>
          <w:b/>
          <w:bCs/>
          <w:sz w:val="28"/>
          <w:szCs w:val="28"/>
        </w:rPr>
        <w:t>G2-CLR-009｜基础业务数据责任</w:t>
      </w:r>
    </w:p>
    <w:p>
      <w:pPr>
        <w:spacing w:after="100" w:line="360" w:lineRule="auto"/>
        <w:ind w:firstLine="475"/>
      </w:pPr>
      <w:r>
        <w:rPr>
          <w:rFonts w:eastAsia="宋体"/>
          <w:color w:val="000000"/>
          <w:sz w:val="24"/>
          <w:szCs w:val="24"/>
        </w:rPr>
        <w:t>AI 反向问题</w:t>
      </w:r>
      <w:r>
        <w:rPr>
          <w:rFonts w:eastAsia="宋体"/>
          <w:color w:val="000000"/>
          <w:sz w:val="24"/>
          <w:szCs w:val="24"/>
        </w:rPr>
        <w:t>：乙方是否对基础数据的业务真实性和最终业务正确性承担单方责任？</w:t>
      </w:r>
    </w:p>
    <w:p>
      <w:pPr>
        <w:spacing w:after="100" w:line="360" w:lineRule="auto"/>
        <w:ind w:firstLine="475"/>
      </w:pPr>
      <w:r>
        <w:rPr>
          <w:rFonts w:eastAsia="宋体"/>
          <w:color w:val="000000"/>
          <w:sz w:val="24"/>
          <w:szCs w:val="24"/>
        </w:rPr>
        <w:t>影响</w:t>
      </w:r>
      <w:r>
        <w:rPr>
          <w:rFonts w:eastAsia="宋体"/>
          <w:color w:val="000000"/>
          <w:sz w:val="24"/>
          <w:szCs w:val="24"/>
        </w:rPr>
        <w:t>：不区分业务确认与技术处理，会导致数据导入争议及验收责任失真。</w:t>
      </w:r>
    </w:p>
    <w:p>
      <w:pPr>
        <w:spacing w:after="100" w:line="360" w:lineRule="auto"/>
        <w:ind w:firstLine="475"/>
      </w:pPr>
      <w:r>
        <w:rPr>
          <w:rFonts w:eastAsia="宋体"/>
          <w:color w:val="000000"/>
          <w:sz w:val="24"/>
          <w:szCs w:val="24"/>
        </w:rPr>
        <w:t>既有人工裁决</w:t>
      </w:r>
      <w:r>
        <w:rPr>
          <w:rFonts w:eastAsia="宋体"/>
          <w:color w:val="000000"/>
          <w:sz w:val="24"/>
          <w:szCs w:val="24"/>
        </w:rPr>
        <w:t>：基础业务源数据由甲方提供并确认业务正确性；乙方负责模板、清洗映射、导入和技术校验；最终成果双方确认。</w:t>
      </w:r>
    </w:p>
    <w:p>
      <w:pPr>
        <w:spacing w:after="100" w:line="360" w:lineRule="auto"/>
        <w:ind w:firstLine="475"/>
      </w:pPr>
      <w:r>
        <w:rPr>
          <w:rFonts w:eastAsia="宋体"/>
          <w:color w:val="000000"/>
          <w:sz w:val="24"/>
          <w:szCs w:val="24"/>
        </w:rPr>
        <w:t>裁决来源</w:t>
      </w:r>
      <w:r>
        <w:rPr>
          <w:rFonts w:eastAsia="宋体"/>
          <w:color w:val="000000"/>
          <w:sz w:val="24"/>
          <w:szCs w:val="24"/>
        </w:rPr>
        <w:t>：DEC-009；F-301。</w:t>
      </w:r>
    </w:p>
    <w:p>
      <w:pPr>
        <w:spacing w:after="100" w:line="360" w:lineRule="auto"/>
        <w:ind w:firstLine="475"/>
      </w:pPr>
      <w:r>
        <w:rPr>
          <w:rFonts w:eastAsia="宋体"/>
          <w:color w:val="000000"/>
          <w:sz w:val="24"/>
          <w:szCs w:val="24"/>
        </w:rPr>
        <w:t>双镜像落点</w:t>
      </w:r>
      <w:r>
        <w:rPr>
          <w:rFonts w:eastAsia="宋体"/>
          <w:color w:val="000000"/>
          <w:sz w:val="24"/>
          <w:szCs w:val="24"/>
        </w:rPr>
        <w:t>：SRS 数据需求；spec G2-FR-007—009、025 的数据前置和异常场景。</w:t>
      </w:r>
    </w:p>
    <w:p>
      <w:pPr>
        <w:spacing w:after="100" w:line="360" w:lineRule="auto"/>
        <w:ind w:firstLine="475"/>
      </w:pPr>
      <w:r>
        <w:rPr>
          <w:rFonts w:eastAsia="宋体"/>
          <w:color w:val="000000"/>
          <w:sz w:val="24"/>
          <w:szCs w:val="24"/>
        </w:rPr>
        <w:t>验证与证据</w:t>
      </w:r>
      <w:r>
        <w:rPr>
          <w:rFonts w:eastAsia="宋体"/>
          <w:color w:val="000000"/>
          <w:sz w:val="24"/>
          <w:szCs w:val="24"/>
        </w:rPr>
        <w:t>：保存模板、映射、导入校验、异常清单和双方确认记录；不得把待确认源数据作为系统已正确数据。</w:t>
      </w:r>
    </w:p>
    <w:p>
      <w:pPr>
        <w:spacing w:after="100" w:line="360" w:lineRule="auto"/>
        <w:ind w:firstLine="475"/>
      </w:pPr>
      <w:r>
        <w:rPr>
          <w:rFonts w:eastAsia="宋体"/>
          <w:color w:val="000000"/>
          <w:sz w:val="24"/>
          <w:szCs w:val="24"/>
        </w:rPr>
        <w:t>结论</w:t>
      </w:r>
      <w:r>
        <w:rPr>
          <w:rFonts w:eastAsia="宋体"/>
          <w:color w:val="000000"/>
          <w:sz w:val="24"/>
          <w:szCs w:val="24"/>
        </w:rPr>
        <w:t>：已裁决；数据责任分工明确，数据质量仍待导入验证。</w:t>
      </w:r>
    </w:p>
    <w:p>
      <w:pPr>
        <w:pStyle w:val="2"/>
        <w:spacing w:before="200" w:after="120"/>
      </w:pPr>
      <w:r>
        <w:rPr>
          <w:rFonts w:eastAsia="黑体"/>
          <w:b/>
          <w:bCs/>
          <w:sz w:val="28"/>
          <w:szCs w:val="28"/>
        </w:rPr>
        <w:t>G2-CLR-010｜既有系统接口与 M2 连通门禁</w:t>
      </w:r>
    </w:p>
    <w:p>
      <w:pPr>
        <w:spacing w:after="100" w:line="360" w:lineRule="auto"/>
        <w:ind w:firstLine="475"/>
      </w:pPr>
      <w:r>
        <w:rPr>
          <w:rFonts w:eastAsia="宋体"/>
          <w:color w:val="000000"/>
          <w:sz w:val="24"/>
          <w:szCs w:val="24"/>
        </w:rPr>
        <w:t>AI 反向问题</w:t>
      </w:r>
      <w:r>
        <w:rPr>
          <w:rFonts w:eastAsia="宋体"/>
          <w:color w:val="000000"/>
          <w:sz w:val="24"/>
          <w:szCs w:val="24"/>
        </w:rPr>
        <w:t>：接口字段、账号和联调环境未提供时，能否以内部 mock 结果宣布视频和消息已完成？</w:t>
      </w:r>
    </w:p>
    <w:p>
      <w:pPr>
        <w:spacing w:after="100" w:line="360" w:lineRule="auto"/>
        <w:ind w:firstLine="475"/>
      </w:pPr>
      <w:r>
        <w:rPr>
          <w:rFonts w:eastAsia="宋体"/>
          <w:color w:val="000000"/>
          <w:sz w:val="24"/>
          <w:szCs w:val="24"/>
        </w:rPr>
        <w:t>影响</w:t>
      </w:r>
      <w:r>
        <w:rPr>
          <w:rFonts w:eastAsia="宋体"/>
          <w:color w:val="000000"/>
          <w:sz w:val="24"/>
          <w:szCs w:val="24"/>
        </w:rPr>
        <w:t>：会将模拟替代真实连通性，破坏 M2 准出和后续验收依据。</w:t>
      </w:r>
    </w:p>
    <w:p>
      <w:pPr>
        <w:spacing w:after="100" w:line="360" w:lineRule="auto"/>
        <w:ind w:firstLine="475"/>
      </w:pPr>
      <w:r>
        <w:rPr>
          <w:rFonts w:eastAsia="宋体"/>
          <w:color w:val="000000"/>
          <w:sz w:val="24"/>
          <w:szCs w:val="24"/>
        </w:rPr>
        <w:t>既有人工裁决</w:t>
      </w:r>
      <w:r>
        <w:rPr>
          <w:rFonts w:eastAsia="宋体"/>
          <w:color w:val="000000"/>
          <w:sz w:val="24"/>
          <w:szCs w:val="24"/>
        </w:rPr>
        <w:t>：甲方负责提供/协调各既有系统接口资料、账号、环境和窗口；乙方逐接口适配验证；视频和消息通道 M2 前完成连通性验证。</w:t>
      </w:r>
    </w:p>
    <w:p>
      <w:pPr>
        <w:spacing w:after="100" w:line="360" w:lineRule="auto"/>
        <w:ind w:firstLine="475"/>
      </w:pPr>
      <w:r>
        <w:rPr>
          <w:rFonts w:eastAsia="宋体"/>
          <w:color w:val="000000"/>
          <w:sz w:val="24"/>
          <w:szCs w:val="24"/>
        </w:rPr>
        <w:t>裁决来源</w:t>
      </w:r>
      <w:r>
        <w:rPr>
          <w:rFonts w:eastAsia="宋体"/>
          <w:color w:val="000000"/>
          <w:sz w:val="24"/>
          <w:szCs w:val="24"/>
        </w:rPr>
        <w:t>：DEC-010；F-005、F-208、F-300。</w:t>
      </w:r>
    </w:p>
    <w:p>
      <w:pPr>
        <w:spacing w:after="100" w:line="360" w:lineRule="auto"/>
        <w:ind w:firstLine="475"/>
      </w:pPr>
      <w:r>
        <w:rPr>
          <w:rFonts w:eastAsia="宋体"/>
          <w:color w:val="000000"/>
          <w:sz w:val="24"/>
          <w:szCs w:val="24"/>
        </w:rPr>
        <w:t>双镜像落点</w:t>
      </w:r>
      <w:r>
        <w:rPr>
          <w:rFonts w:eastAsia="宋体"/>
          <w:color w:val="000000"/>
          <w:sz w:val="24"/>
          <w:szCs w:val="24"/>
        </w:rPr>
        <w:t>：SRS 接口需求及验收追踪；spec G2-FR-006、020、022、027—029 和各 AC 的前置/验证条目。</w:t>
      </w:r>
    </w:p>
    <w:p>
      <w:pPr>
        <w:spacing w:after="100" w:line="360" w:lineRule="auto"/>
        <w:ind w:firstLine="475"/>
      </w:pPr>
      <w:r>
        <w:rPr>
          <w:rFonts w:eastAsia="宋体"/>
          <w:color w:val="000000"/>
          <w:sz w:val="24"/>
          <w:szCs w:val="24"/>
        </w:rPr>
        <w:t>验证与证据</w:t>
      </w:r>
      <w:r>
        <w:rPr>
          <w:rFonts w:eastAsia="宋体"/>
          <w:color w:val="000000"/>
          <w:sz w:val="24"/>
          <w:szCs w:val="24"/>
        </w:rPr>
        <w:t>：M2 前提交接口清单、联调记录、请求/响应或回执、失败处置和连通结论；mock 仅可作开发辅助，不替代连通验证。</w:t>
      </w:r>
    </w:p>
    <w:p>
      <w:pPr>
        <w:spacing w:after="100" w:line="360" w:lineRule="auto"/>
        <w:ind w:firstLine="475"/>
      </w:pPr>
      <w:r>
        <w:rPr>
          <w:rFonts w:eastAsia="宋体"/>
          <w:color w:val="000000"/>
          <w:sz w:val="24"/>
          <w:szCs w:val="24"/>
        </w:rPr>
        <w:t>结论</w:t>
      </w:r>
      <w:r>
        <w:rPr>
          <w:rFonts w:eastAsia="宋体"/>
          <w:color w:val="000000"/>
          <w:sz w:val="24"/>
          <w:szCs w:val="24"/>
        </w:rPr>
        <w:t>：已裁决；接口资料与窗口为甲方前置，逐接口验证为乙方责任。</w:t>
      </w:r>
    </w:p>
    <w:p>
      <w:pPr>
        <w:pStyle w:val="2"/>
        <w:spacing w:before="200" w:after="120"/>
      </w:pPr>
      <w:r>
        <w:rPr>
          <w:rFonts w:eastAsia="黑体"/>
          <w:b/>
          <w:bCs/>
          <w:sz w:val="28"/>
          <w:szCs w:val="28"/>
        </w:rPr>
        <w:t>G2-CLR-011｜应用安全与等保责任</w:t>
      </w:r>
    </w:p>
    <w:p>
      <w:pPr>
        <w:spacing w:after="100" w:line="360" w:lineRule="auto"/>
        <w:ind w:firstLine="475"/>
      </w:pPr>
      <w:r>
        <w:rPr>
          <w:rFonts w:eastAsia="宋体"/>
          <w:color w:val="000000"/>
          <w:sz w:val="24"/>
          <w:szCs w:val="24"/>
        </w:rPr>
        <w:t>AI 反向问题</w:t>
      </w:r>
      <w:r>
        <w:rPr>
          <w:rFonts w:eastAsia="宋体"/>
          <w:color w:val="000000"/>
          <w:sz w:val="24"/>
          <w:szCs w:val="24"/>
        </w:rPr>
        <w:t>：应用侧等保要求是否可因甲方负责定级/备案而不做漏洞扫描、SCA、渗透测试或高危清零？</w:t>
      </w:r>
    </w:p>
    <w:p>
      <w:pPr>
        <w:spacing w:after="100" w:line="360" w:lineRule="auto"/>
        <w:ind w:firstLine="475"/>
      </w:pPr>
      <w:r>
        <w:rPr>
          <w:rFonts w:eastAsia="宋体"/>
          <w:color w:val="000000"/>
          <w:sz w:val="24"/>
          <w:szCs w:val="24"/>
        </w:rPr>
        <w:t>影响</w:t>
      </w:r>
      <w:r>
        <w:rPr>
          <w:rFonts w:eastAsia="宋体"/>
          <w:color w:val="000000"/>
          <w:sz w:val="24"/>
          <w:szCs w:val="24"/>
        </w:rPr>
        <w:t>：会弱化应用交付安全门禁并造成高危漏洞处置责任缺失。</w:t>
      </w:r>
    </w:p>
    <w:p>
      <w:pPr>
        <w:spacing w:after="100" w:line="360" w:lineRule="auto"/>
        <w:ind w:firstLine="475"/>
      </w:pPr>
      <w:r>
        <w:rPr>
          <w:rFonts w:eastAsia="宋体"/>
          <w:color w:val="000000"/>
          <w:sz w:val="24"/>
          <w:szCs w:val="24"/>
        </w:rPr>
        <w:t>既有人工裁决</w:t>
      </w:r>
      <w:r>
        <w:rPr>
          <w:rFonts w:eastAsia="宋体"/>
          <w:color w:val="000000"/>
          <w:sz w:val="24"/>
          <w:szCs w:val="24"/>
        </w:rPr>
        <w:t>：按不低于等保二级中与应用软件直接相关的条款建设；甲方负责最终定级/备案和基础环境，乙方负责应用侧安全及 SCA/漏洞扫描/渗透测试，高危清零；正式第三方等保测评不默认属于乙方范围。</w:t>
      </w:r>
    </w:p>
    <w:p>
      <w:pPr>
        <w:spacing w:after="100" w:line="360" w:lineRule="auto"/>
        <w:ind w:firstLine="475"/>
      </w:pPr>
      <w:r>
        <w:rPr>
          <w:rFonts w:eastAsia="宋体"/>
          <w:color w:val="000000"/>
          <w:sz w:val="24"/>
          <w:szCs w:val="24"/>
        </w:rPr>
        <w:t>裁决来源</w:t>
      </w:r>
      <w:r>
        <w:rPr>
          <w:rFonts w:eastAsia="宋体"/>
          <w:color w:val="000000"/>
          <w:sz w:val="24"/>
          <w:szCs w:val="24"/>
        </w:rPr>
        <w:t>：DEC-011；F-205；KN-042、KN-043。</w:t>
      </w:r>
    </w:p>
    <w:p>
      <w:pPr>
        <w:spacing w:after="100" w:line="360" w:lineRule="auto"/>
        <w:ind w:firstLine="475"/>
      </w:pPr>
      <w:r>
        <w:rPr>
          <w:rFonts w:eastAsia="宋体"/>
          <w:color w:val="000000"/>
          <w:sz w:val="24"/>
          <w:szCs w:val="24"/>
        </w:rPr>
        <w:t>双镜像落点</w:t>
      </w:r>
      <w:r>
        <w:rPr>
          <w:rFonts w:eastAsia="宋体"/>
          <w:color w:val="000000"/>
          <w:sz w:val="24"/>
          <w:szCs w:val="24"/>
        </w:rPr>
        <w:t>：SRS 非功能安全章节；spec 第 1.1 通用验收约束和第 4 章变更/验证规则。</w:t>
      </w:r>
    </w:p>
    <w:p>
      <w:pPr>
        <w:spacing w:after="100" w:line="360" w:lineRule="auto"/>
        <w:ind w:firstLine="475"/>
      </w:pPr>
      <w:r>
        <w:rPr>
          <w:rFonts w:eastAsia="宋体"/>
          <w:color w:val="000000"/>
          <w:sz w:val="24"/>
          <w:szCs w:val="24"/>
        </w:rPr>
        <w:t>验证与证据</w:t>
      </w:r>
      <w:r>
        <w:rPr>
          <w:rFonts w:eastAsia="宋体"/>
          <w:color w:val="000000"/>
          <w:sz w:val="24"/>
          <w:szCs w:val="24"/>
        </w:rPr>
        <w:t>：提交应用侧扫描、SCA、渗透复测和高危清零证据；不把甲方定级/备案职责移给乙方，也不把安全测试结果预先写成通过。</w:t>
      </w:r>
    </w:p>
    <w:p>
      <w:pPr>
        <w:spacing w:after="100" w:line="360" w:lineRule="auto"/>
        <w:ind w:firstLine="475"/>
      </w:pPr>
      <w:r>
        <w:rPr>
          <w:rFonts w:eastAsia="宋体"/>
          <w:color w:val="000000"/>
          <w:sz w:val="24"/>
          <w:szCs w:val="24"/>
        </w:rPr>
        <w:t>结论</w:t>
      </w:r>
      <w:r>
        <w:rPr>
          <w:rFonts w:eastAsia="宋体"/>
          <w:color w:val="000000"/>
          <w:sz w:val="24"/>
          <w:szCs w:val="24"/>
        </w:rPr>
        <w:t>：已裁决；应用安全责任明确，证据待形成。</w:t>
      </w:r>
    </w:p>
    <w:p>
      <w:pPr>
        <w:pStyle w:val="2"/>
        <w:spacing w:before="200" w:after="120"/>
      </w:pPr>
      <w:r>
        <w:rPr>
          <w:rFonts w:eastAsia="黑体"/>
          <w:b/>
          <w:bCs/>
          <w:sz w:val="28"/>
          <w:szCs w:val="28"/>
        </w:rPr>
        <w:t>G2-CLR-012｜项目匿名名称与主体称谓</w:t>
      </w:r>
    </w:p>
    <w:p>
      <w:pPr>
        <w:spacing w:after="100" w:line="360" w:lineRule="auto"/>
        <w:ind w:firstLine="475"/>
      </w:pPr>
      <w:r>
        <w:rPr>
          <w:rFonts w:eastAsia="宋体"/>
          <w:color w:val="000000"/>
          <w:sz w:val="24"/>
          <w:szCs w:val="24"/>
        </w:rPr>
        <w:t>AI 反向问题</w:t>
      </w:r>
      <w:r>
        <w:rPr>
          <w:rFonts w:eastAsia="宋体"/>
          <w:color w:val="000000"/>
          <w:sz w:val="24"/>
          <w:szCs w:val="24"/>
        </w:rPr>
        <w:t>：第二关文档是否可以沿用其他案例项目名称、真实单位名称或自定义招标主体？</w:t>
      </w:r>
    </w:p>
    <w:p>
      <w:pPr>
        <w:spacing w:after="100" w:line="360" w:lineRule="auto"/>
        <w:ind w:firstLine="475"/>
      </w:pPr>
      <w:r>
        <w:rPr>
          <w:rFonts w:eastAsia="宋体"/>
          <w:color w:val="000000"/>
          <w:sz w:val="24"/>
          <w:szCs w:val="24"/>
        </w:rPr>
        <w:t>影响</w:t>
      </w:r>
      <w:r>
        <w:rPr>
          <w:rFonts w:eastAsia="宋体"/>
          <w:color w:val="000000"/>
          <w:sz w:val="24"/>
          <w:szCs w:val="24"/>
        </w:rPr>
        <w:t>：项目身份漂移会污染 SRS、spec、RTM 和后续评审材料，降低追踪完整性。</w:t>
      </w:r>
    </w:p>
    <w:p>
      <w:pPr>
        <w:spacing w:after="100" w:line="360" w:lineRule="auto"/>
        <w:ind w:firstLine="475"/>
      </w:pPr>
      <w:r>
        <w:rPr>
          <w:rFonts w:eastAsia="宋体"/>
          <w:color w:val="000000"/>
          <w:sz w:val="24"/>
          <w:szCs w:val="24"/>
        </w:rPr>
        <w:t>既有人工裁决</w:t>
      </w:r>
      <w:r>
        <w:rPr>
          <w:rFonts w:eastAsia="宋体"/>
          <w:color w:val="000000"/>
          <w:sz w:val="24"/>
          <w:szCs w:val="24"/>
        </w:rPr>
        <w:t>：正式匿名名称统一使用“某自然博物馆智能运营中心建设项目——应急管理子系统”，招标人为“某自然博物馆”。</w:t>
      </w:r>
    </w:p>
    <w:p>
      <w:pPr>
        <w:spacing w:after="100" w:line="360" w:lineRule="auto"/>
        <w:ind w:firstLine="475"/>
      </w:pPr>
      <w:r>
        <w:rPr>
          <w:rFonts w:eastAsia="宋体"/>
          <w:color w:val="000000"/>
          <w:sz w:val="24"/>
          <w:szCs w:val="24"/>
        </w:rPr>
        <w:t>裁决来源</w:t>
      </w:r>
      <w:r>
        <w:rPr>
          <w:rFonts w:eastAsia="宋体"/>
          <w:color w:val="000000"/>
          <w:sz w:val="24"/>
          <w:szCs w:val="24"/>
        </w:rPr>
        <w:t>：DEC-012；F-001。</w:t>
      </w:r>
    </w:p>
    <w:p>
      <w:pPr>
        <w:spacing w:after="100" w:line="360" w:lineRule="auto"/>
        <w:ind w:firstLine="475"/>
      </w:pPr>
      <w:r>
        <w:rPr>
          <w:rFonts w:eastAsia="宋体"/>
          <w:color w:val="000000"/>
          <w:sz w:val="24"/>
          <w:szCs w:val="24"/>
        </w:rPr>
        <w:t>双镜像落点</w:t>
      </w:r>
      <w:r>
        <w:rPr>
          <w:rFonts w:eastAsia="宋体"/>
          <w:color w:val="000000"/>
          <w:sz w:val="24"/>
          <w:szCs w:val="24"/>
        </w:rPr>
        <w:t>：SRS 封面/引言；spec 文件头；本记录文件头。</w:t>
      </w:r>
    </w:p>
    <w:p>
      <w:pPr>
        <w:spacing w:after="100" w:line="360" w:lineRule="auto"/>
        <w:ind w:firstLine="475"/>
      </w:pPr>
      <w:r>
        <w:rPr>
          <w:rFonts w:eastAsia="宋体"/>
          <w:color w:val="000000"/>
          <w:sz w:val="24"/>
          <w:szCs w:val="24"/>
        </w:rPr>
        <w:t>验证与证据</w:t>
      </w:r>
      <w:r>
        <w:rPr>
          <w:rFonts w:eastAsia="宋体"/>
          <w:color w:val="000000"/>
          <w:sz w:val="24"/>
          <w:szCs w:val="24"/>
        </w:rPr>
        <w:t>：通过全文称谓检索和交付前一致性检查确认；发现旧称谓时按文档修订流程更正。</w:t>
      </w:r>
    </w:p>
    <w:p>
      <w:pPr>
        <w:spacing w:after="100" w:line="360" w:lineRule="auto"/>
        <w:ind w:firstLine="475"/>
      </w:pPr>
      <w:r>
        <w:rPr>
          <w:rFonts w:eastAsia="宋体"/>
          <w:color w:val="000000"/>
          <w:sz w:val="24"/>
          <w:szCs w:val="24"/>
        </w:rPr>
        <w:t>结论</w:t>
      </w:r>
      <w:r>
        <w:rPr>
          <w:rFonts w:eastAsia="宋体"/>
          <w:color w:val="000000"/>
          <w:sz w:val="24"/>
          <w:szCs w:val="24"/>
        </w:rPr>
        <w:t>：已裁决；仅统一项目称谓，不改变功能、范围或验收。</w:t>
      </w:r>
    </w:p>
    <w:p>
      <w:pPr>
        <w:pStyle w:val="1"/>
        <w:spacing w:before="240" w:after="160"/>
      </w:pPr>
      <w:r>
        <w:rPr>
          <w:rFonts w:eastAsia="黑体"/>
          <w:b/>
          <w:bCs/>
        </w:rPr>
        <w:t>3 对后续任务的输入</w:t>
      </w:r>
    </w:p>
    <w:p>
      <w:pPr>
        <w:pStyle w:val="a4"/>
        <w:numPr>
          <w:ilvl w:val="0"/>
          <w:numId w:val="1"/>
        </w:numPr>
        <w:spacing w:after="60" w:line="360" w:lineRule="auto"/>
      </w:pPr>
      <w:r>
        <w:rPr>
          <w:rFonts w:eastAsia="宋体"/>
          <w:sz w:val="24"/>
          <w:szCs w:val="24"/>
        </w:rPr>
        <w:t xml:space="preserve">1. </w:t>
      </w:r>
      <w:r>
        <w:rPr>
          <w:rFonts w:eastAsia="宋体"/>
          <w:b/>
          <w:sz w:val="24"/>
          <w:szCs w:val="24"/>
        </w:rPr>
        <w:t>G2-06 RTM</w:t>
      </w:r>
      <w:r>
        <w:rPr>
          <w:rFonts w:eastAsia="宋体"/>
          <w:sz w:val="24"/>
          <w:szCs w:val="24"/>
        </w:rPr>
        <w:t xml:space="preserve">：将每条 </w:t>
      </w:r>
      <w:r>
        <w:rPr>
          <w:rFonts w:eastAsia="宋体"/>
          <w:sz w:val="24"/>
          <w:szCs w:val="24"/>
        </w:rPr>
        <w:t>G2-CLR</w:t>
      </w:r>
      <w:r>
        <w:rPr>
          <w:rFonts w:eastAsia="宋体"/>
          <w:sz w:val="24"/>
          <w:szCs w:val="24"/>
        </w:rPr>
        <w:t xml:space="preserve"> 作为“裁决/边界”证据列，与受影响 G2-FR、AC 和后续测试证据建立关联；不把“待验证”记为测试通过。</w:t>
      </w:r>
    </w:p>
    <w:p>
      <w:pPr>
        <w:pStyle w:val="a4"/>
        <w:numPr>
          <w:ilvl w:val="0"/>
          <w:numId w:val="1"/>
        </w:numPr>
        <w:spacing w:after="60" w:line="360" w:lineRule="auto"/>
      </w:pPr>
      <w:r>
        <w:rPr>
          <w:rFonts w:eastAsia="宋体"/>
          <w:sz w:val="24"/>
          <w:szCs w:val="24"/>
        </w:rPr>
        <w:t xml:space="preserve">2. </w:t>
      </w:r>
      <w:r>
        <w:rPr>
          <w:rFonts w:eastAsia="宋体"/>
          <w:b/>
          <w:sz w:val="24"/>
          <w:szCs w:val="24"/>
        </w:rPr>
        <w:t>G2-07 M2 评审</w:t>
      </w:r>
      <w:r>
        <w:rPr>
          <w:rFonts w:eastAsia="宋体"/>
          <w:sz w:val="24"/>
          <w:szCs w:val="24"/>
        </w:rPr>
        <w:t>：检查视频、消息连通性是否已有真实证据；其余接口、环境、性能、安全和部署事项按各自验证前置列出，不以本记录代替联调或验收。</w:t>
      </w:r>
    </w:p>
    <w:p>
      <w:pPr>
        <w:pStyle w:val="a4"/>
        <w:numPr>
          <w:ilvl w:val="0"/>
          <w:numId w:val="1"/>
        </w:numPr>
        <w:spacing w:after="60" w:line="360" w:lineRule="auto"/>
      </w:pPr>
      <w:r>
        <w:rPr>
          <w:rFonts w:eastAsia="宋体"/>
          <w:sz w:val="24"/>
          <w:szCs w:val="24"/>
        </w:rPr>
        <w:t xml:space="preserve">3. </w:t>
      </w:r>
      <w:r>
        <w:rPr>
          <w:rFonts w:eastAsia="宋体"/>
          <w:b/>
          <w:sz w:val="24"/>
          <w:szCs w:val="24"/>
        </w:rPr>
        <w:t>变更门禁</w:t>
      </w:r>
      <w:r>
        <w:rPr>
          <w:rFonts w:eastAsia="宋体"/>
          <w:sz w:val="24"/>
          <w:szCs w:val="24"/>
        </w:rPr>
        <w:t>：任何与本记录裁决相反的新事实、接口限制、范围或数字，必须先登记 Issue 并获得授权，随后同步 SRS、spec、RTM 与本记录。</w:t>
      </w:r>
    </w:p>
    <w:p>
      <w:pPr>
        <w:pStyle w:val="1"/>
        <w:spacing w:before="240" w:after="160"/>
      </w:pPr>
      <w:r>
        <w:rPr>
          <w:rFonts w:eastAsia="黑体"/>
          <w:b/>
          <w:bCs/>
        </w:rPr>
        <w:t>4 自检</w:t>
      </w:r>
    </w:p>
    <w:p>
      <w:pPr>
        <w:pStyle w:val="a4"/>
        <w:numPr>
          <w:ilvl w:val="0"/>
          <w:numId w:val="1"/>
        </w:numPr>
        <w:spacing w:after="60" w:line="360" w:lineRule="auto"/>
      </w:pPr>
      <w:r>
        <w:rPr>
          <w:rFonts w:eastAsia="宋体"/>
          <w:sz w:val="24"/>
          <w:szCs w:val="24"/>
        </w:rPr>
        <w:t>12 条记录均有唯一编号、AI 反向问题、影响、既有人工裁决、来源、SRS/spec 落点、验证方式和结论。</w:t>
      </w:r>
    </w:p>
    <w:p>
      <w:pPr>
        <w:pStyle w:val="a4"/>
        <w:numPr>
          <w:ilvl w:val="0"/>
          <w:numId w:val="1"/>
        </w:numPr>
        <w:spacing w:after="60" w:line="360" w:lineRule="auto"/>
      </w:pPr>
      <w:r>
        <w:rPr>
          <w:rFonts w:eastAsia="宋体"/>
          <w:sz w:val="24"/>
          <w:szCs w:val="24"/>
        </w:rPr>
        <w:t>12 项裁决均为既有 DEC-001—DEC-012 的转录和追踪，没有由 AI 新增甲方决定。</w:t>
      </w:r>
    </w:p>
    <w:p>
      <w:pPr>
        <w:pStyle w:val="a4"/>
        <w:numPr>
          <w:ilvl w:val="0"/>
          <w:numId w:val="1"/>
        </w:numPr>
        <w:spacing w:after="60" w:line="360" w:lineRule="auto"/>
      </w:pPr>
      <w:r>
        <w:rPr>
          <w:rFonts w:eastAsia="宋体"/>
          <w:sz w:val="24"/>
          <w:szCs w:val="24"/>
        </w:rPr>
        <w:t>文本未新增功能、★属性、数字、SLA 或范围外承诺；尚未形成的能力均明确为待验证。</w:t>
      </w:r>
    </w:p>
    <w:p>
      <w:pPr>
        <w:pStyle w:val="a4"/>
        <w:numPr>
          <w:ilvl w:val="0"/>
          <w:numId w:val="1"/>
        </w:numPr>
        <w:spacing w:after="60" w:line="360" w:lineRule="auto"/>
      </w:pPr>
      <w:r>
        <w:rPr>
          <w:rFonts w:eastAsia="宋体"/>
          <w:sz w:val="24"/>
          <w:szCs w:val="24"/>
        </w:rPr>
        <w:t>待 B 复核裁决映射、技术边界与后续验证可执行性；通过后才可将 G2-05 标记为 DONE。</w:t>
      </w:r>
    </w:p>
    <w:sectPr w:rsidR="005D7E4B">
      <w:footerReference w:type="default" r:id="rId9"/>
      <w:head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6C6F0" w14:textId="77777777" w:rsidR="00022F44" w:rsidRDefault="00022F44">
      <w:r>
        <w:separator/>
      </w:r>
    </w:p>
  </w:endnote>
  <w:endnote w:type="continuationSeparator" w:id="0">
    <w:p w14:paraId="22D02F92" w14:textId="77777777" w:rsidR="00022F44" w:rsidRDefault="00022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4AF35" w14:textId="77777777" w:rsidR="005D7E4B" w:rsidRDefault="0025628B">
    <w:pPr>
      <w:jc w:val="center"/>
    </w:pPr>
    <w:r>
      <w:rPr>
        <w:color w:val="000000"/>
        <w:sz w:val="18"/>
        <w:szCs w:val="18"/>
      </w:rPr>
      <w:fldChar w:fldCharType="begin"/>
    </w:r>
    <w:r>
      <w:rPr>
        <w:color w:val="000000"/>
        <w:sz w:val="18"/>
        <w:szCs w:val="18"/>
      </w:rPr>
      <w:instrText>PAGE</w:instrText>
    </w:r>
    <w:r>
      <w:rPr>
        <w:color w:val="000000"/>
        <w:sz w:val="18"/>
        <w:szCs w:val="18"/>
      </w:rPr>
      <w:fldChar w:fldCharType="separate"/>
    </w:r>
    <w:r w:rsidR="004D4B12">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0CB68" w14:textId="77777777" w:rsidR="00022F44" w:rsidRDefault="00022F44">
      <w:r>
        <w:separator/>
      </w:r>
    </w:p>
  </w:footnote>
  <w:footnote w:type="continuationSeparator" w:id="0">
    <w:p w14:paraId="03C081E3" w14:textId="77777777" w:rsidR="00022F44" w:rsidRDefault="00022F4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96C05"/>
    <w:multiLevelType w:val="hybridMultilevel"/>
    <w:tmpl w:val="B6241CCA"/>
    <w:lvl w:ilvl="0" w:tplc="B0A42A30">
      <w:start w:val="1"/>
      <w:numFmt w:val="bullet"/>
      <w:lvlText w:val="●"/>
      <w:lvlJc w:val="left"/>
      <w:pPr>
        <w:ind w:left="720" w:hanging="360"/>
      </w:pPr>
    </w:lvl>
    <w:lvl w:ilvl="1" w:tplc="C3A64AC2">
      <w:start w:val="1"/>
      <w:numFmt w:val="bullet"/>
      <w:lvlText w:val="○"/>
      <w:lvlJc w:val="left"/>
      <w:pPr>
        <w:ind w:left="1440" w:hanging="360"/>
      </w:pPr>
    </w:lvl>
    <w:lvl w:ilvl="2" w:tplc="7FD8F326">
      <w:start w:val="1"/>
      <w:numFmt w:val="bullet"/>
      <w:lvlText w:val="■"/>
      <w:lvlJc w:val="left"/>
      <w:pPr>
        <w:ind w:left="2160" w:hanging="360"/>
      </w:pPr>
    </w:lvl>
    <w:lvl w:ilvl="3" w:tplc="99200C56">
      <w:start w:val="1"/>
      <w:numFmt w:val="bullet"/>
      <w:lvlText w:val="●"/>
      <w:lvlJc w:val="left"/>
      <w:pPr>
        <w:ind w:left="2880" w:hanging="360"/>
      </w:pPr>
    </w:lvl>
    <w:lvl w:ilvl="4" w:tplc="ABCC2116">
      <w:start w:val="1"/>
      <w:numFmt w:val="bullet"/>
      <w:lvlText w:val="○"/>
      <w:lvlJc w:val="left"/>
      <w:pPr>
        <w:ind w:left="3600" w:hanging="360"/>
      </w:pPr>
    </w:lvl>
    <w:lvl w:ilvl="5" w:tplc="92289F58">
      <w:start w:val="1"/>
      <w:numFmt w:val="bullet"/>
      <w:lvlText w:val="■"/>
      <w:lvlJc w:val="left"/>
      <w:pPr>
        <w:ind w:left="4320" w:hanging="360"/>
      </w:pPr>
    </w:lvl>
    <w:lvl w:ilvl="6" w:tplc="6CDCB61C">
      <w:start w:val="1"/>
      <w:numFmt w:val="bullet"/>
      <w:lvlText w:val="●"/>
      <w:lvlJc w:val="left"/>
      <w:pPr>
        <w:ind w:left="5040" w:hanging="360"/>
      </w:pPr>
    </w:lvl>
    <w:lvl w:ilvl="7" w:tplc="D7F67F8A">
      <w:start w:val="1"/>
      <w:numFmt w:val="bullet"/>
      <w:lvlText w:val="●"/>
      <w:lvlJc w:val="left"/>
      <w:pPr>
        <w:ind w:left="5760" w:hanging="360"/>
      </w:pPr>
    </w:lvl>
    <w:lvl w:ilvl="8" w:tplc="6000399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E4B"/>
    <w:rsid w:val="00022F44"/>
    <w:rsid w:val="0025628B"/>
    <w:rsid w:val="004D4B12"/>
    <w:rsid w:val="005D7E4B"/>
    <w:rsid w:val="00D429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7441E3"/>
  <w15:docId w15:val="{17884C19-89ED-48A1-A5FD-07816DE26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000000"/>
      <w:sz w:val="32"/>
      <w:szCs w:val="32"/>
    </w:rPr>
  </w:style>
  <w:style w:type="paragraph" w:styleId="2">
    <w:name w:val="heading 2"/>
    <w:uiPriority w:val="9"/>
    <w:unhideWhenUsed/>
    <w:qFormat/>
    <w:pPr>
      <w:outlineLvl w:val="1"/>
    </w:pPr>
    <w:rPr>
      <w:color w:val="000000"/>
      <w:sz w:val="26"/>
      <w:szCs w:val="26"/>
    </w:rPr>
  </w:style>
  <w:style w:type="paragraph" w:styleId="3">
    <w:name w:val="heading 3"/>
    <w:uiPriority w:val="9"/>
    <w:semiHidden/>
    <w:unhideWhenUsed/>
    <w:qFormat/>
    <w:pPr>
      <w:outlineLvl w:val="2"/>
    </w:pPr>
    <w:rPr>
      <w:color w:val="000000"/>
      <w:sz w:val="24"/>
      <w:szCs w:val="24"/>
    </w:rPr>
  </w:style>
  <w:style w:type="paragraph" w:styleId="4">
    <w:name w:val="heading 4"/>
    <w:uiPriority w:val="9"/>
    <w:semiHidden/>
    <w:unhideWhenUsed/>
    <w:qFormat/>
    <w:pPr>
      <w:outlineLvl w:val="3"/>
    </w:pPr>
    <w:rPr>
      <w:i/>
      <w:iCs/>
      <w:color w:val="000000"/>
    </w:rPr>
  </w:style>
  <w:style w:type="paragraph" w:styleId="5">
    <w:name w:val="heading 5"/>
    <w:uiPriority w:val="9"/>
    <w:semiHidden/>
    <w:unhideWhenUsed/>
    <w:qFormat/>
    <w:pPr>
      <w:outlineLvl w:val="4"/>
    </w:pPr>
    <w:rPr>
      <w:color w:val="000000"/>
    </w:rPr>
  </w:style>
  <w:style w:type="paragraph" w:styleId="6">
    <w:name w:val="heading 6"/>
    <w:uiPriority w:val="9"/>
    <w:semiHidden/>
    <w:unhideWhenUsed/>
    <w:qFormat/>
    <w:pPr>
      <w:outlineLvl w:val="5"/>
    </w:pPr>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color w:val="000000"/>
      <w:sz w:val="56"/>
      <w:szCs w:val="56"/>
    </w:rPr>
  </w:style>
  <w:style w:type="paragraph" w:customStyle="1" w:styleId="10">
    <w:name w:val="要点1"/>
    <w:qFormat/>
    <w:rPr>
      <w:b/>
      <w:bCs/>
      <w:color w:val="000000"/>
    </w:rPr>
  </w:style>
  <w:style w:type="paragraph" w:styleId="a4">
    <w:name w:val="List Paragraph"/>
    <w:qFormat/>
    <w:rPr>
      <w:color w:val="000000"/>
    </w:rPr>
  </w:style>
  <w:style w:type="character" w:styleId="a5">
    <w:name w:val="Hyperlink"/>
    <w:uiPriority w:val="99"/>
    <w:unhideWhenUsed/>
    <w:rPr>
      <w:color w:val="000000"/>
      <w:u w:val="single"/>
    </w:rPr>
  </w:style>
  <w:style w:type="character" w:styleId="a6">
    <w:name w:val="footnote reference"/>
    <w:uiPriority w:val="99"/>
    <w:semiHidden/>
    <w:unhideWhenUsed/>
    <w:rPr>
      <w:color w:val="000000"/>
      <w:vertAlign w:val="superscript"/>
    </w:rPr>
  </w:style>
  <w:style w:type="paragraph" w:styleId="a7">
    <w:name w:val="footnote text"/>
    <w:link w:val="a8"/>
    <w:uiPriority w:val="99"/>
    <w:semiHidden/>
    <w:unhideWhenUsed/>
    <w:rPr>
      <w:color w:val="000000"/>
    </w:rPr>
  </w:style>
  <w:style w:type="character" w:customStyle="1" w:styleId="a8">
    <w:name w:val="脚注文本 字符"/>
    <w:link w:val="a7"/>
    <w:uiPriority w:val="99"/>
    <w:semiHidden/>
    <w:unhideWhenUsed/>
    <w:rPr>
      <w:color w:val="000000"/>
      <w:sz w:val="20"/>
      <w:szCs w:val="20"/>
    </w:rPr>
  </w:style>
  <w:style w:type="character" w:styleId="a9">
    <w:name w:val="endnote reference"/>
    <w:uiPriority w:val="99"/>
    <w:semiHidden/>
    <w:unhideWhenUsed/>
    <w:rPr>
      <w:color w:val="000000"/>
      <w:vertAlign w:val="superscript"/>
    </w:rPr>
  </w:style>
  <w:style w:type="paragraph" w:styleId="aa">
    <w:name w:val="endnote text"/>
    <w:link w:val="ab"/>
    <w:uiPriority w:val="99"/>
    <w:semiHidden/>
    <w:unhideWhenUsed/>
    <w:rPr>
      <w:color w:val="000000"/>
    </w:rPr>
  </w:style>
  <w:style w:type="character" w:customStyle="1" w:styleId="ab">
    <w:name w:val="尾注文本 字符"/>
    <w:link w:val="aa"/>
    <w:uiPriority w:val="99"/>
    <w:semiHidden/>
    <w:unhideWhenUsed/>
    <w:rPr>
      <w:color w:val="000000"/>
      <w:sz w:val="20"/>
      <w:szCs w:val="20"/>
    </w:rPr>
  </w:style>
  <w:style w:type="paragraph" w:styleId="ac">
    <w:name w:val="header"/>
    <w:basedOn w:val="a"/>
    <w:link w:val="ad"/>
    <w:uiPriority w:val="99"/>
    <w:unhideWhenUsed/>
    <w:rsid w:val="004D4B12"/>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4D4B12"/>
    <w:rPr>
      <w:sz w:val="18"/>
      <w:szCs w:val="18"/>
    </w:rPr>
  </w:style>
  <w:style w:type="paragraph" w:styleId="ae">
    <w:name w:val="footer"/>
    <w:basedOn w:val="a"/>
    <w:link w:val="af"/>
    <w:uiPriority w:val="99"/>
    <w:unhideWhenUsed/>
    <w:rsid w:val="004D4B12"/>
    <w:pPr>
      <w:tabs>
        <w:tab w:val="center" w:pos="4153"/>
        <w:tab w:val="right" w:pos="8306"/>
      </w:tabs>
      <w:snapToGrid w:val="0"/>
      <w:jc w:val="left"/>
    </w:pPr>
    <w:rPr>
      <w:sz w:val="18"/>
      <w:szCs w:val="18"/>
    </w:rPr>
  </w:style>
  <w:style w:type="character" w:customStyle="1" w:styleId="af">
    <w:name w:val="页脚 字符"/>
    <w:basedOn w:val="a0"/>
    <w:link w:val="ae"/>
    <w:uiPriority w:val="99"/>
    <w:rsid w:val="004D4B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682</Words>
  <Characters>3891</Characters>
  <Application>Microsoft Office Word</Application>
  <DocSecurity>0</DocSecurity>
  <Lines>32</Lines>
  <Paragraphs>9</Paragraphs>
  <ScaleCrop>false</ScaleCrop>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反向澄清记录（教学样例）</dc:title>
  <dc:creator>课程教学组</dc:creator>
  <cp:lastModifiedBy>晓雷 李</cp:lastModifiedBy>
  <cp:revision>2</cp:revision>
  <dcterms:created xsi:type="dcterms:W3CDTF">2026-08-26T04:13:00Z</dcterms:created>
  <dcterms:modified xsi:type="dcterms:W3CDTF">2026-09-06T14:25:00Z</dcterms:modified>
</cp:coreProperties>
</file>