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386975">
      <w:pPr>
        <w:spacing w:after="80"/>
        <w:jc w:val="right"/>
        <w:rPr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文档编号：YJGL-G3-11　　版本号：V0.1</w:t>
      </w:r>
    </w:p>
    <w:p w14:paraId="0D32676D">
      <w:pPr>
        <w:spacing w:before="1200" w:after="360"/>
        <w:jc w:val="right"/>
        <w:rPr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密　　级：内部 · 教学用</w:t>
      </w:r>
    </w:p>
    <w:p w14:paraId="61B683BB">
      <w:pPr>
        <w:spacing w:before="2000" w:after="480"/>
        <w:jc w:val="center"/>
      </w:pPr>
    </w:p>
    <w:p w14:paraId="31E8938C">
      <w:pPr>
        <w:pBdr>
          <w:bottom w:val="single" w:color="000000" w:sz="12" w:space="8"/>
        </w:pBdr>
        <w:spacing w:before="240" w:after="360"/>
        <w:jc w:val="center"/>
        <w:rPr>
          <w:b/>
          <w:bCs/>
          <w:sz w:val="44"/>
          <w:szCs w:val="44"/>
        </w:rPr>
      </w:pPr>
      <w:r>
        <w:rPr>
          <w:rFonts w:ascii="Times New Roman" w:hAnsi="Times New Roman" w:eastAsia="宋体"/>
          <w:b/>
          <w:bCs/>
          <w:sz w:val="44"/>
          <w:szCs w:val="44"/>
        </w:rPr>
        <w:t>某自然博物馆智能运营中心建设项目——应急管理子系统</w:t>
      </w:r>
    </w:p>
    <w:p w14:paraId="427129F1">
      <w:pPr>
        <w:spacing w:before="520" w:after="200"/>
        <w:jc w:val="center"/>
        <w:rPr>
          <w:b/>
          <w:bCs/>
          <w:sz w:val="56"/>
          <w:szCs w:val="56"/>
        </w:rPr>
      </w:pPr>
      <w:r>
        <w:rPr>
          <w:rFonts w:ascii="Times New Roman" w:hAnsi="Times New Roman" w:eastAsia="宋体"/>
          <w:b/>
          <w:bCs/>
          <w:sz w:val="56"/>
          <w:szCs w:val="56"/>
        </w:rPr>
        <w:t>项目管理计划</w:t>
      </w:r>
    </w:p>
    <w:p w14:paraId="0A62D25A">
      <w:pPr>
        <w:spacing w:after="80"/>
        <w:jc w:val="center"/>
        <w:rPr>
          <w:rFonts w:hint="eastAsia"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</w:rPr>
        <w:t>（G3-11 评审候选）</w:t>
      </w:r>
    </w:p>
    <w:p w14:paraId="0C2C8B55">
      <w:pPr>
        <w:spacing w:before="1600" w:after="80"/>
        <w:jc w:val="center"/>
      </w:pPr>
    </w:p>
    <w:p w14:paraId="23E9FE0B">
      <w:pPr>
        <w:spacing w:after="200"/>
        <w:ind w:left="2126" w:leftChars="1063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编制单位：020202项目组【待人工确认】</w:t>
      </w:r>
    </w:p>
    <w:p w14:paraId="62C3AE61">
      <w:pPr>
        <w:spacing w:after="200"/>
        <w:ind w:left="2126" w:leftChars="1063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编　　制：何思源（项目经理 / 总编）</w:t>
      </w:r>
    </w:p>
    <w:p w14:paraId="0805BCE6">
      <w:pPr>
        <w:spacing w:after="200"/>
        <w:ind w:left="2126" w:leftChars="1063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审　　核：任俊强（需求与质量负责人）</w:t>
      </w:r>
    </w:p>
    <w:p w14:paraId="5F2C681E">
      <w:pPr>
        <w:spacing w:after="200"/>
        <w:ind w:left="2126" w:leftChars="1063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批　　准：【待人工确认】</w:t>
      </w:r>
    </w:p>
    <w:p w14:paraId="45A33950">
      <w:pPr>
        <w:spacing w:before="200" w:after="80"/>
        <w:ind w:left="2126" w:leftChars="1063"/>
        <w:jc w:val="left"/>
        <w:rPr>
          <w:rFonts w:hint="eastAsia"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 w:cs="仿宋"/>
          <w:sz w:val="32"/>
          <w:szCs w:val="32"/>
        </w:rPr>
        <w:t>编制日期：2026 年 9 月 19 日</w:t>
      </w:r>
    </w:p>
    <w:p w14:paraId="21DA99EA">
      <w:r>
        <w:rPr>
          <w:color w:val="000000"/>
        </w:rPr>
        <w:br w:type="page"/>
      </w:r>
    </w:p>
    <w:p w14:paraId="5A4F7668">
      <w:pPr>
        <w:spacing w:before="120" w:after="120"/>
        <w:jc w:val="center"/>
      </w:pPr>
      <w:r>
        <w:rPr>
          <w:rFonts w:ascii="Times New Roman" w:hAnsi="Times New Roman" w:eastAsia="宋体"/>
        </w:rPr>
        <w:t>修订记录</w:t>
      </w:r>
    </w:p>
    <w:tbl>
      <w:tblPr>
        <w:tblStyle w:val="15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88"/>
        <w:gridCol w:w="1360"/>
        <w:gridCol w:w="3265"/>
        <w:gridCol w:w="1360"/>
        <w:gridCol w:w="1995"/>
      </w:tblGrid>
      <w:tr w14:paraId="58FD40F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  <w:jc w:val="center"/>
        </w:trPr>
        <w:tc>
          <w:tcPr>
            <w:tcW w:w="1088" w:type="dxa"/>
            <w:shd w:val="clear" w:color="auto" w:fill="D9E2EC"/>
            <w:vAlign w:val="center"/>
          </w:tcPr>
          <w:p w14:paraId="1174756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版本</w:t>
            </w:r>
          </w:p>
        </w:tc>
        <w:tc>
          <w:tcPr>
            <w:tcW w:w="1360" w:type="dxa"/>
            <w:shd w:val="clear" w:color="auto" w:fill="D9E2EC"/>
            <w:vAlign w:val="center"/>
          </w:tcPr>
          <w:p w14:paraId="72965AA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日期</w:t>
            </w:r>
          </w:p>
        </w:tc>
        <w:tc>
          <w:tcPr>
            <w:tcW w:w="3265" w:type="dxa"/>
            <w:shd w:val="clear" w:color="auto" w:fill="D9E2EC"/>
            <w:vAlign w:val="center"/>
          </w:tcPr>
          <w:p w14:paraId="55479F3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修订章节</w:t>
            </w:r>
          </w:p>
        </w:tc>
        <w:tc>
          <w:tcPr>
            <w:tcW w:w="1360" w:type="dxa"/>
            <w:shd w:val="clear" w:color="auto" w:fill="D9E2EC"/>
            <w:vAlign w:val="center"/>
          </w:tcPr>
          <w:p w14:paraId="19104E7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修订说明</w:t>
            </w:r>
          </w:p>
        </w:tc>
        <w:tc>
          <w:tcPr>
            <w:tcW w:w="1995" w:type="dxa"/>
            <w:shd w:val="clear" w:color="auto" w:fill="D9E2EC"/>
            <w:vAlign w:val="center"/>
          </w:tcPr>
          <w:p w14:paraId="01EECD7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编制/修订人</w:t>
            </w:r>
          </w:p>
        </w:tc>
      </w:tr>
      <w:tr w14:paraId="464C851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088" w:type="dxa"/>
            <w:vAlign w:val="center"/>
          </w:tcPr>
          <w:p w14:paraId="5E54CE9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V0.1</w:t>
            </w:r>
          </w:p>
        </w:tc>
        <w:tc>
          <w:tcPr>
            <w:tcW w:w="1360" w:type="dxa"/>
            <w:vAlign w:val="center"/>
          </w:tcPr>
          <w:p w14:paraId="2DD394E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2026-09-19</w:t>
            </w:r>
          </w:p>
        </w:tc>
        <w:tc>
          <w:tcPr>
            <w:tcW w:w="3265" w:type="dxa"/>
            <w:vAlign w:val="center"/>
          </w:tcPr>
          <w:p w14:paraId="1B8C577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全文</w:t>
            </w:r>
          </w:p>
        </w:tc>
        <w:tc>
          <w:tcPr>
            <w:tcW w:w="1360" w:type="dxa"/>
            <w:vAlign w:val="center"/>
          </w:tcPr>
          <w:p w14:paraId="518F9DE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建立 G3-11 项目管理计划候选，形成范围、资源、里程碑、偏差与 AC-G2-FR-015-03 管理抽查规则。</w:t>
            </w:r>
          </w:p>
        </w:tc>
        <w:tc>
          <w:tcPr>
            <w:tcW w:w="1995" w:type="dxa"/>
            <w:vAlign w:val="center"/>
          </w:tcPr>
          <w:p w14:paraId="4ACBC23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何思源</w:t>
            </w:r>
          </w:p>
        </w:tc>
      </w:tr>
    </w:tbl>
    <w:p w14:paraId="7C17A7A1">
      <w:bookmarkStart w:id="0" w:name="_GoBack"/>
      <w:bookmarkEnd w:id="0"/>
      <w:r>
        <w:rPr>
          <w:color w:val="000000"/>
        </w:rPr>
        <w:br w:type="page"/>
      </w:r>
    </w:p>
    <w:p w14:paraId="156E5D21">
      <w:pPr>
        <w:pageBreakBefore/>
      </w:pPr>
    </w:p>
    <w:p w14:paraId="351504E2">
      <w:pPr>
        <w:spacing w:after="240"/>
        <w:jc w:val="center"/>
      </w:pPr>
      <w:r>
        <w:rPr>
          <w:rFonts w:eastAsia="黑体"/>
          <w:b/>
          <w:bCs/>
          <w:color w:val="000000"/>
          <w:sz w:val="32"/>
          <w:szCs w:val="32"/>
        </w:rPr>
        <w:t>目　　录</w:t>
      </w:r>
    </w:p>
    <w:p w14:paraId="416303C0">
      <w:pPr>
        <w:pStyle w:val="11"/>
        <w:tabs>
          <w:tab w:val="right" w:leader="dot" w:pos="8500"/>
        </w:tabs>
      </w:pPr>
      <w:r>
        <w:t>1 引言</w:t>
      </w:r>
      <w:r>
        <w:tab/>
      </w:r>
      <w:r>
        <w:t>1</w:t>
      </w:r>
    </w:p>
    <w:p w14:paraId="11F45174">
      <w:pPr>
        <w:pStyle w:val="13"/>
        <w:tabs>
          <w:tab w:val="right" w:leader="dot" w:pos="8500"/>
        </w:tabs>
      </w:pPr>
      <w:r>
        <w:t>1.1 编写目的</w:t>
      </w:r>
      <w:r>
        <w:tab/>
      </w:r>
      <w:r>
        <w:t>1</w:t>
      </w:r>
    </w:p>
    <w:p w14:paraId="519204BA">
      <w:pPr>
        <w:pStyle w:val="13"/>
        <w:tabs>
          <w:tab w:val="right" w:leader="dot" w:pos="8500"/>
        </w:tabs>
      </w:pPr>
      <w:r>
        <w:t>1.2 项目概况</w:t>
      </w:r>
      <w:r>
        <w:tab/>
      </w:r>
      <w:r>
        <w:t>1</w:t>
      </w:r>
    </w:p>
    <w:p w14:paraId="6C888C1C">
      <w:pPr>
        <w:pStyle w:val="13"/>
        <w:tabs>
          <w:tab w:val="right" w:leader="dot" w:pos="8500"/>
        </w:tabs>
      </w:pPr>
      <w:r>
        <w:t>1.3 管理原则</w:t>
      </w:r>
      <w:r>
        <w:tab/>
      </w:r>
      <w:r>
        <w:t>1</w:t>
      </w:r>
    </w:p>
    <w:p w14:paraId="6C8846F5">
      <w:pPr>
        <w:pStyle w:val="11"/>
        <w:tabs>
          <w:tab w:val="right" w:leader="dot" w:pos="8500"/>
        </w:tabs>
      </w:pPr>
      <w:r>
        <w:t>2 范围管理</w:t>
      </w:r>
      <w:r>
        <w:tab/>
      </w:r>
      <w:r>
        <w:t>1</w:t>
      </w:r>
    </w:p>
    <w:p w14:paraId="5D147A8B">
      <w:pPr>
        <w:pStyle w:val="13"/>
        <w:tabs>
          <w:tab w:val="right" w:leader="dot" w:pos="8500"/>
        </w:tabs>
      </w:pPr>
      <w:r>
        <w:t>2.1 范围基线</w:t>
      </w:r>
      <w:r>
        <w:tab/>
      </w:r>
      <w:r>
        <w:t>1</w:t>
      </w:r>
    </w:p>
    <w:p w14:paraId="3E94F8DD">
      <w:pPr>
        <w:pStyle w:val="13"/>
        <w:tabs>
          <w:tab w:val="right" w:leader="dot" w:pos="8500"/>
        </w:tabs>
      </w:pPr>
      <w:r>
        <w:t>2.2 范围控制</w:t>
      </w:r>
      <w:r>
        <w:tab/>
      </w:r>
      <w:r>
        <w:t>1</w:t>
      </w:r>
    </w:p>
    <w:p w14:paraId="0C3AD683">
      <w:pPr>
        <w:pStyle w:val="13"/>
        <w:tabs>
          <w:tab w:val="right" w:leader="dot" w:pos="8500"/>
        </w:tabs>
      </w:pPr>
      <w:r>
        <w:t>2.3 交付物与工作分解</w:t>
      </w:r>
      <w:r>
        <w:tab/>
      </w:r>
      <w:r>
        <w:t>1</w:t>
      </w:r>
    </w:p>
    <w:p w14:paraId="5C1B7A23">
      <w:pPr>
        <w:pStyle w:val="11"/>
        <w:tabs>
          <w:tab w:val="right" w:leader="dot" w:pos="8500"/>
        </w:tabs>
      </w:pPr>
      <w:r>
        <w:t>3 组织与资源管理</w:t>
      </w:r>
      <w:r>
        <w:tab/>
      </w:r>
      <w:r>
        <w:t>2</w:t>
      </w:r>
    </w:p>
    <w:p w14:paraId="201B8102">
      <w:pPr>
        <w:pStyle w:val="13"/>
        <w:tabs>
          <w:tab w:val="right" w:leader="dot" w:pos="8500"/>
        </w:tabs>
      </w:pPr>
      <w:r>
        <w:t>3.1 组织与职责</w:t>
      </w:r>
      <w:r>
        <w:tab/>
      </w:r>
      <w:r>
        <w:t>2</w:t>
      </w:r>
    </w:p>
    <w:p w14:paraId="1DAA4D2A">
      <w:pPr>
        <w:pStyle w:val="13"/>
        <w:tabs>
          <w:tab w:val="right" w:leader="dot" w:pos="8500"/>
        </w:tabs>
      </w:pPr>
      <w:r>
        <w:t>3.2 资源与 WIP</w:t>
      </w:r>
      <w:r>
        <w:tab/>
      </w:r>
      <w:r>
        <w:t>2</w:t>
      </w:r>
    </w:p>
    <w:p w14:paraId="10982BC6">
      <w:pPr>
        <w:pStyle w:val="11"/>
        <w:tabs>
          <w:tab w:val="right" w:leader="dot" w:pos="8500"/>
        </w:tabs>
      </w:pPr>
      <w:r>
        <w:t>4 进度与里程碑管理</w:t>
      </w:r>
      <w:r>
        <w:tab/>
      </w:r>
      <w:r>
        <w:t>2</w:t>
      </w:r>
    </w:p>
    <w:p w14:paraId="41926BC8">
      <w:pPr>
        <w:pStyle w:val="13"/>
        <w:tabs>
          <w:tab w:val="right" w:leader="dot" w:pos="8500"/>
        </w:tabs>
      </w:pPr>
      <w:r>
        <w:t>4.1 里程碑与依赖</w:t>
      </w:r>
      <w:r>
        <w:tab/>
      </w:r>
      <w:r>
        <w:t>2</w:t>
      </w:r>
    </w:p>
    <w:p w14:paraId="6F42A6FB">
      <w:pPr>
        <w:pStyle w:val="13"/>
        <w:tabs>
          <w:tab w:val="right" w:leader="dot" w:pos="8500"/>
        </w:tabs>
      </w:pPr>
      <w:r>
        <w:t>4.2 进度控制</w:t>
      </w:r>
      <w:r>
        <w:tab/>
      </w:r>
      <w:r>
        <w:t>3</w:t>
      </w:r>
    </w:p>
    <w:p w14:paraId="38E256F7">
      <w:pPr>
        <w:pStyle w:val="13"/>
        <w:tabs>
          <w:tab w:val="right" w:leader="dot" w:pos="8500"/>
        </w:tabs>
      </w:pPr>
      <w:r>
        <w:t>4.3 进度缓冲</w:t>
      </w:r>
      <w:r>
        <w:tab/>
      </w:r>
      <w:r>
        <w:t>3</w:t>
      </w:r>
    </w:p>
    <w:p w14:paraId="7BCD6E74">
      <w:pPr>
        <w:pStyle w:val="11"/>
        <w:tabs>
          <w:tab w:val="right" w:leader="dot" w:pos="8500"/>
        </w:tabs>
      </w:pPr>
      <w:r>
        <w:t>5 沟通与决策管理</w:t>
      </w:r>
      <w:r>
        <w:tab/>
      </w:r>
      <w:r>
        <w:t>3</w:t>
      </w:r>
    </w:p>
    <w:p w14:paraId="5ADF98C1">
      <w:pPr>
        <w:pStyle w:val="11"/>
        <w:tabs>
          <w:tab w:val="right" w:leader="dot" w:pos="8500"/>
        </w:tabs>
      </w:pPr>
      <w:r>
        <w:t>6 质量、配置与交付管理</w:t>
      </w:r>
      <w:r>
        <w:tab/>
      </w:r>
      <w:r>
        <w:t>3</w:t>
      </w:r>
    </w:p>
    <w:p w14:paraId="395B609B">
      <w:pPr>
        <w:pStyle w:val="13"/>
        <w:tabs>
          <w:tab w:val="right" w:leader="dot" w:pos="8500"/>
        </w:tabs>
      </w:pPr>
      <w:r>
        <w:t>6.1 质量门禁</w:t>
      </w:r>
      <w:r>
        <w:tab/>
      </w:r>
      <w:r>
        <w:t>3</w:t>
      </w:r>
    </w:p>
    <w:p w14:paraId="23E1FCD6">
      <w:pPr>
        <w:pStyle w:val="13"/>
        <w:tabs>
          <w:tab w:val="right" w:leader="dot" w:pos="8500"/>
        </w:tabs>
      </w:pPr>
      <w:r>
        <w:t>6.2 配置与基线</w:t>
      </w:r>
      <w:r>
        <w:tab/>
      </w:r>
      <w:r>
        <w:t>3</w:t>
      </w:r>
    </w:p>
    <w:p w14:paraId="0D167F04">
      <w:pPr>
        <w:pStyle w:val="13"/>
        <w:tabs>
          <w:tab w:val="right" w:leader="dot" w:pos="8500"/>
        </w:tabs>
      </w:pPr>
      <w:r>
        <w:t>6.3 验收与交付</w:t>
      </w:r>
      <w:r>
        <w:tab/>
      </w:r>
      <w:r>
        <w:t>4</w:t>
      </w:r>
    </w:p>
    <w:p w14:paraId="20CC84F1">
      <w:pPr>
        <w:pStyle w:val="11"/>
        <w:tabs>
          <w:tab w:val="right" w:leader="dot" w:pos="8500"/>
        </w:tabs>
      </w:pPr>
      <w:r>
        <w:t>7 偏差、问题与变更管理</w:t>
      </w:r>
      <w:r>
        <w:tab/>
      </w:r>
      <w:r>
        <w:t>4</w:t>
      </w:r>
    </w:p>
    <w:p w14:paraId="293F99D0">
      <w:pPr>
        <w:pStyle w:val="13"/>
        <w:tabs>
          <w:tab w:val="right" w:leader="dot" w:pos="8500"/>
        </w:tabs>
      </w:pPr>
      <w:r>
        <w:t>7.1 偏差分级</w:t>
      </w:r>
      <w:r>
        <w:tab/>
      </w:r>
      <w:r>
        <w:t>4</w:t>
      </w:r>
    </w:p>
    <w:p w14:paraId="6EE322A8">
      <w:pPr>
        <w:pStyle w:val="13"/>
        <w:tabs>
          <w:tab w:val="right" w:leader="dot" w:pos="8500"/>
        </w:tabs>
      </w:pPr>
      <w:r>
        <w:t>7.2 偏差处置流程</w:t>
      </w:r>
      <w:r>
        <w:tab/>
      </w:r>
      <w:r>
        <w:t>4</w:t>
      </w:r>
    </w:p>
    <w:p w14:paraId="4BAB4434">
      <w:pPr>
        <w:pStyle w:val="13"/>
        <w:tabs>
          <w:tab w:val="right" w:leader="dot" w:pos="8500"/>
        </w:tabs>
      </w:pPr>
      <w:r>
        <w:t>7.3 任务催办与临时任务专项规则</w:t>
      </w:r>
      <w:r>
        <w:tab/>
      </w:r>
      <w:r>
        <w:t>4</w:t>
      </w:r>
    </w:p>
    <w:p w14:paraId="3248BB2B">
      <w:pPr>
        <w:pStyle w:val="11"/>
        <w:tabs>
          <w:tab w:val="right" w:leader="dot" w:pos="8500"/>
        </w:tabs>
      </w:pPr>
      <w:r>
        <w:t>8 风险与问题管理</w:t>
      </w:r>
      <w:r>
        <w:tab/>
      </w:r>
      <w:r>
        <w:t>4</w:t>
      </w:r>
    </w:p>
    <w:p w14:paraId="2F83D530">
      <w:pPr>
        <w:pStyle w:val="11"/>
        <w:tabs>
          <w:tab w:val="right" w:leader="dot" w:pos="8500"/>
        </w:tabs>
      </w:pPr>
      <w:r>
        <w:t>9 监控、报告与收尾</w:t>
      </w:r>
      <w:r>
        <w:tab/>
      </w:r>
      <w:r>
        <w:t>5</w:t>
      </w:r>
    </w:p>
    <w:p w14:paraId="243CD5E7">
      <w:pPr>
        <w:pStyle w:val="11"/>
        <w:tabs>
          <w:tab w:val="right" w:leader="dot" w:pos="8500"/>
        </w:tabs>
      </w:pPr>
      <w:r>
        <w:t>10 本计划准出检查</w:t>
      </w:r>
      <w:r>
        <w:tab/>
      </w:r>
      <w:r>
        <w:t>5</w:t>
      </w:r>
    </w:p>
    <w:p w14:paraId="7F777258">
      <w:pPr>
        <w:pStyle w:val="2"/>
        <w:pageBreakBefore/>
        <w:spacing w:before="240" w:after="160"/>
        <w:rPr>
          <w:rFonts w:eastAsia="黑体"/>
          <w:b/>
          <w:bCs/>
        </w:rPr>
        <w:sectPr>
          <w:headerReference r:id="rId5" w:type="first"/>
          <w:headerReference r:id="rId3" w:type="default"/>
          <w:footerReference r:id="rId6" w:type="default"/>
          <w:headerReference r:id="rId4" w:type="even"/>
          <w:pgSz w:w="11906" w:h="16838"/>
          <w:pgMar w:top="1440" w:right="1440" w:bottom="1440" w:left="1440" w:header="708" w:footer="708" w:gutter="0"/>
          <w:pgNumType w:fmt="upperRoman" w:start="1"/>
          <w:cols w:space="720" w:num="1"/>
          <w:titlePg/>
          <w:docGrid w:linePitch="360" w:charSpace="0"/>
        </w:sectPr>
      </w:pPr>
    </w:p>
    <w:p w14:paraId="4EEEF93A">
      <w:pPr>
        <w:pStyle w:val="2"/>
        <w:keepNext/>
      </w:pPr>
      <w:r>
        <w:rPr>
          <w:rFonts w:ascii="Times New Roman" w:hAnsi="Times New Roman" w:eastAsia="黑体"/>
          <w:b/>
        </w:rPr>
        <w:t>1 引言</w:t>
      </w:r>
    </w:p>
    <w:p w14:paraId="4B6D7C83">
      <w:pPr>
        <w:pStyle w:val="3"/>
        <w:keepNext/>
      </w:pPr>
      <w:r>
        <w:rPr>
          <w:rFonts w:ascii="Times New Roman" w:hAnsi="Times New Roman" w:eastAsia="黑体"/>
          <w:b/>
        </w:rPr>
        <w:t>1.1 编写目的</w:t>
      </w:r>
    </w:p>
    <w:p w14:paraId="00D16726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规定第三关及后续实施衔接阶段的范围、进度、资源、沟通、质量、配置、风险、偏差与验收管理方法，使三人团队能够按受控需求和工程门禁执行。本文只建立管理规则，不把未实施、未测试或未验收事项写成完成。</w:t>
      </w:r>
    </w:p>
    <w:p w14:paraId="671678EC">
      <w:pPr>
        <w:pStyle w:val="3"/>
        <w:keepNext/>
      </w:pPr>
      <w:r>
        <w:rPr>
          <w:rFonts w:ascii="Times New Roman" w:hAnsi="Times New Roman" w:eastAsia="黑体"/>
          <w:b/>
        </w:rPr>
        <w:t>1.2 项目概况</w:t>
      </w:r>
    </w:p>
    <w:p w14:paraId="39D0D20F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项目建设对象为某自然博物馆智能运营中心的应急管理子系统。当前受控需求为 39 条 FR、34 条★、117 条 AC，其中 29 条 MVP Must、10 条非 MVP 本期；第三关已形成设计、接口、ADR/NFR、RTM 与测试计划候选。ISSUE-G3-01-001 仍为 OPEN，真实视频和统一消息通道的环境、账号、字段、认证、脱敏请求响应/回执、失败场景及连通结论尚未齐备，继续阻断相关外部契约与 M3 最终冻结。</w:t>
      </w:r>
    </w:p>
    <w:p w14:paraId="118FD911">
      <w:pPr>
        <w:pStyle w:val="3"/>
        <w:keepNext/>
      </w:pPr>
      <w:r>
        <w:rPr>
          <w:rFonts w:ascii="Times New Roman" w:hAnsi="Times New Roman" w:eastAsia="黑体"/>
          <w:b/>
        </w:rPr>
        <w:t>1.3 管理原则</w:t>
      </w:r>
    </w:p>
    <w:p w14:paraId="73EDBC67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1. 需求、★、关键数字、责任边界与验收强度以冻结基线和控制文件为准，禁止静默改变。</w:t>
      </w:r>
    </w:p>
    <w:p w14:paraId="2EAD577F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2. 每项工作有唯一主责、明确复核、受控输入、可核验输出和具体 AC/门禁；每人同时进行的原子任务不超过 2 项。</w:t>
      </w:r>
    </w:p>
    <w:p w14:paraId="24B60413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3. Mock、原型、静态校验和文档审查只证明对应层级，不替代真实环境、接口、性能、安全或验收证据。</w:t>
      </w:r>
    </w:p>
    <w:p w14:paraId="55E8D594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4. 偏差、阻断和变更必须留痕；门禁失败不得表述为通过。</w:t>
      </w:r>
    </w:p>
    <w:p w14:paraId="23177962">
      <w:pPr>
        <w:pStyle w:val="2"/>
        <w:keepNext/>
      </w:pPr>
      <w:r>
        <w:rPr>
          <w:rFonts w:ascii="Times New Roman" w:hAnsi="Times New Roman" w:eastAsia="黑体"/>
          <w:b/>
        </w:rPr>
        <w:t>2 范围管理</w:t>
      </w:r>
    </w:p>
    <w:p w14:paraId="6C2E9294">
      <w:pPr>
        <w:pStyle w:val="3"/>
        <w:keepNext/>
      </w:pPr>
      <w:r>
        <w:rPr>
          <w:rFonts w:ascii="Times New Roman" w:hAnsi="Times New Roman" w:eastAsia="黑体"/>
          <w:b/>
        </w:rPr>
        <w:t>2.1 范围基线</w:t>
      </w:r>
    </w:p>
    <w:p w14:paraId="5E055D15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2-1 范围基线与管理口径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3024"/>
        <w:gridCol w:w="4536"/>
      </w:tblGrid>
      <w:tr w14:paraId="029372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512" w:type="dxa"/>
            <w:vAlign w:val="center"/>
          </w:tcPr>
          <w:p w14:paraId="0AE6F2C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范围项</w:t>
            </w:r>
          </w:p>
        </w:tc>
        <w:tc>
          <w:tcPr>
            <w:tcW w:w="3024" w:type="dxa"/>
            <w:vAlign w:val="center"/>
          </w:tcPr>
          <w:p w14:paraId="6F4061A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受控口径</w:t>
            </w:r>
          </w:p>
        </w:tc>
        <w:tc>
          <w:tcPr>
            <w:tcW w:w="4536" w:type="dxa"/>
            <w:vAlign w:val="center"/>
          </w:tcPr>
          <w:p w14:paraId="7F1A95D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管理方法</w:t>
            </w:r>
          </w:p>
        </w:tc>
      </w:tr>
      <w:tr w14:paraId="17D739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178AAD6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功能与验收</w:t>
            </w:r>
          </w:p>
        </w:tc>
        <w:tc>
          <w:tcPr>
            <w:tcW w:w="3024" w:type="dxa"/>
            <w:vAlign w:val="center"/>
          </w:tcPr>
          <w:p w14:paraId="1CDA287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G2-FR-001—039、117 条 AC、34 条★</w:t>
            </w:r>
          </w:p>
        </w:tc>
        <w:tc>
          <w:tcPr>
            <w:tcW w:w="4536" w:type="dxa"/>
            <w:vAlign w:val="center"/>
          </w:tcPr>
          <w:p w14:paraId="4573592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由 spec、SRS、RTM 双向追踪；变更须进入 Change/Issue</w:t>
            </w:r>
          </w:p>
        </w:tc>
      </w:tr>
      <w:tr w14:paraId="734714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4FEE0AE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交付范围</w:t>
            </w:r>
          </w:p>
        </w:tc>
        <w:tc>
          <w:tcPr>
            <w:tcW w:w="3024" w:type="dxa"/>
            <w:vAlign w:val="center"/>
          </w:tcPr>
          <w:p w14:paraId="7C92739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 至少 12 项正式成果及 plan/tasks/constitution/RTM 基线资产</w:t>
            </w:r>
          </w:p>
        </w:tc>
        <w:tc>
          <w:tcPr>
            <w:tcW w:w="4536" w:type="dxa"/>
            <w:vAlign w:val="center"/>
          </w:tcPr>
          <w:p w14:paraId="36BA31C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按唯一主责、复核和统一 DoD 准出</w:t>
            </w:r>
          </w:p>
        </w:tc>
      </w:tr>
      <w:tr w14:paraId="113B18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703C7CA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外部能力</w:t>
            </w:r>
          </w:p>
        </w:tc>
        <w:tc>
          <w:tcPr>
            <w:tcW w:w="3024" w:type="dxa"/>
            <w:vAlign w:val="center"/>
          </w:tcPr>
          <w:p w14:paraId="0594017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视频、信息发布、门禁、消防、入侵、物联网、中台、统一消息</w:t>
            </w:r>
          </w:p>
        </w:tc>
        <w:tc>
          <w:tcPr>
            <w:tcW w:w="4536" w:type="dxa"/>
            <w:vAlign w:val="center"/>
          </w:tcPr>
          <w:p w14:paraId="6399E81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甲方提供能力/环境/合法数据；项目组负责适配与验证，不扩展为第三方系统建设</w:t>
            </w:r>
          </w:p>
        </w:tc>
      </w:tr>
      <w:tr w14:paraId="792522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56618F8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不在范围</w:t>
            </w:r>
          </w:p>
        </w:tc>
        <w:tc>
          <w:tcPr>
            <w:tcW w:w="3024" w:type="dxa"/>
            <w:vAlign w:val="center"/>
          </w:tcPr>
          <w:p w14:paraId="3181308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重新测绘、三维模型制作、既有录像存储、宿主 APP 原生开发、外部系统内部改造</w:t>
            </w:r>
          </w:p>
        </w:tc>
        <w:tc>
          <w:tcPr>
            <w:tcW w:w="4536" w:type="dxa"/>
            <w:vAlign w:val="center"/>
          </w:tcPr>
          <w:p w14:paraId="2725686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仅验证本项目接口、嵌入、授权、失败与降级边界</w:t>
            </w:r>
          </w:p>
        </w:tc>
      </w:tr>
    </w:tbl>
    <w:p w14:paraId="2C7A93C9">
      <w:pPr>
        <w:pStyle w:val="3"/>
        <w:keepNext/>
      </w:pPr>
      <w:r>
        <w:rPr>
          <w:rFonts w:ascii="Times New Roman" w:hAnsi="Times New Roman" w:eastAsia="黑体"/>
          <w:b/>
        </w:rPr>
        <w:t>2.2 范围控制</w:t>
      </w:r>
    </w:p>
    <w:p w14:paraId="78D74DFC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新增、删除或改变 FR、★、AC、关键数字、责任边界、工期门禁和验收强度时，主责先登记 Issue/Change，完成影响分析、授权裁决、RTM 与计划同步，再执行获批变更。未经批准的建议、原型差异或技术便利不得进入正式范围。需求澄清不等于新增承诺；证据不足时统一标记 【待人工确认】。</w:t>
      </w:r>
    </w:p>
    <w:p w14:paraId="470667A5">
      <w:pPr>
        <w:pStyle w:val="3"/>
        <w:keepNext/>
      </w:pPr>
      <w:r>
        <w:rPr>
          <w:rFonts w:ascii="Times New Roman" w:hAnsi="Times New Roman" w:eastAsia="黑体"/>
          <w:b/>
        </w:rPr>
        <w:t>2.3 交付物与工作分解</w:t>
      </w:r>
    </w:p>
    <w:p w14:paraId="05C4CFC6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G3-02 已将工作拆分为 32 个不大于 0.5 人日的原子包，覆盖设计、数据、接口、ADR/NFR、RTM、测试和四份管理计划。G3-11 对应 WBS-05；其输出为本计划工作稿、正式 Word、版式/内容检查证据与复核入口。后续实现必须继续回指相应 WBS、设计 ID、FR/AC 与验证记录，不得以聚合任务替代原子执行记录。</w:t>
      </w:r>
    </w:p>
    <w:p w14:paraId="431DF71E">
      <w:pPr>
        <w:pStyle w:val="2"/>
        <w:keepNext/>
      </w:pPr>
      <w:r>
        <w:rPr>
          <w:rFonts w:ascii="Times New Roman" w:hAnsi="Times New Roman" w:eastAsia="黑体"/>
          <w:b/>
        </w:rPr>
        <w:t>3 组织与资源管理</w:t>
      </w:r>
    </w:p>
    <w:p w14:paraId="1A8B4FF4">
      <w:pPr>
        <w:pStyle w:val="3"/>
        <w:keepNext/>
      </w:pPr>
      <w:r>
        <w:rPr>
          <w:rFonts w:ascii="Times New Roman" w:hAnsi="Times New Roman" w:eastAsia="黑体"/>
          <w:b/>
        </w:rPr>
        <w:t>3.1 组织与职责</w:t>
      </w:r>
    </w:p>
    <w:p w14:paraId="59B632DA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3-1 项目团队职责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0867B4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09AE561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成员</w:t>
            </w:r>
          </w:p>
        </w:tc>
        <w:tc>
          <w:tcPr>
            <w:tcW w:w="2433" w:type="dxa"/>
            <w:vAlign w:val="center"/>
          </w:tcPr>
          <w:p w14:paraId="7EB5A01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项目角色</w:t>
            </w:r>
          </w:p>
        </w:tc>
        <w:tc>
          <w:tcPr>
            <w:tcW w:w="2765" w:type="dxa"/>
            <w:vAlign w:val="center"/>
          </w:tcPr>
          <w:p w14:paraId="0B91D69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主要职责</w:t>
            </w:r>
          </w:p>
        </w:tc>
        <w:tc>
          <w:tcPr>
            <w:tcW w:w="2544" w:type="dxa"/>
            <w:vAlign w:val="center"/>
          </w:tcPr>
          <w:p w14:paraId="4D4CB66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复核边界</w:t>
            </w:r>
          </w:p>
        </w:tc>
      </w:tr>
      <w:tr w14:paraId="5E4CAE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1475DA0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何思源</w:t>
            </w:r>
          </w:p>
        </w:tc>
        <w:tc>
          <w:tcPr>
            <w:tcW w:w="2433" w:type="dxa"/>
            <w:vAlign w:val="center"/>
          </w:tcPr>
          <w:p w14:paraId="274540D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A；项目经理、总编、配置/风险主责</w:t>
            </w:r>
          </w:p>
        </w:tc>
        <w:tc>
          <w:tcPr>
            <w:tcW w:w="2765" w:type="dxa"/>
            <w:vAlign w:val="center"/>
          </w:tcPr>
          <w:p w14:paraId="2D8867B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计划、资源协调、跨文档一致性、配置与变更、风险、M3 和交付收口</w:t>
            </w:r>
          </w:p>
        </w:tc>
        <w:tc>
          <w:tcPr>
            <w:tcW w:w="2544" w:type="dxa"/>
            <w:vAlign w:val="center"/>
          </w:tcPr>
          <w:p w14:paraId="290DF77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复核 B 的可交付性与 C 的 RTM/测试；不替代技术或事实主责</w:t>
            </w:r>
          </w:p>
        </w:tc>
      </w:tr>
      <w:tr w14:paraId="42FDD1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0598C7E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严宇</w:t>
            </w:r>
          </w:p>
        </w:tc>
        <w:tc>
          <w:tcPr>
            <w:tcW w:w="2433" w:type="dxa"/>
            <w:vAlign w:val="center"/>
          </w:tcPr>
          <w:p w14:paraId="76AF8C3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B；技术负责人</w:t>
            </w:r>
          </w:p>
        </w:tc>
        <w:tc>
          <w:tcPr>
            <w:tcW w:w="2765" w:type="dxa"/>
            <w:vAlign w:val="center"/>
          </w:tcPr>
          <w:p w14:paraId="22AC0D7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架构、详细/数据/接口设计、OpenAPI、ADR/NFR、实施与技术验证</w:t>
            </w:r>
          </w:p>
        </w:tc>
        <w:tc>
          <w:tcPr>
            <w:tcW w:w="2544" w:type="dxa"/>
            <w:vAlign w:val="center"/>
          </w:tcPr>
          <w:p w14:paraId="2B06953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复核 C 的技术可测性；提供技术风险与估算</w:t>
            </w:r>
          </w:p>
        </w:tc>
      </w:tr>
      <w:tr w14:paraId="794B52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42A93D2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任俊强</w:t>
            </w:r>
          </w:p>
        </w:tc>
        <w:tc>
          <w:tcPr>
            <w:tcW w:w="2433" w:type="dxa"/>
            <w:vAlign w:val="center"/>
          </w:tcPr>
          <w:p w14:paraId="00E175D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C；需求与质量负责人</w:t>
            </w:r>
          </w:p>
        </w:tc>
        <w:tc>
          <w:tcPr>
            <w:tcW w:w="2765" w:type="dxa"/>
            <w:vAlign w:val="center"/>
          </w:tcPr>
          <w:p w14:paraId="5A6D9C9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facts、关键数字、★、RTM、测试与质量、合规审计</w:t>
            </w:r>
          </w:p>
        </w:tc>
        <w:tc>
          <w:tcPr>
            <w:tcW w:w="2544" w:type="dxa"/>
            <w:vAlign w:val="center"/>
          </w:tcPr>
          <w:p w14:paraId="0A0F1B7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复核 A 的范围、计划和配置；不以 Mock 替代现场证据</w:t>
            </w:r>
          </w:p>
        </w:tc>
      </w:tr>
    </w:tbl>
    <w:p w14:paraId="464657D4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三名成员可兼任多个岗位，但同一正式产物只设一名主责；主责不得以自检替代指定复核。批准、甲方提供条件或真实环境结论由有权人员确认，项目组不得代造。</w:t>
      </w:r>
    </w:p>
    <w:p w14:paraId="0889C9CD">
      <w:pPr>
        <w:pStyle w:val="3"/>
        <w:keepNext/>
      </w:pPr>
      <w:r>
        <w:rPr>
          <w:rFonts w:ascii="Times New Roman" w:hAnsi="Times New Roman" w:eastAsia="黑体"/>
          <w:b/>
        </w:rPr>
        <w:t>3.2 资源与 WIP</w:t>
      </w:r>
    </w:p>
    <w:p w14:paraId="7D73C32D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1. 每人最多 2 个 DOING 原子任务；新增紧急任务前先暂停、完成或重新排序现有任务。</w:t>
      </w:r>
    </w:p>
    <w:p w14:paraId="0136ED6F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2. 关键路径优先配置 B 的连续技术时间、C 的追踪/测试时间和 A 的门禁/协调时间。</w:t>
      </w:r>
    </w:p>
    <w:p w14:paraId="23C6F6AE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3. 外部环境、账号、窗口、合法数据和接口材料作为受约束资源登记；未就绪即建阻断 Issue，不以内部桩测宣称联调完成。</w:t>
      </w:r>
    </w:p>
    <w:p w14:paraId="48884A4C">
      <w:pPr>
        <w:pStyle w:val="21"/>
        <w:spacing w:after="100" w:line="300" w:lineRule="auto"/>
      </w:pPr>
      <w:r>
        <w:rPr>
          <w:rFonts w:ascii="Times New Roman" w:hAnsi="Times New Roman" w:eastAsia="宋体"/>
          <w:sz w:val="21"/>
        </w:rPr>
        <w:t>4. 出现人员冲突时，由 A 依据关键路径、★影响、阻断级别和最近门禁重新分配；涉及范围、工期或质量目标变化时升级变更。</w:t>
      </w:r>
    </w:p>
    <w:p w14:paraId="710CDB09">
      <w:pPr>
        <w:pStyle w:val="2"/>
        <w:keepNext/>
      </w:pPr>
      <w:r>
        <w:rPr>
          <w:rFonts w:ascii="Times New Roman" w:hAnsi="Times New Roman" w:eastAsia="黑体"/>
          <w:b/>
        </w:rPr>
        <w:t>4 进度与里程碑管理</w:t>
      </w:r>
    </w:p>
    <w:p w14:paraId="32C797A9">
      <w:pPr>
        <w:pStyle w:val="3"/>
        <w:keepNext/>
      </w:pPr>
      <w:r>
        <w:rPr>
          <w:rFonts w:ascii="Times New Roman" w:hAnsi="Times New Roman" w:eastAsia="黑体"/>
          <w:b/>
        </w:rPr>
        <w:t>4.1 里程碑与依赖</w:t>
      </w:r>
    </w:p>
    <w:p w14:paraId="1BC27142">
      <w:pPr>
        <w:jc w:val="center"/>
      </w:pPr>
      <w:r>
        <w:drawing>
          <wp:inline distT="0" distB="0" distL="114300" distR="114300">
            <wp:extent cx="5471795" cy="3077845"/>
            <wp:effectExtent l="0" t="0" r="14605" b="8255"/>
            <wp:docPr id="1" name="Picture 1" descr="展示单元测试、集成测试、系统测试到验收测试的四级证据递进关系。" title="图 3-1 四级测试与验收证据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展示单元测试、集成测试、系统测试到验收测试的四级证据递进关系。" title="图 3-1 四级测试与验收证据链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B4F3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图 4-1 G3 至 M3 里程碑与门禁</w:t>
      </w:r>
    </w:p>
    <w:p w14:paraId="5FACB1B9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G3 的关键路径为 G3-02 → G3-03 → G3-04 → G3-05 → G3-06 → G3-08 → G3-09 → G3-10；G3-07 可与 G3-04 并行，G3-11—14 可在 G3-02 REVIEW 后与设计并行。M3 的受控门禁要求 G3-02—14 至少进入 REVIEW、RTM 无断链、评审问题闭环，且阻断项已关闭或取得有权书面替代/延期裁决。</w:t>
      </w:r>
    </w:p>
    <w:p w14:paraId="5DFE6990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4-1 里程碑准入与准出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52CE7C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5F3DF28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节点</w:t>
            </w:r>
          </w:p>
        </w:tc>
        <w:tc>
          <w:tcPr>
            <w:tcW w:w="2433" w:type="dxa"/>
            <w:vAlign w:val="center"/>
          </w:tcPr>
          <w:p w14:paraId="115201A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准入</w:t>
            </w:r>
          </w:p>
        </w:tc>
        <w:tc>
          <w:tcPr>
            <w:tcW w:w="2765" w:type="dxa"/>
            <w:vAlign w:val="center"/>
          </w:tcPr>
          <w:p w14:paraId="2769F78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准出/证据</w:t>
            </w:r>
          </w:p>
        </w:tc>
        <w:tc>
          <w:tcPr>
            <w:tcW w:w="2544" w:type="dxa"/>
            <w:vAlign w:val="center"/>
          </w:tcPr>
          <w:p w14:paraId="329E727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责任</w:t>
            </w:r>
          </w:p>
        </w:tc>
      </w:tr>
      <w:tr w14:paraId="00AAAC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9E6F10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D0 概要设计</w:t>
            </w:r>
          </w:p>
        </w:tc>
        <w:tc>
          <w:tcPr>
            <w:tcW w:w="2433" w:type="dxa"/>
            <w:vAlign w:val="center"/>
          </w:tcPr>
          <w:p w14:paraId="3656022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G3-02 REVIEW</w:t>
            </w:r>
          </w:p>
        </w:tc>
        <w:tc>
          <w:tcPr>
            <w:tcW w:w="2765" w:type="dxa"/>
            <w:vAlign w:val="center"/>
          </w:tcPr>
          <w:p w14:paraId="68C9099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模块、数据、部署、责任边界和开放假设清楚</w:t>
            </w:r>
          </w:p>
        </w:tc>
        <w:tc>
          <w:tcPr>
            <w:tcW w:w="2544" w:type="dxa"/>
            <w:vAlign w:val="center"/>
          </w:tcPr>
          <w:p w14:paraId="318CB4C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 主责，A/C 复核</w:t>
            </w:r>
          </w:p>
        </w:tc>
      </w:tr>
      <w:tr w14:paraId="06404F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381413D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D1 数据与 ADR/NFR</w:t>
            </w:r>
          </w:p>
        </w:tc>
        <w:tc>
          <w:tcPr>
            <w:tcW w:w="2433" w:type="dxa"/>
            <w:vAlign w:val="center"/>
          </w:tcPr>
          <w:p w14:paraId="34D46FE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D0 可用</w:t>
            </w:r>
          </w:p>
        </w:tc>
        <w:tc>
          <w:tcPr>
            <w:tcW w:w="2765" w:type="dxa"/>
            <w:vAlign w:val="center"/>
          </w:tcPr>
          <w:p w14:paraId="5CC940F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数据可支撑详细设计；决策和 NFR 可追踪</w:t>
            </w:r>
          </w:p>
        </w:tc>
        <w:tc>
          <w:tcPr>
            <w:tcW w:w="2544" w:type="dxa"/>
            <w:vAlign w:val="center"/>
          </w:tcPr>
          <w:p w14:paraId="33DC7A8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 主责，A/C 复核</w:t>
            </w:r>
          </w:p>
        </w:tc>
      </w:tr>
      <w:tr w14:paraId="3227A7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68654DF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D2 详细与接口</w:t>
            </w:r>
          </w:p>
        </w:tc>
        <w:tc>
          <w:tcPr>
            <w:tcW w:w="2433" w:type="dxa"/>
            <w:vAlign w:val="center"/>
          </w:tcPr>
          <w:p w14:paraId="0B62180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D1 可用</w:t>
            </w:r>
          </w:p>
        </w:tc>
        <w:tc>
          <w:tcPr>
            <w:tcW w:w="2765" w:type="dxa"/>
            <w:vAlign w:val="center"/>
          </w:tcPr>
          <w:p w14:paraId="48222D7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状态/异常/补偿可走查；OpenAPI 可解析；未证实外部契约不冻结</w:t>
            </w:r>
          </w:p>
        </w:tc>
        <w:tc>
          <w:tcPr>
            <w:tcW w:w="2544" w:type="dxa"/>
            <w:vAlign w:val="center"/>
          </w:tcPr>
          <w:p w14:paraId="54D05F3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 主责，A/C 复核</w:t>
            </w:r>
          </w:p>
        </w:tc>
      </w:tr>
      <w:tr w14:paraId="6E4914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14D50E4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D3 RTM 与测试</w:t>
            </w:r>
          </w:p>
        </w:tc>
        <w:tc>
          <w:tcPr>
            <w:tcW w:w="2433" w:type="dxa"/>
            <w:vAlign w:val="center"/>
          </w:tcPr>
          <w:p w14:paraId="5CDF216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D0—D2 候选齐备</w:t>
            </w:r>
          </w:p>
        </w:tc>
        <w:tc>
          <w:tcPr>
            <w:tcW w:w="2765" w:type="dxa"/>
            <w:vAlign w:val="center"/>
          </w:tcPr>
          <w:p w14:paraId="201FA99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39 FR/34★/117 AC 双向挂接，测试门禁可执行</w:t>
            </w:r>
          </w:p>
        </w:tc>
        <w:tc>
          <w:tcPr>
            <w:tcW w:w="2544" w:type="dxa"/>
            <w:vAlign w:val="center"/>
          </w:tcPr>
          <w:p w14:paraId="3150B51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 主责，A/B 复核</w:t>
            </w:r>
          </w:p>
        </w:tc>
      </w:tr>
      <w:tr w14:paraId="137D1C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EB3476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 管理计划</w:t>
            </w:r>
          </w:p>
        </w:tc>
        <w:tc>
          <w:tcPr>
            <w:tcW w:w="2433" w:type="dxa"/>
            <w:vAlign w:val="center"/>
          </w:tcPr>
          <w:p w14:paraId="1B72BC3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G3-02 REVIEW</w:t>
            </w:r>
          </w:p>
        </w:tc>
        <w:tc>
          <w:tcPr>
            <w:tcW w:w="2765" w:type="dxa"/>
            <w:vAlign w:val="center"/>
          </w:tcPr>
          <w:p w14:paraId="5D55180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G3-11—14 正式候选、渲染 QA 与指定复核入口齐备</w:t>
            </w:r>
          </w:p>
        </w:tc>
        <w:tc>
          <w:tcPr>
            <w:tcW w:w="2544" w:type="dxa"/>
            <w:vAlign w:val="center"/>
          </w:tcPr>
          <w:p w14:paraId="2EEE60A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A/C 分工</w:t>
            </w:r>
          </w:p>
        </w:tc>
      </w:tr>
      <w:tr w14:paraId="27A899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5111D84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M3 工程基线</w:t>
            </w:r>
          </w:p>
        </w:tc>
        <w:tc>
          <w:tcPr>
            <w:tcW w:w="2433" w:type="dxa"/>
            <w:vAlign w:val="center"/>
          </w:tcPr>
          <w:p w14:paraId="1E7961C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G3-02—14 至少 REVIEW</w:t>
            </w:r>
          </w:p>
        </w:tc>
        <w:tc>
          <w:tcPr>
            <w:tcW w:w="2765" w:type="dxa"/>
            <w:vAlign w:val="center"/>
          </w:tcPr>
          <w:p w14:paraId="48E854F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一致性审计通过，阻断关闭或获有权裁决后方可冻结</w:t>
            </w:r>
          </w:p>
        </w:tc>
        <w:tc>
          <w:tcPr>
            <w:tcW w:w="2544" w:type="dxa"/>
            <w:vAlign w:val="center"/>
          </w:tcPr>
          <w:p w14:paraId="3B05056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 主责，B/C 复核</w:t>
            </w:r>
          </w:p>
        </w:tc>
      </w:tr>
    </w:tbl>
    <w:p w14:paraId="68E912E6">
      <w:pPr>
        <w:pStyle w:val="3"/>
        <w:keepNext/>
      </w:pPr>
      <w:r>
        <w:rPr>
          <w:rFonts w:ascii="Times New Roman" w:hAnsi="Times New Roman" w:eastAsia="黑体"/>
          <w:b/>
        </w:rPr>
        <w:t>4.2 进度控制</w:t>
      </w:r>
    </w:p>
    <w:p w14:paraId="6602E973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A 每个工作日核对任务状态、前置、WIP、阻断和最近门禁；主责只在证据齐备后更新状态。预计偏差影响一个门禁或关键路径时，应在当日登记偏差并通知相关复核人；影响冻结范围、验收强度或外部责任时，必须升级 Change/CCB。计划不使用未获依据的绝对完成日期；后续日期由批准后的实施计划受控发布。</w:t>
      </w:r>
    </w:p>
    <w:p w14:paraId="3C42F508">
      <w:pPr>
        <w:pStyle w:val="3"/>
        <w:keepNext/>
      </w:pPr>
      <w:r>
        <w:rPr>
          <w:rFonts w:ascii="Times New Roman" w:hAnsi="Times New Roman" w:eastAsia="黑体"/>
          <w:b/>
        </w:rPr>
        <w:t>4.3 进度缓冲</w:t>
      </w:r>
    </w:p>
    <w:p w14:paraId="55A51FC5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缓冲优先配置于外部联调、修复复测、渲染返工和评审闭环，不以压缩必要复核、删除异常场景或降低★验收强度换取进度。ISSUE-G3-01-001 未关闭期间，相关活动保持 BLOCKED/PENDING，其他不依赖事项可按依赖并行。</w:t>
      </w:r>
    </w:p>
    <w:p w14:paraId="65FD3401">
      <w:pPr>
        <w:pStyle w:val="2"/>
        <w:keepNext/>
      </w:pPr>
      <w:r>
        <w:rPr>
          <w:rFonts w:ascii="Times New Roman" w:hAnsi="Times New Roman" w:eastAsia="黑体"/>
          <w:b/>
        </w:rPr>
        <w:t>5 沟通与决策管理</w:t>
      </w:r>
    </w:p>
    <w:p w14:paraId="7E15CF4A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5-1 沟通机制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4289F3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12C689F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场景</w:t>
            </w:r>
          </w:p>
        </w:tc>
        <w:tc>
          <w:tcPr>
            <w:tcW w:w="2433" w:type="dxa"/>
            <w:vAlign w:val="center"/>
          </w:tcPr>
          <w:p w14:paraId="7B33A85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参与者</w:t>
            </w:r>
          </w:p>
        </w:tc>
        <w:tc>
          <w:tcPr>
            <w:tcW w:w="2765" w:type="dxa"/>
            <w:vAlign w:val="center"/>
          </w:tcPr>
          <w:p w14:paraId="38FA73B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频率/触发</w:t>
            </w:r>
          </w:p>
        </w:tc>
        <w:tc>
          <w:tcPr>
            <w:tcW w:w="2544" w:type="dxa"/>
            <w:vAlign w:val="center"/>
          </w:tcPr>
          <w:p w14:paraId="132F0F8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输出与时限</w:t>
            </w:r>
          </w:p>
        </w:tc>
      </w:tr>
      <w:tr w14:paraId="0660A7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69252FC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工作同步</w:t>
            </w:r>
          </w:p>
        </w:tc>
        <w:tc>
          <w:tcPr>
            <w:tcW w:w="2433" w:type="dxa"/>
            <w:vAlign w:val="center"/>
          </w:tcPr>
          <w:p w14:paraId="276B396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A、B、C</w:t>
            </w:r>
          </w:p>
        </w:tc>
        <w:tc>
          <w:tcPr>
            <w:tcW w:w="2765" w:type="dxa"/>
            <w:vAlign w:val="center"/>
          </w:tcPr>
          <w:p w14:paraId="1BBFA56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每个工作日或状态变化</w:t>
            </w:r>
          </w:p>
        </w:tc>
        <w:tc>
          <w:tcPr>
            <w:tcW w:w="2544" w:type="dxa"/>
            <w:vAlign w:val="center"/>
          </w:tcPr>
          <w:p w14:paraId="1597410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tasks 状态、下一步、阻断和责任人</w:t>
            </w:r>
          </w:p>
        </w:tc>
      </w:tr>
      <w:tr w14:paraId="060985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07D785B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设计/计划评审</w:t>
            </w:r>
          </w:p>
        </w:tc>
        <w:tc>
          <w:tcPr>
            <w:tcW w:w="2433" w:type="dxa"/>
            <w:vAlign w:val="center"/>
          </w:tcPr>
          <w:p w14:paraId="5413307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主责、指定复核人</w:t>
            </w:r>
          </w:p>
        </w:tc>
        <w:tc>
          <w:tcPr>
            <w:tcW w:w="2765" w:type="dxa"/>
            <w:vAlign w:val="center"/>
          </w:tcPr>
          <w:p w14:paraId="284D863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候选自检通过后</w:t>
            </w:r>
          </w:p>
        </w:tc>
        <w:tc>
          <w:tcPr>
            <w:tcW w:w="2544" w:type="dxa"/>
            <w:vAlign w:val="center"/>
          </w:tcPr>
          <w:p w14:paraId="3080574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Review 结论、Issue、关闭证据</w:t>
            </w:r>
          </w:p>
        </w:tc>
      </w:tr>
      <w:tr w14:paraId="5DD9B6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7D1902B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范围/基线变更</w:t>
            </w:r>
          </w:p>
        </w:tc>
        <w:tc>
          <w:tcPr>
            <w:tcW w:w="2433" w:type="dxa"/>
            <w:vAlign w:val="center"/>
          </w:tcPr>
          <w:p w14:paraId="5E1FEDD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A、B、C及有权裁决人</w:t>
            </w:r>
          </w:p>
        </w:tc>
        <w:tc>
          <w:tcPr>
            <w:tcW w:w="2765" w:type="dxa"/>
            <w:vAlign w:val="center"/>
          </w:tcPr>
          <w:p w14:paraId="3B2BC2F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出现范围、数字、责任或验收变化</w:t>
            </w:r>
          </w:p>
        </w:tc>
        <w:tc>
          <w:tcPr>
            <w:tcW w:w="2544" w:type="dxa"/>
            <w:vAlign w:val="center"/>
          </w:tcPr>
          <w:p w14:paraId="691C58B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Change、影响分析、批准/拒绝和同步清单</w:t>
            </w:r>
          </w:p>
        </w:tc>
      </w:tr>
      <w:tr w14:paraId="53D8FB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4EE2B6F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外部条件协调</w:t>
            </w:r>
          </w:p>
        </w:tc>
        <w:tc>
          <w:tcPr>
            <w:tcW w:w="2433" w:type="dxa"/>
            <w:vAlign w:val="center"/>
          </w:tcPr>
          <w:p w14:paraId="47DAEDC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A、B、C与甲方模拟角色</w:t>
            </w:r>
          </w:p>
        </w:tc>
        <w:tc>
          <w:tcPr>
            <w:tcW w:w="2765" w:type="dxa"/>
            <w:vAlign w:val="center"/>
          </w:tcPr>
          <w:p w14:paraId="3659EC6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环境/账号/窗口不足时</w:t>
            </w:r>
          </w:p>
        </w:tc>
        <w:tc>
          <w:tcPr>
            <w:tcW w:w="2544" w:type="dxa"/>
            <w:vAlign w:val="center"/>
          </w:tcPr>
          <w:p w14:paraId="5F6F3DD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条件清单、责任、目标时间、替代/延期裁决</w:t>
            </w:r>
          </w:p>
        </w:tc>
      </w:tr>
      <w:tr w14:paraId="1C9B78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386220E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重大风险/阻断</w:t>
            </w:r>
          </w:p>
        </w:tc>
        <w:tc>
          <w:tcPr>
            <w:tcW w:w="2433" w:type="dxa"/>
            <w:vAlign w:val="center"/>
          </w:tcPr>
          <w:p w14:paraId="153245B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A、责任人、复核人</w:t>
            </w:r>
          </w:p>
        </w:tc>
        <w:tc>
          <w:tcPr>
            <w:tcW w:w="2765" w:type="dxa"/>
            <w:vAlign w:val="center"/>
          </w:tcPr>
          <w:p w14:paraId="6774C78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发现即报</w:t>
            </w:r>
          </w:p>
        </w:tc>
        <w:tc>
          <w:tcPr>
            <w:tcW w:w="2544" w:type="dxa"/>
            <w:vAlign w:val="center"/>
          </w:tcPr>
          <w:p w14:paraId="5F475A2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Issue、影响、临时措施、解除条件</w:t>
            </w:r>
          </w:p>
        </w:tc>
      </w:tr>
    </w:tbl>
    <w:p w14:paraId="705E3D0E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决定以受控文档、Issue、Change 或 Review 为准；口头讨论和即时消息不能替代批准证据。分歧先依据来源优先级核对，仍存在语义冲突时停止相关修改并请求裁决。</w:t>
      </w:r>
    </w:p>
    <w:p w14:paraId="0F41A6D1">
      <w:pPr>
        <w:pStyle w:val="2"/>
        <w:keepNext/>
      </w:pPr>
      <w:r>
        <w:rPr>
          <w:rFonts w:ascii="Times New Roman" w:hAnsi="Times New Roman" w:eastAsia="黑体"/>
          <w:b/>
        </w:rPr>
        <w:t>6 质量、配置与交付管理</w:t>
      </w:r>
    </w:p>
    <w:p w14:paraId="6D3C093D">
      <w:pPr>
        <w:pStyle w:val="3"/>
        <w:keepNext/>
      </w:pPr>
      <w:r>
        <w:rPr>
          <w:rFonts w:ascii="Times New Roman" w:hAnsi="Times New Roman" w:eastAsia="黑体"/>
          <w:b/>
        </w:rPr>
        <w:t>6.1 质量门禁</w:t>
      </w:r>
    </w:p>
    <w:p w14:paraId="6A641C7D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各交付物依次完成受控输入核对、内容自检、编号/引用检查、机械审计、正式件生成、全页渲染 QA 和指定复核。检查至少覆盖事实/数字、FR/AC/★追踪、表图编号、样例残留、乱码、越界、异常空白页、孤立标题和可访问性。未通过项登记 Issue 并返工，不得仅以“文件已生成”准出。</w:t>
      </w:r>
    </w:p>
    <w:p w14:paraId="57B1469B">
      <w:pPr>
        <w:pStyle w:val="3"/>
        <w:keepNext/>
      </w:pPr>
      <w:r>
        <w:rPr>
          <w:rFonts w:ascii="Times New Roman" w:hAnsi="Times New Roman" w:eastAsia="黑体"/>
          <w:b/>
        </w:rPr>
        <w:t>6.2 配置与基线</w:t>
      </w:r>
    </w:p>
    <w:p w14:paraId="7BA96610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代码、文档、OpenAPI、图源、脚本、测试证据、控制文件、Prompt/Review 日志均为配置项。正式任务按安全同步、最小暂存、提交和非 force 推送执行；冻结基线不得原位覆盖。候选进入基线前必须列明版本、依赖、检查、批准和开放项。</w:t>
      </w:r>
    </w:p>
    <w:p w14:paraId="3C4BCD01">
      <w:pPr>
        <w:pStyle w:val="3"/>
        <w:keepNext/>
      </w:pPr>
      <w:r>
        <w:rPr>
          <w:rFonts w:ascii="Times New Roman" w:hAnsi="Times New Roman" w:eastAsia="黑体"/>
          <w:b/>
        </w:rPr>
        <w:t>6.3 验收与交付</w:t>
      </w:r>
    </w:p>
    <w:p w14:paraId="7F063A91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6-1 交付准出责任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8"/>
        <w:gridCol w:w="1360"/>
        <w:gridCol w:w="3265"/>
        <w:gridCol w:w="1360"/>
        <w:gridCol w:w="1995"/>
      </w:tblGrid>
      <w:tr w14:paraId="63080B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088" w:type="dxa"/>
            <w:vAlign w:val="center"/>
          </w:tcPr>
          <w:p w14:paraId="6F99E46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活动</w:t>
            </w:r>
          </w:p>
        </w:tc>
        <w:tc>
          <w:tcPr>
            <w:tcW w:w="1360" w:type="dxa"/>
            <w:vAlign w:val="center"/>
          </w:tcPr>
          <w:p w14:paraId="3A35B04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A</w:t>
            </w:r>
          </w:p>
        </w:tc>
        <w:tc>
          <w:tcPr>
            <w:tcW w:w="3265" w:type="dxa"/>
            <w:vAlign w:val="center"/>
          </w:tcPr>
          <w:p w14:paraId="40CFF18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B</w:t>
            </w:r>
          </w:p>
        </w:tc>
        <w:tc>
          <w:tcPr>
            <w:tcW w:w="1360" w:type="dxa"/>
            <w:vAlign w:val="center"/>
          </w:tcPr>
          <w:p w14:paraId="061D3E5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C</w:t>
            </w:r>
          </w:p>
        </w:tc>
        <w:tc>
          <w:tcPr>
            <w:tcW w:w="1995" w:type="dxa"/>
            <w:vAlign w:val="center"/>
          </w:tcPr>
          <w:p w14:paraId="24899A3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准出依据</w:t>
            </w:r>
          </w:p>
        </w:tc>
      </w:tr>
      <w:tr w14:paraId="2E5E5B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dxa"/>
            <w:vAlign w:val="center"/>
          </w:tcPr>
          <w:p w14:paraId="3165128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计划与跨文档一致性</w:t>
            </w:r>
          </w:p>
        </w:tc>
        <w:tc>
          <w:tcPr>
            <w:tcW w:w="1360" w:type="dxa"/>
            <w:vAlign w:val="center"/>
          </w:tcPr>
          <w:p w14:paraId="417809A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R/A</w:t>
            </w:r>
          </w:p>
        </w:tc>
        <w:tc>
          <w:tcPr>
            <w:tcW w:w="3265" w:type="dxa"/>
            <w:vAlign w:val="center"/>
          </w:tcPr>
          <w:p w14:paraId="136DE74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360" w:type="dxa"/>
            <w:vAlign w:val="center"/>
          </w:tcPr>
          <w:p w14:paraId="74E2A9E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995" w:type="dxa"/>
            <w:vAlign w:val="center"/>
          </w:tcPr>
          <w:p w14:paraId="78A0F36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范围、依赖、资源、Issue 与状态一致</w:t>
            </w:r>
          </w:p>
        </w:tc>
      </w:tr>
      <w:tr w14:paraId="6A3ECF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dxa"/>
            <w:vAlign w:val="center"/>
          </w:tcPr>
          <w:p w14:paraId="62DDA57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技术正确性</w:t>
            </w:r>
          </w:p>
        </w:tc>
        <w:tc>
          <w:tcPr>
            <w:tcW w:w="1360" w:type="dxa"/>
            <w:vAlign w:val="center"/>
          </w:tcPr>
          <w:p w14:paraId="4AE6370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3265" w:type="dxa"/>
            <w:vAlign w:val="center"/>
          </w:tcPr>
          <w:p w14:paraId="5286D95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R/A</w:t>
            </w:r>
          </w:p>
        </w:tc>
        <w:tc>
          <w:tcPr>
            <w:tcW w:w="1360" w:type="dxa"/>
            <w:vAlign w:val="center"/>
          </w:tcPr>
          <w:p w14:paraId="2E9572E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995" w:type="dxa"/>
            <w:vAlign w:val="center"/>
          </w:tcPr>
          <w:p w14:paraId="525CC50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设计、契约、异常、可实施与验证方法</w:t>
            </w:r>
          </w:p>
        </w:tc>
      </w:tr>
      <w:tr w14:paraId="7AB6BE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dxa"/>
            <w:vAlign w:val="center"/>
          </w:tcPr>
          <w:p w14:paraId="6FCAE8D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符合性与数字</w:t>
            </w:r>
          </w:p>
        </w:tc>
        <w:tc>
          <w:tcPr>
            <w:tcW w:w="1360" w:type="dxa"/>
            <w:vAlign w:val="center"/>
          </w:tcPr>
          <w:p w14:paraId="4EB20B5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3265" w:type="dxa"/>
            <w:vAlign w:val="center"/>
          </w:tcPr>
          <w:p w14:paraId="2A2AF22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360" w:type="dxa"/>
            <w:vAlign w:val="center"/>
          </w:tcPr>
          <w:p w14:paraId="2DCEB57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R/A</w:t>
            </w:r>
          </w:p>
        </w:tc>
        <w:tc>
          <w:tcPr>
            <w:tcW w:w="1995" w:type="dxa"/>
            <w:vAlign w:val="center"/>
          </w:tcPr>
          <w:p w14:paraId="1EDF19C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FR/★/AC、事实、关键数字、责任边界</w:t>
            </w:r>
          </w:p>
        </w:tc>
      </w:tr>
      <w:tr w14:paraId="5871C5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dxa"/>
            <w:vAlign w:val="center"/>
          </w:tcPr>
          <w:p w14:paraId="15A24A2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基线冻结</w:t>
            </w:r>
          </w:p>
        </w:tc>
        <w:tc>
          <w:tcPr>
            <w:tcW w:w="1360" w:type="dxa"/>
            <w:vAlign w:val="center"/>
          </w:tcPr>
          <w:p w14:paraId="7A5FC00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R/A</w:t>
            </w:r>
          </w:p>
        </w:tc>
        <w:tc>
          <w:tcPr>
            <w:tcW w:w="3265" w:type="dxa"/>
            <w:vAlign w:val="center"/>
          </w:tcPr>
          <w:p w14:paraId="26796F7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360" w:type="dxa"/>
            <w:vAlign w:val="center"/>
          </w:tcPr>
          <w:p w14:paraId="43CB39D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995" w:type="dxa"/>
            <w:vAlign w:val="center"/>
          </w:tcPr>
          <w:p w14:paraId="7E2DB86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三方复核、阻断关闭/裁决、审计通过</w:t>
            </w:r>
          </w:p>
        </w:tc>
      </w:tr>
    </w:tbl>
    <w:p w14:paraId="312C0AF7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R/A 表示负责并最终汇总，C 表示协作/复核。本文处于 REVIEW，只代表 A 已形成候选并完成自检，不代表 C 已通过，也不代表 M3 已冻结。</w:t>
      </w:r>
    </w:p>
    <w:p w14:paraId="64BB4C8C">
      <w:pPr>
        <w:pStyle w:val="2"/>
        <w:keepNext/>
      </w:pPr>
      <w:r>
        <w:rPr>
          <w:rFonts w:ascii="Times New Roman" w:hAnsi="Times New Roman" w:eastAsia="黑体"/>
          <w:b/>
        </w:rPr>
        <w:t>7 偏差、问题与变更管理</w:t>
      </w:r>
    </w:p>
    <w:p w14:paraId="5C1CB8CF">
      <w:pPr>
        <w:pStyle w:val="3"/>
        <w:keepNext/>
      </w:pPr>
      <w:r>
        <w:rPr>
          <w:rFonts w:ascii="Times New Roman" w:hAnsi="Times New Roman" w:eastAsia="黑体"/>
          <w:b/>
        </w:rPr>
        <w:t>7.1 偏差分级</w:t>
      </w:r>
    </w:p>
    <w:p w14:paraId="274DAB05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7-1 偏差分级与处置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3024"/>
        <w:gridCol w:w="4536"/>
      </w:tblGrid>
      <w:tr w14:paraId="1CBFA6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512" w:type="dxa"/>
            <w:vAlign w:val="center"/>
          </w:tcPr>
          <w:p w14:paraId="43AEC59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等级</w:t>
            </w:r>
          </w:p>
        </w:tc>
        <w:tc>
          <w:tcPr>
            <w:tcW w:w="3024" w:type="dxa"/>
            <w:vAlign w:val="center"/>
          </w:tcPr>
          <w:p w14:paraId="40DEF38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判定示例</w:t>
            </w:r>
          </w:p>
        </w:tc>
        <w:tc>
          <w:tcPr>
            <w:tcW w:w="4536" w:type="dxa"/>
            <w:vAlign w:val="center"/>
          </w:tcPr>
          <w:p w14:paraId="2FD4522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处置</w:t>
            </w:r>
          </w:p>
        </w:tc>
      </w:tr>
      <w:tr w14:paraId="3C3AFC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3D47390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BLOCKER</w:t>
            </w:r>
          </w:p>
        </w:tc>
        <w:tc>
          <w:tcPr>
            <w:tcW w:w="3024" w:type="dxa"/>
            <w:vAlign w:val="center"/>
          </w:tcPr>
          <w:p w14:paraId="69ECAB9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★负偏离、外部证据缺失却拟冻结、RTM 断链、关键路径无法继续</w:t>
            </w:r>
          </w:p>
        </w:tc>
        <w:tc>
          <w:tcPr>
            <w:tcW w:w="4536" w:type="dxa"/>
            <w:vAlign w:val="center"/>
          </w:tcPr>
          <w:p w14:paraId="0217AD3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立即停止受影响准出，登记 Issue，明确解除条件并升级裁决</w:t>
            </w:r>
          </w:p>
        </w:tc>
      </w:tr>
      <w:tr w14:paraId="75D2F3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08EB57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MAJOR</w:t>
            </w:r>
          </w:p>
        </w:tc>
        <w:tc>
          <w:tcPr>
            <w:tcW w:w="3024" w:type="dxa"/>
            <w:vAlign w:val="center"/>
          </w:tcPr>
          <w:p w14:paraId="233C6F8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范围/责任/验收口径不一致，关键设计或管理机制缺失</w:t>
            </w:r>
          </w:p>
        </w:tc>
        <w:tc>
          <w:tcPr>
            <w:tcW w:w="4536" w:type="dxa"/>
            <w:vAlign w:val="center"/>
          </w:tcPr>
          <w:p w14:paraId="1026A2E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限期返工并由指定复核人验证关闭</w:t>
            </w:r>
          </w:p>
        </w:tc>
      </w:tr>
      <w:tr w14:paraId="655658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7AF31BD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MINOR</w:t>
            </w:r>
          </w:p>
        </w:tc>
        <w:tc>
          <w:tcPr>
            <w:tcW w:w="3024" w:type="dxa"/>
            <w:vAlign w:val="center"/>
          </w:tcPr>
          <w:p w14:paraId="40CB7D5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不改变实质口径的格式、引用或局部表达问题</w:t>
            </w:r>
          </w:p>
        </w:tc>
        <w:tc>
          <w:tcPr>
            <w:tcW w:w="4536" w:type="dxa"/>
            <w:vAlign w:val="center"/>
          </w:tcPr>
          <w:p w14:paraId="16A6739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登记并在置 DONE 前关闭</w:t>
            </w:r>
          </w:p>
        </w:tc>
      </w:tr>
      <w:tr w14:paraId="534B8F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0F34BDB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观察项</w:t>
            </w:r>
          </w:p>
        </w:tc>
        <w:tc>
          <w:tcPr>
            <w:tcW w:w="3024" w:type="dxa"/>
            <w:vAlign w:val="center"/>
          </w:tcPr>
          <w:p w14:paraId="07988FA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当前不影响准出但可能形成风险</w:t>
            </w:r>
          </w:p>
        </w:tc>
        <w:tc>
          <w:tcPr>
            <w:tcW w:w="4536" w:type="dxa"/>
            <w:vAlign w:val="center"/>
          </w:tcPr>
          <w:p w14:paraId="7AAE00E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记录触发条件和复查节点</w:t>
            </w:r>
          </w:p>
        </w:tc>
      </w:tr>
    </w:tbl>
    <w:p w14:paraId="45E8240F">
      <w:pPr>
        <w:pStyle w:val="3"/>
        <w:keepNext/>
      </w:pPr>
      <w:r>
        <w:rPr>
          <w:rFonts w:ascii="Times New Roman" w:hAnsi="Times New Roman" w:eastAsia="黑体"/>
          <w:b/>
        </w:rPr>
        <w:t>7.2 偏差处置流程</w:t>
      </w:r>
    </w:p>
    <w:p w14:paraId="11FB7178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发现偏差后依次记录事实与证据、影响的 FR/AC/设计/里程碑、责任人和时限；选择纠正、规避、延期或提出变更；执行后由非主责复核关闭。任何“接受风险”必须由有权人员书面确认，不得由 AI 或主责单方代替。</w:t>
      </w:r>
    </w:p>
    <w:p w14:paraId="7D61FFD3">
      <w:pPr>
        <w:pStyle w:val="3"/>
        <w:keepNext/>
      </w:pPr>
      <w:r>
        <w:rPr>
          <w:rFonts w:ascii="Times New Roman" w:hAnsi="Times New Roman" w:eastAsia="黑体"/>
          <w:b/>
        </w:rPr>
        <w:t>7.3 任务催办与临时任务专项规则</w:t>
      </w:r>
    </w:p>
    <w:p w14:paraId="0D6DD5CB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为落实 AC-G2-FR-015-03，后续系统实现与管理抽查必须覆盖两类触发：任务逾期催办、指挥人员追加临时任务。每次触发至少记录原任务/事件标识、触发类型、触发原因、操作者、时间、通知对象、后续处置、责任人、目标时限、状态与审计引用；涉及改派时还应保留原/新责任人，默认不重置原到期时间，除非发生经授权且可审计的变更。G3-11 仅确认该规则和验证入口已进入计划，不宣称功能已经实现或通过验收。</w:t>
      </w:r>
    </w:p>
    <w:p w14:paraId="1310ED1B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7-2 AC-G2-FR-015-03 管理抽查设计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36D039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53E4E12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场景</w:t>
            </w:r>
          </w:p>
        </w:tc>
        <w:tc>
          <w:tcPr>
            <w:tcW w:w="2433" w:type="dxa"/>
            <w:vAlign w:val="center"/>
          </w:tcPr>
          <w:p w14:paraId="349EC63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Given/When</w:t>
            </w:r>
          </w:p>
        </w:tc>
        <w:tc>
          <w:tcPr>
            <w:tcW w:w="2765" w:type="dxa"/>
            <w:vAlign w:val="center"/>
          </w:tcPr>
          <w:p w14:paraId="6512609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预期记录</w:t>
            </w:r>
          </w:p>
        </w:tc>
        <w:tc>
          <w:tcPr>
            <w:tcW w:w="2544" w:type="dxa"/>
            <w:vAlign w:val="center"/>
          </w:tcPr>
          <w:p w14:paraId="0B0650B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计划验证</w:t>
            </w:r>
          </w:p>
        </w:tc>
      </w:tr>
      <w:tr w14:paraId="14164F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A7217F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逾期催办</w:t>
            </w:r>
          </w:p>
        </w:tc>
        <w:tc>
          <w:tcPr>
            <w:tcW w:w="2433" w:type="dxa"/>
            <w:vAlign w:val="center"/>
          </w:tcPr>
          <w:p w14:paraId="70A9D00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任务已逾期，触发催办</w:t>
            </w:r>
          </w:p>
        </w:tc>
        <w:tc>
          <w:tcPr>
            <w:tcW w:w="2765" w:type="dxa"/>
            <w:vAlign w:val="center"/>
          </w:tcPr>
          <w:p w14:paraId="581E7E4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逾期事实、原因、通知对象、后续处置和审计链</w:t>
            </w:r>
          </w:p>
        </w:tc>
        <w:tc>
          <w:tcPr>
            <w:tcW w:w="2544" w:type="dxa"/>
            <w:vAlign w:val="center"/>
          </w:tcPr>
          <w:p w14:paraId="023C420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后续系统测试检查业务记录、通知/回执与审计一致</w:t>
            </w:r>
          </w:p>
        </w:tc>
      </w:tr>
      <w:tr w14:paraId="59CBC0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4991033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临时任务</w:t>
            </w:r>
          </w:p>
        </w:tc>
        <w:tc>
          <w:tcPr>
            <w:tcW w:w="2433" w:type="dxa"/>
            <w:vAlign w:val="center"/>
          </w:tcPr>
          <w:p w14:paraId="71076B0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指挥人员需追加任务，创建临时任务</w:t>
            </w:r>
          </w:p>
        </w:tc>
        <w:tc>
          <w:tcPr>
            <w:tcW w:w="2765" w:type="dxa"/>
            <w:vAlign w:val="center"/>
          </w:tcPr>
          <w:p w14:paraId="728B036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授权人、触发原因、任务内容、责任人、时限、关联事件和处置结果</w:t>
            </w:r>
          </w:p>
        </w:tc>
        <w:tc>
          <w:tcPr>
            <w:tcW w:w="2544" w:type="dxa"/>
            <w:vAlign w:val="center"/>
          </w:tcPr>
          <w:p w14:paraId="7037273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后续系统测试检查权限、任务、状态与审计一致</w:t>
            </w:r>
          </w:p>
        </w:tc>
      </w:tr>
      <w:tr w14:paraId="18A78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7D48979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改派</w:t>
            </w:r>
          </w:p>
        </w:tc>
        <w:tc>
          <w:tcPr>
            <w:tcW w:w="2433" w:type="dxa"/>
            <w:vAlign w:val="center"/>
          </w:tcPr>
          <w:p w14:paraId="3AEA5FF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催办或处置导致责任人变化</w:t>
            </w:r>
          </w:p>
        </w:tc>
        <w:tc>
          <w:tcPr>
            <w:tcW w:w="2765" w:type="dxa"/>
            <w:vAlign w:val="center"/>
          </w:tcPr>
          <w:p w14:paraId="1055F1A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原/新责任人、操作者、时间、原因、历史；到期时间不静默重置</w:t>
            </w:r>
          </w:p>
        </w:tc>
        <w:tc>
          <w:tcPr>
            <w:tcW w:w="2544" w:type="dxa"/>
            <w:vAlign w:val="center"/>
          </w:tcPr>
          <w:p w14:paraId="155EC69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按 G2-RCLR-003 做状态与审计走查</w:t>
            </w:r>
          </w:p>
        </w:tc>
      </w:tr>
    </w:tbl>
    <w:p w14:paraId="2E71914B">
      <w:pPr>
        <w:pStyle w:val="2"/>
        <w:keepNext/>
      </w:pPr>
      <w:r>
        <w:rPr>
          <w:rFonts w:ascii="Times New Roman" w:hAnsi="Times New Roman" w:eastAsia="黑体"/>
          <w:b/>
        </w:rPr>
        <w:t>8 风险与问题管理</w:t>
      </w:r>
    </w:p>
    <w:p w14:paraId="3A057B53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风险至少记录事件、原因、影响、概率、等级、触发器、责任人、应对、应急和复核周期。当前首要问题为 ISSUE-G3-01-001 与由其及管理计划未齐套引出的 ISSUE-G3-10-001；前者关闭或取得有权替代/延期裁决、G3-11—14 至少 REVIEW 且 G3-10 重新审计通过之前，不得创建 M3 FROZEN 基线。</w:t>
      </w:r>
    </w:p>
    <w:p w14:paraId="35C07F4D">
      <w:pPr>
        <w:pStyle w:val="2"/>
        <w:keepNext/>
      </w:pPr>
      <w:r>
        <w:rPr>
          <w:rFonts w:ascii="Times New Roman" w:hAnsi="Times New Roman" w:eastAsia="黑体"/>
          <w:b/>
        </w:rPr>
        <w:t>9 监控、报告与收尾</w:t>
      </w:r>
    </w:p>
    <w:p w14:paraId="6C8D03CE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A 汇总范围变更数、任务状态/WIP、里程碑偏差、开放 Issue、评审问题、需求追踪、缺陷和交付物状态。指标只用于发现问题，不用平均数掩盖★失败、阻断或缺证据。任务收尾须确认输出入库、验证记录可复现、Review/Issue 闭环、tasks 与日志同步、Git 工作区干净；G3-11 需由 C 复核通过后才能由 REVIEW 转为 DONE。</w:t>
      </w:r>
    </w:p>
    <w:p w14:paraId="6AB4746F">
      <w:pPr>
        <w:pStyle w:val="2"/>
        <w:keepNext/>
      </w:pPr>
      <w:r>
        <w:rPr>
          <w:rFonts w:ascii="Times New Roman" w:hAnsi="Times New Roman" w:eastAsia="黑体"/>
          <w:b/>
        </w:rPr>
        <w:t>10 本计划准出检查</w:t>
      </w:r>
    </w:p>
    <w:p w14:paraId="5D56608B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10-1 G3-11 自检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4"/>
      </w:tblGrid>
      <w:tr w14:paraId="7E924F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268" w:type="dxa"/>
            <w:vAlign w:val="center"/>
          </w:tcPr>
          <w:p w14:paraId="57BEA73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检查项</w:t>
            </w:r>
          </w:p>
        </w:tc>
        <w:tc>
          <w:tcPr>
            <w:tcW w:w="6804" w:type="dxa"/>
            <w:vAlign w:val="center"/>
          </w:tcPr>
          <w:p w14:paraId="0E7C9CC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结论</w:t>
            </w:r>
          </w:p>
        </w:tc>
      </w:tr>
      <w:tr w14:paraId="708F53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26B9C96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范围、资源、里程碑、依赖与偏差处置</w:t>
            </w:r>
          </w:p>
        </w:tc>
        <w:tc>
          <w:tcPr>
            <w:tcW w:w="6804" w:type="dxa"/>
            <w:vAlign w:val="center"/>
          </w:tcPr>
          <w:p w14:paraId="0877384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PASS：均有独立章节、责任与门禁</w:t>
            </w:r>
          </w:p>
        </w:tc>
      </w:tr>
      <w:tr w14:paraId="057E21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087539A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AC-G2-FR-015-03 抽查</w:t>
            </w:r>
          </w:p>
        </w:tc>
        <w:tc>
          <w:tcPr>
            <w:tcW w:w="6804" w:type="dxa"/>
            <w:vAlign w:val="center"/>
          </w:tcPr>
          <w:p w14:paraId="542D66A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PASS：催办、临时任务、改派和后续处置记录已纳入计划；功能待后续实现/测试</w:t>
            </w:r>
          </w:p>
        </w:tc>
      </w:tr>
      <w:tr w14:paraId="7E5460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2EA39F7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基线与阻断边界</w:t>
            </w:r>
          </w:p>
        </w:tc>
        <w:tc>
          <w:tcPr>
            <w:tcW w:w="6804" w:type="dxa"/>
            <w:vAlign w:val="center"/>
          </w:tcPr>
          <w:p w14:paraId="32E2232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PASS：39 FR/34★/117 AC 未变；ISSUE-G3-01-001、ISSUE-G3-10-001 未关闭</w:t>
            </w:r>
          </w:p>
        </w:tc>
      </w:tr>
      <w:tr w14:paraId="1DB4D4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0A2805A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状态</w:t>
            </w:r>
          </w:p>
        </w:tc>
        <w:tc>
          <w:tcPr>
            <w:tcW w:w="6804" w:type="dxa"/>
            <w:vAlign w:val="center"/>
          </w:tcPr>
          <w:p w14:paraId="0934168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REVIEW：待 C 复核，不得自行置 DONE</w:t>
            </w:r>
          </w:p>
        </w:tc>
      </w:tr>
    </w:tbl>
    <w:p w14:paraId="6C96B758"/>
    <w:sectPr>
      <w:pgSz w:w="11906" w:h="16838"/>
      <w:pgMar w:top="1440" w:right="1440" w:bottom="1440" w:left="1440" w:header="708" w:footer="708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320C7F">
    <w:pPr>
      <w:spacing w:after="100" w:line="360" w:lineRule="auto"/>
      <w:jc w:val="center"/>
    </w:pPr>
    <w:r>
      <w:rPr>
        <w:rFonts w:eastAsia="宋体"/>
        <w:color w:val="000000"/>
        <w:sz w:val="18"/>
        <w:szCs w:val="18"/>
      </w:rPr>
      <w:fldChar w:fldCharType="begin"/>
    </w:r>
    <w:r>
      <w:rPr>
        <w:rFonts w:eastAsia="宋体"/>
        <w:color w:val="000000"/>
        <w:sz w:val="18"/>
        <w:szCs w:val="18"/>
      </w:rPr>
      <w:instrText xml:space="preserve">PAGE</w:instrText>
    </w:r>
    <w:r>
      <w:rPr>
        <w:rFonts w:eastAsia="宋体"/>
        <w:color w:val="000000"/>
        <w:sz w:val="18"/>
        <w:szCs w:val="18"/>
      </w:rPr>
      <w:fldChar w:fldCharType="separate"/>
    </w:r>
    <w:r>
      <w:rPr>
        <w:rFonts w:eastAsia="宋体"/>
        <w:color w:val="000000"/>
        <w:sz w:val="18"/>
        <w:szCs w:val="18"/>
      </w:rPr>
      <w:t>1</w:t>
    </w:r>
    <w:r>
      <w:rPr>
        <w:rFonts w:eastAsia="宋体"/>
        <w:color w:val="000000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EDA160">
    <w:pPr>
      <w:spacing w:after="60"/>
      <w:jc w:val="center"/>
    </w:pPr>
    <w:r>
      <w:rPr>
        <w:rFonts w:ascii="Times New Roman" w:hAnsi="Times New Roman" w:eastAsia="宋体"/>
        <w:sz w:val="18"/>
      </w:rPr>
      <w:t>某自然博物馆智能运营中心建设项目——应急管理子系统 · 项目管理计划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6EA14D">
    <w:r>
      <w:rPr>
        <w:rFonts w:ascii="Times New Roman" w:hAnsi="Times New Roman" w:eastAsia="宋体"/>
        <w:sz w:val="18"/>
      </w:rPr>
      <w:t>某自然博物馆智能运营中心建设项目——应急管理子系统 · 项目管理计划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EA24BF">
    <w:r>
      <w:rPr>
        <w:rFonts w:ascii="Times New Roman" w:hAnsi="Times New Roman" w:eastAsia="宋体"/>
        <w:sz w:val="18"/>
      </w:rPr>
      <w:t>某自然博物馆智能运营中心建设项目——应急管理子系统 · 项目管理计划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0BD0"/>
    <w:rsid w:val="00133F58"/>
    <w:rsid w:val="009D2014"/>
    <w:rsid w:val="00D60BD0"/>
    <w:rsid w:val="34C912FC"/>
    <w:rsid w:val="62D45223"/>
    <w:rsid w:val="7B005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cs="Times New Roman" w:eastAsiaTheme="minorEastAsia"/>
      <w:lang w:val="en-US" w:eastAsia="zh-CN" w:bidi="ar-SA"/>
    </w:rPr>
  </w:style>
  <w:style w:type="paragraph" w:styleId="2">
    <w:name w:val="heading 1"/>
    <w:qFormat/>
    <w:uiPriority w:val="9"/>
    <w:pPr>
      <w:outlineLvl w:val="0"/>
    </w:pPr>
    <w:rPr>
      <w:rFonts w:ascii="Times New Roman" w:hAnsi="Times New Roman" w:cs="Times New Roman" w:eastAsiaTheme="minorEastAsia"/>
      <w:color w:val="000000"/>
      <w:sz w:val="32"/>
      <w:szCs w:val="32"/>
      <w:lang w:val="en-US" w:eastAsia="zh-CN" w:bidi="ar-SA"/>
    </w:rPr>
  </w:style>
  <w:style w:type="paragraph" w:styleId="3">
    <w:name w:val="heading 2"/>
    <w:unhideWhenUsed/>
    <w:qFormat/>
    <w:uiPriority w:val="9"/>
    <w:pPr>
      <w:outlineLvl w:val="1"/>
    </w:pPr>
    <w:rPr>
      <w:rFonts w:ascii="Times New Roman" w:hAnsi="Times New Roman" w:cs="Times New Roman" w:eastAsiaTheme="minorEastAsia"/>
      <w:color w:val="000000"/>
      <w:sz w:val="26"/>
      <w:szCs w:val="26"/>
      <w:lang w:val="en-US" w:eastAsia="zh-CN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imes New Roman" w:hAnsi="Times New Roman" w:cs="Times New Roman" w:eastAsiaTheme="minorEastAsia"/>
      <w:color w:val="000000"/>
      <w:sz w:val="24"/>
      <w:szCs w:val="24"/>
      <w:lang w:val="en-US" w:eastAsia="zh-CN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cs="Times New Roman" w:eastAsiaTheme="minorEastAsia"/>
      <w:i/>
      <w:iCs/>
      <w:color w:val="000000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3"/>
    <w:semiHidden/>
    <w:unhideWhenUsed/>
    <w:qFormat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9">
    <w:name w:val="footer"/>
    <w:basedOn w:val="1"/>
    <w:link w:val="25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4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footnote text"/>
    <w:link w:val="22"/>
    <w:semiHidden/>
    <w:unhideWhenUsed/>
    <w:qFormat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13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4">
    <w:name w:val="Title"/>
    <w:qFormat/>
    <w:uiPriority w:val="10"/>
    <w:rPr>
      <w:rFonts w:ascii="Times New Roman" w:hAnsi="Times New Roman" w:cs="Times New Roman" w:eastAsiaTheme="minorEastAsia"/>
      <w:color w:val="000000"/>
      <w:sz w:val="56"/>
      <w:szCs w:val="56"/>
      <w:lang w:val="en-US" w:eastAsia="zh-CN" w:bidi="ar-SA"/>
    </w:rPr>
  </w:style>
  <w:style w:type="character" w:styleId="17">
    <w:name w:val="endnote reference"/>
    <w:semiHidden/>
    <w:unhideWhenUsed/>
    <w:uiPriority w:val="99"/>
    <w:rPr>
      <w:color w:val="000000"/>
      <w:vertAlign w:val="superscript"/>
    </w:rPr>
  </w:style>
  <w:style w:type="character" w:styleId="18">
    <w:name w:val="Hyperlink"/>
    <w:unhideWhenUsed/>
    <w:uiPriority w:val="99"/>
    <w:rPr>
      <w:color w:val="000000"/>
      <w:u w:val="single"/>
    </w:rPr>
  </w:style>
  <w:style w:type="character" w:styleId="19">
    <w:name w:val="footnote reference"/>
    <w:semiHidden/>
    <w:unhideWhenUsed/>
    <w:uiPriority w:val="99"/>
    <w:rPr>
      <w:color w:val="000000"/>
      <w:vertAlign w:val="superscript"/>
    </w:rPr>
  </w:style>
  <w:style w:type="paragraph" w:customStyle="1" w:styleId="20">
    <w:name w:val="要点1"/>
    <w:qFormat/>
    <w:uiPriority w:val="0"/>
    <w:rPr>
      <w:rFonts w:ascii="Times New Roman" w:hAnsi="Times New Roman" w:cs="Times New Roman" w:eastAsiaTheme="minorEastAsia"/>
      <w:b/>
      <w:bCs/>
      <w:color w:val="000000"/>
      <w:lang w:val="en-US" w:eastAsia="zh-CN" w:bidi="ar-SA"/>
    </w:rPr>
  </w:style>
  <w:style w:type="paragraph" w:styleId="21">
    <w:name w:val="List Paragraph"/>
    <w:qFormat/>
    <w:uiPriority w:val="0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customStyle="1" w:styleId="22">
    <w:name w:val="脚注文本 字符"/>
    <w:link w:val="12"/>
    <w:semiHidden/>
    <w:unhideWhenUsed/>
    <w:qFormat/>
    <w:uiPriority w:val="99"/>
    <w:rPr>
      <w:color w:val="000000"/>
      <w:sz w:val="20"/>
      <w:szCs w:val="20"/>
    </w:rPr>
  </w:style>
  <w:style w:type="character" w:customStyle="1" w:styleId="23">
    <w:name w:val="尾注文本 字符"/>
    <w:link w:val="8"/>
    <w:semiHidden/>
    <w:unhideWhenUsed/>
    <w:qFormat/>
    <w:uiPriority w:val="99"/>
    <w:rPr>
      <w:color w:val="000000"/>
      <w:sz w:val="20"/>
      <w:szCs w:val="20"/>
    </w:rPr>
  </w:style>
  <w:style w:type="character" w:customStyle="1" w:styleId="24">
    <w:name w:val="页眉 字符"/>
    <w:basedOn w:val="16"/>
    <w:link w:val="10"/>
    <w:uiPriority w:val="99"/>
    <w:rPr>
      <w:sz w:val="18"/>
      <w:szCs w:val="18"/>
    </w:rPr>
  </w:style>
  <w:style w:type="character" w:customStyle="1" w:styleId="25">
    <w:name w:val="页脚 字符"/>
    <w:basedOn w:val="16"/>
    <w:link w:val="9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214</Words>
  <Characters>278</Characters>
  <Lines>23</Lines>
  <Paragraphs>6</Paragraphs>
  <TotalTime>25</TotalTime>
  <ScaleCrop>false</ScaleCrop>
  <LinksUpToDate>false</LinksUpToDate>
  <CharactersWithSpaces>307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2026-08-26T12:15:00Z</dcterms:created>
  <dc:creator>020202项目组</dc:creator>
  <cp:lastModifiedBy>任俊强</cp:lastModifiedBy>
  <dcterms:modified xsi:type="dcterms:W3CDTF">2026-09-20T02:13:18Z</dcterms:modified>
  <dc:subject>某自然博物馆智能运营中心建设项目——应急管理子系统 G3-11</dc:subject>
  <dc:title>项目管理计划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eyJoZGlkIjoiZDAxNWUzZDUwYTM4NzA3NGMyZDFiMmY2YWVkYzQ0MzkiLCJ1c2VySWQiOiIxNzgzMjc2NDkxIn0=</vt:lpwstr>
  </property>
  <property fmtid="{D5CDD505-2E9C-101B-9397-08002B2CF9AE}" pid="3" name="KSOProductBuildVer">
    <vt:lpwstr>2052-12.1.0.28505</vt:lpwstr>
  </property>
  <property fmtid="{D5CDD505-2E9C-101B-9397-08002B2CF9AE}" pid="4" name="ICV">
    <vt:lpwstr>6F7E2CB439C74E88857D8874A246495A_12</vt:lpwstr>
  </property>
</Properties>
</file>