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F4992">
      <w:pPr>
        <w:spacing w:after="80"/>
        <w:jc w:val="right"/>
      </w:pPr>
      <w:r>
        <w:rPr>
          <w:rFonts w:ascii="Times New Roman" w:hAnsi="Times New Roman" w:eastAsia="宋体"/>
        </w:rPr>
        <w:t>文档编号：YJGL-G3-09　　版本号：V0.2</w:t>
      </w:r>
    </w:p>
    <w:p w14:paraId="67964EA3">
      <w:pPr>
        <w:spacing w:before="1200" w:after="360"/>
        <w:jc w:val="right"/>
      </w:pPr>
      <w:r>
        <w:rPr>
          <w:rFonts w:ascii="Times New Roman" w:hAnsi="Times New Roman" w:eastAsia="宋体"/>
        </w:rPr>
        <w:t>密　　级：内部 · 教学用</w:t>
      </w:r>
    </w:p>
    <w:p w14:paraId="0C53B2F0">
      <w:pPr>
        <w:spacing w:before="2000" w:after="480"/>
        <w:jc w:val="center"/>
      </w:pPr>
    </w:p>
    <w:p w14:paraId="02044E00">
      <w:pPr>
        <w:pBdr>
          <w:bottom w:val="single" w:color="000000" w:sz="12" w:space="8"/>
        </w:pBdr>
        <w:spacing w:before="240" w:after="360"/>
        <w:jc w:val="center"/>
      </w:pPr>
      <w:r>
        <w:rPr>
          <w:rFonts w:ascii="Times New Roman" w:hAnsi="Times New Roman" w:eastAsia="宋体"/>
        </w:rPr>
        <w:t>某自然博物馆智能运营中心建设项目——应急管理子系统</w:t>
      </w:r>
    </w:p>
    <w:p w14:paraId="7A30FAF0">
      <w:pPr>
        <w:spacing w:before="520" w:after="200"/>
        <w:jc w:val="center"/>
      </w:pPr>
      <w:r>
        <w:rPr>
          <w:rFonts w:ascii="Times New Roman" w:hAnsi="Times New Roman" w:eastAsia="宋体"/>
        </w:rPr>
        <w:t>测试计划</w:t>
      </w:r>
    </w:p>
    <w:p w14:paraId="4417B815">
      <w:pPr>
        <w:spacing w:after="80"/>
        <w:jc w:val="center"/>
      </w:pPr>
      <w:r>
        <w:rPr>
          <w:rFonts w:ascii="Times New Roman" w:hAnsi="Times New Roman" w:eastAsia="宋体"/>
        </w:rPr>
        <w:t>（G3-09 评审候选）</w:t>
      </w:r>
    </w:p>
    <w:p w14:paraId="5CFDE7F3">
      <w:pPr>
        <w:spacing w:before="1600" w:after="80"/>
        <w:jc w:val="center"/>
      </w:pPr>
    </w:p>
    <w:p w14:paraId="13B84BD1">
      <w:pPr>
        <w:spacing w:after="200"/>
        <w:ind w:left="2552" w:leftChars="1276"/>
        <w:jc w:val="left"/>
      </w:pPr>
      <w:r>
        <w:rPr>
          <w:rFonts w:ascii="Times New Roman" w:hAnsi="Times New Roman" w:eastAsia="宋体"/>
        </w:rPr>
        <w:t>编制单位：020202项目组【待人工确认】</w:t>
      </w:r>
    </w:p>
    <w:p w14:paraId="2041520A">
      <w:pPr>
        <w:spacing w:after="200"/>
        <w:ind w:left="2552" w:leftChars="1276"/>
        <w:jc w:val="left"/>
      </w:pPr>
      <w:r>
        <w:rPr>
          <w:rFonts w:ascii="Times New Roman" w:hAnsi="Times New Roman" w:eastAsia="宋体"/>
        </w:rPr>
        <w:t>编　　制：C（需求与测试负责人）【待人工确认姓名】</w:t>
      </w:r>
    </w:p>
    <w:p w14:paraId="04F51D8E">
      <w:pPr>
        <w:spacing w:after="200"/>
        <w:ind w:left="2552" w:leftChars="1276"/>
        <w:jc w:val="left"/>
      </w:pPr>
      <w:r>
        <w:rPr>
          <w:rFonts w:ascii="Times New Roman" w:hAnsi="Times New Roman" w:eastAsia="宋体"/>
        </w:rPr>
        <w:t>审　　核：A（OVR-025 单人复核）</w:t>
      </w:r>
    </w:p>
    <w:p w14:paraId="4A7B94D8">
      <w:pPr>
        <w:spacing w:after="200"/>
        <w:ind w:left="2552" w:leftChars="1276"/>
        <w:jc w:val="left"/>
      </w:pPr>
      <w:r>
        <w:rPr>
          <w:rFonts w:ascii="Times New Roman" w:hAnsi="Times New Roman" w:eastAsia="宋体"/>
        </w:rPr>
        <w:t>批　　准：【待人工确认】</w:t>
      </w:r>
    </w:p>
    <w:p w14:paraId="020A0E85">
      <w:pPr>
        <w:spacing w:before="200" w:after="80"/>
        <w:ind w:left="2552" w:leftChars="1276"/>
        <w:jc w:val="left"/>
      </w:pPr>
      <w:r>
        <w:rPr>
          <w:rFonts w:ascii="Times New Roman" w:hAnsi="Times New Roman" w:eastAsia="宋体"/>
        </w:rPr>
        <w:t>编制日期：2026 年 9 月 19 日</w:t>
      </w:r>
    </w:p>
    <w:p w14:paraId="56DBB4F2">
      <w:r>
        <w:rPr>
          <w:color w:val="000000"/>
        </w:rPr>
        <w:br w:type="page"/>
      </w:r>
    </w:p>
    <w:p w14:paraId="45B97D56">
      <w:pPr>
        <w:spacing w:before="120" w:after="120"/>
        <w:jc w:val="center"/>
      </w:pPr>
      <w:r>
        <w:rPr>
          <w:rFonts w:ascii="Times New Roman" w:hAnsi="Times New Roman" w:eastAsia="宋体"/>
        </w:rPr>
        <w:t>修订记录</w:t>
      </w:r>
    </w:p>
    <w:tbl>
      <w:tblPr>
        <w:tblStyle w:val="15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"/>
        <w:gridCol w:w="1360"/>
        <w:gridCol w:w="3265"/>
        <w:gridCol w:w="1360"/>
        <w:gridCol w:w="1995"/>
      </w:tblGrid>
      <w:tr w14:paraId="61C8C7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088" w:type="dxa"/>
            <w:shd w:val="clear" w:color="auto" w:fill="D9E2EC"/>
            <w:vAlign w:val="center"/>
          </w:tcPr>
          <w:p w14:paraId="4CB5DC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版本</w:t>
            </w:r>
          </w:p>
        </w:tc>
        <w:tc>
          <w:tcPr>
            <w:tcW w:w="1360" w:type="dxa"/>
            <w:shd w:val="clear" w:color="auto" w:fill="D9E2EC"/>
            <w:vAlign w:val="center"/>
          </w:tcPr>
          <w:p w14:paraId="1ED9BA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日期</w:t>
            </w:r>
          </w:p>
        </w:tc>
        <w:tc>
          <w:tcPr>
            <w:tcW w:w="3265" w:type="dxa"/>
            <w:shd w:val="clear" w:color="auto" w:fill="D9E2EC"/>
            <w:vAlign w:val="center"/>
          </w:tcPr>
          <w:p w14:paraId="4F6FFA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修订章节</w:t>
            </w:r>
          </w:p>
        </w:tc>
        <w:tc>
          <w:tcPr>
            <w:tcW w:w="1360" w:type="dxa"/>
            <w:shd w:val="clear" w:color="auto" w:fill="D9E2EC"/>
            <w:vAlign w:val="center"/>
          </w:tcPr>
          <w:p w14:paraId="3E7A7E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修订说明</w:t>
            </w:r>
          </w:p>
        </w:tc>
        <w:tc>
          <w:tcPr>
            <w:tcW w:w="1995" w:type="dxa"/>
            <w:shd w:val="clear" w:color="auto" w:fill="D9E2EC"/>
            <w:vAlign w:val="center"/>
          </w:tcPr>
          <w:p w14:paraId="7C422A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编制/修订人</w:t>
            </w:r>
          </w:p>
        </w:tc>
      </w:tr>
      <w:tr w14:paraId="59E1163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88" w:type="dxa"/>
            <w:vAlign w:val="center"/>
          </w:tcPr>
          <w:p w14:paraId="736EA4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V0.1</w:t>
            </w:r>
          </w:p>
        </w:tc>
        <w:tc>
          <w:tcPr>
            <w:tcW w:w="1360" w:type="dxa"/>
            <w:vAlign w:val="center"/>
          </w:tcPr>
          <w:p w14:paraId="1DC3A6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2026-09-19</w:t>
            </w:r>
          </w:p>
        </w:tc>
        <w:tc>
          <w:tcPr>
            <w:tcW w:w="3265" w:type="dxa"/>
            <w:vAlign w:val="center"/>
          </w:tcPr>
          <w:p w14:paraId="191095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全文</w:t>
            </w:r>
          </w:p>
        </w:tc>
        <w:tc>
          <w:tcPr>
            <w:tcW w:w="1360" w:type="dxa"/>
            <w:vAlign w:val="center"/>
          </w:tcPr>
          <w:p w14:paraId="088183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建立 G3-09 测试计划评审候选，锁定 117 个 AC 级测试编号和测试左移门禁。</w:t>
            </w:r>
          </w:p>
        </w:tc>
        <w:tc>
          <w:tcPr>
            <w:tcW w:w="1995" w:type="dxa"/>
            <w:vAlign w:val="center"/>
          </w:tcPr>
          <w:p w14:paraId="08AEB5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</w:tr>
      <w:tr w14:paraId="07B5F0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88" w:type="dxa"/>
            <w:vAlign w:val="center"/>
          </w:tcPr>
          <w:p w14:paraId="0ABD27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V0.2</w:t>
            </w:r>
          </w:p>
        </w:tc>
        <w:tc>
          <w:tcPr>
            <w:tcW w:w="1360" w:type="dxa"/>
            <w:vAlign w:val="center"/>
          </w:tcPr>
          <w:p w14:paraId="2C064A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2026-09-19</w:t>
            </w:r>
          </w:p>
        </w:tc>
        <w:tc>
          <w:tcPr>
            <w:tcW w:w="3265" w:type="dxa"/>
            <w:vAlign w:val="center"/>
          </w:tcPr>
          <w:p w14:paraId="6C8CCB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封面、目录、5、8、10</w:t>
            </w:r>
          </w:p>
        </w:tc>
        <w:tc>
          <w:tcPr>
            <w:tcW w:w="1360" w:type="dxa"/>
            <w:vAlign w:val="center"/>
          </w:tcPr>
          <w:p w14:paraId="0BE4D6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按 A 审核修正复核主体、目录导航、长表可读性和图 3-1 替代文本。</w:t>
            </w:r>
          </w:p>
        </w:tc>
        <w:tc>
          <w:tcPr>
            <w:tcW w:w="1995" w:type="dxa"/>
            <w:vAlign w:val="center"/>
          </w:tcPr>
          <w:p w14:paraId="3AB30A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</w:tr>
    </w:tbl>
    <w:p w14:paraId="3C2D93A5">
      <w:pPr>
        <w:spacing w:before="160" w:after="120"/>
        <w:jc w:val="left"/>
      </w:pPr>
      <w:r>
        <w:rPr>
          <w:rFonts w:ascii="Times New Roman" w:hAnsi="Times New Roman" w:eastAsia="宋体"/>
        </w:rPr>
        <w:t>注：本表只记录可核验版本事件；执行结果将在后续测试报告和 RTM v4 中形成。</w:t>
      </w:r>
    </w:p>
    <w:p w14:paraId="3B85F9BB">
      <w:pPr>
        <w:rPr>
          <w:color w:val="000000"/>
        </w:rPr>
      </w:pPr>
      <w:r>
        <w:rPr>
          <w:color w:val="000000"/>
        </w:rPr>
        <w:br w:type="page"/>
      </w:r>
    </w:p>
    <w:p w14:paraId="6A52A23E">
      <w:pPr>
        <w:sectPr>
          <w:footerReference r:id="rId3" w:type="default"/>
          <w:pgSz w:w="11906" w:h="16838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24836841">
      <w:pPr>
        <w:jc w:val="center"/>
      </w:pPr>
      <w:r>
        <w:t>目 录</w:t>
      </w:r>
    </w:p>
    <w:p w14:paraId="163396F3">
      <w:pPr>
        <w:pStyle w:val="11"/>
        <w:tabs>
          <w:tab w:val="right" w:leader="dot" w:pos="8500"/>
        </w:tabs>
      </w:pPr>
      <w:r>
        <w:t>1 引言</w:t>
      </w:r>
      <w:r>
        <w:tab/>
      </w:r>
      <w:r>
        <w:t>1</w:t>
      </w:r>
    </w:p>
    <w:p w14:paraId="2F0C6845">
      <w:pPr>
        <w:pStyle w:val="13"/>
        <w:tabs>
          <w:tab w:val="right" w:leader="dot" w:pos="8500"/>
        </w:tabs>
      </w:pPr>
      <w:r>
        <w:t>1.1 编写目的</w:t>
      </w:r>
      <w:r>
        <w:tab/>
      </w:r>
      <w:r>
        <w:t>1</w:t>
      </w:r>
    </w:p>
    <w:p w14:paraId="01679853">
      <w:pPr>
        <w:pStyle w:val="13"/>
        <w:tabs>
          <w:tab w:val="right" w:leader="dot" w:pos="8500"/>
        </w:tabs>
      </w:pPr>
      <w:r>
        <w:t>1.2 测试依据</w:t>
      </w:r>
      <w:r>
        <w:tab/>
      </w:r>
      <w:r>
        <w:t>1</w:t>
      </w:r>
    </w:p>
    <w:p w14:paraId="3883E40C">
      <w:pPr>
        <w:pStyle w:val="13"/>
        <w:tabs>
          <w:tab w:val="right" w:leader="dot" w:pos="8500"/>
        </w:tabs>
      </w:pPr>
      <w:r>
        <w:t>1.3 证据纪律</w:t>
      </w:r>
      <w:r>
        <w:tab/>
      </w:r>
      <w:r>
        <w:t>1</w:t>
      </w:r>
    </w:p>
    <w:p w14:paraId="32B8BE09">
      <w:pPr>
        <w:pStyle w:val="11"/>
        <w:tabs>
          <w:tab w:val="right" w:leader="dot" w:pos="8500"/>
        </w:tabs>
      </w:pPr>
      <w:r>
        <w:t>2 测试范围</w:t>
      </w:r>
      <w:r>
        <w:tab/>
      </w:r>
      <w:r>
        <w:t>1</w:t>
      </w:r>
    </w:p>
    <w:p w14:paraId="3A294640">
      <w:pPr>
        <w:pStyle w:val="13"/>
        <w:tabs>
          <w:tab w:val="right" w:leader="dot" w:pos="8500"/>
        </w:tabs>
      </w:pPr>
      <w:r>
        <w:t>2.1 测试对象与基线</w:t>
      </w:r>
      <w:r>
        <w:tab/>
      </w:r>
      <w:r>
        <w:t>1</w:t>
      </w:r>
    </w:p>
    <w:p w14:paraId="76A29DB9">
      <w:pPr>
        <w:pStyle w:val="13"/>
        <w:tabs>
          <w:tab w:val="right" w:leader="dot" w:pos="8500"/>
        </w:tabs>
      </w:pPr>
      <w:r>
        <w:t>2.2 测试级别</w:t>
      </w:r>
      <w:r>
        <w:tab/>
      </w:r>
      <w:r>
        <w:t>1</w:t>
      </w:r>
    </w:p>
    <w:p w14:paraId="4160608D">
      <w:pPr>
        <w:pStyle w:val="13"/>
        <w:tabs>
          <w:tab w:val="right" w:leader="dot" w:pos="8500"/>
        </w:tabs>
      </w:pPr>
      <w:r>
        <w:t>2.3 覆盖规则</w:t>
      </w:r>
      <w:r>
        <w:tab/>
      </w:r>
      <w:r>
        <w:t>2</w:t>
      </w:r>
    </w:p>
    <w:p w14:paraId="15559F51">
      <w:pPr>
        <w:pStyle w:val="13"/>
        <w:tabs>
          <w:tab w:val="right" w:leader="dot" w:pos="8500"/>
        </w:tabs>
      </w:pPr>
      <w:r>
        <w:t>2.4 不测与延期范围</w:t>
      </w:r>
      <w:r>
        <w:tab/>
      </w:r>
      <w:r>
        <w:t>2</w:t>
      </w:r>
    </w:p>
    <w:p w14:paraId="05DF18AA">
      <w:pPr>
        <w:pStyle w:val="11"/>
        <w:tabs>
          <w:tab w:val="right" w:leader="dot" w:pos="8500"/>
        </w:tabs>
      </w:pPr>
      <w:r>
        <w:t>3 测试策略</w:t>
      </w:r>
      <w:r>
        <w:tab/>
      </w:r>
      <w:r>
        <w:t>2</w:t>
      </w:r>
    </w:p>
    <w:p w14:paraId="200F31CF">
      <w:pPr>
        <w:pStyle w:val="13"/>
        <w:tabs>
          <w:tab w:val="right" w:leader="dot" w:pos="8500"/>
        </w:tabs>
      </w:pPr>
      <w:r>
        <w:t>3.1 测试左移与证据链</w:t>
      </w:r>
      <w:r>
        <w:tab/>
      </w:r>
      <w:r>
        <w:t>2</w:t>
      </w:r>
    </w:p>
    <w:p w14:paraId="08C19F45">
      <w:pPr>
        <w:pStyle w:val="13"/>
        <w:tabs>
          <w:tab w:val="right" w:leader="dot" w:pos="8500"/>
        </w:tabs>
      </w:pPr>
      <w:r>
        <w:t>3.2 分级策略</w:t>
      </w:r>
      <w:r>
        <w:tab/>
      </w:r>
      <w:r>
        <w:t>3</w:t>
      </w:r>
    </w:p>
    <w:p w14:paraId="452A4AD9">
      <w:pPr>
        <w:pStyle w:val="13"/>
        <w:tabs>
          <w:tab w:val="right" w:leader="dot" w:pos="8500"/>
        </w:tabs>
      </w:pPr>
      <w:r>
        <w:t>3.3 测试环境与数据</w:t>
      </w:r>
      <w:r>
        <w:tab/>
      </w:r>
      <w:r>
        <w:t>3</w:t>
      </w:r>
    </w:p>
    <w:p w14:paraId="1944CDA9">
      <w:pPr>
        <w:pStyle w:val="13"/>
        <w:tabs>
          <w:tab w:val="right" w:leader="dot" w:pos="8500"/>
        </w:tabs>
      </w:pPr>
      <w:r>
        <w:t>3.4 缺陷与回归</w:t>
      </w:r>
      <w:r>
        <w:tab/>
      </w:r>
      <w:r>
        <w:t>3</w:t>
      </w:r>
    </w:p>
    <w:p w14:paraId="38BDDF05">
      <w:pPr>
        <w:pStyle w:val="11"/>
        <w:tabs>
          <w:tab w:val="right" w:leader="dot" w:pos="8500"/>
        </w:tabs>
      </w:pPr>
      <w:r>
        <w:t>4 准入与准出</w:t>
      </w:r>
      <w:r>
        <w:tab/>
      </w:r>
      <w:r>
        <w:t>3</w:t>
      </w:r>
    </w:p>
    <w:p w14:paraId="235D972C">
      <w:pPr>
        <w:pStyle w:val="11"/>
        <w:tabs>
          <w:tab w:val="right" w:leader="dot" w:pos="8500"/>
        </w:tabs>
      </w:pPr>
      <w:r>
        <w:t>5 进度、角色与交付</w:t>
      </w:r>
      <w:r>
        <w:tab/>
      </w:r>
      <w:r>
        <w:t>4</w:t>
      </w:r>
    </w:p>
    <w:p w14:paraId="46405477">
      <w:pPr>
        <w:pStyle w:val="13"/>
        <w:tabs>
          <w:tab w:val="right" w:leader="dot" w:pos="8500"/>
        </w:tabs>
      </w:pPr>
      <w:r>
        <w:t>5.1 进度安排</w:t>
      </w:r>
      <w:r>
        <w:tab/>
      </w:r>
      <w:r>
        <w:t>4</w:t>
      </w:r>
    </w:p>
    <w:p w14:paraId="087572E7">
      <w:pPr>
        <w:pStyle w:val="13"/>
        <w:tabs>
          <w:tab w:val="right" w:leader="dot" w:pos="8500"/>
        </w:tabs>
      </w:pPr>
      <w:r>
        <w:t>5.2 角色分工</w:t>
      </w:r>
      <w:r>
        <w:tab/>
      </w:r>
      <w:r>
        <w:t>4</w:t>
      </w:r>
    </w:p>
    <w:p w14:paraId="35265876">
      <w:pPr>
        <w:pStyle w:val="11"/>
        <w:tabs>
          <w:tab w:val="right" w:leader="dot" w:pos="8500"/>
        </w:tabs>
      </w:pPr>
      <w:r>
        <w:t>6 P0 场景与外部联动</w:t>
      </w:r>
      <w:r>
        <w:tab/>
      </w:r>
      <w:r>
        <w:t>4</w:t>
      </w:r>
    </w:p>
    <w:p w14:paraId="0BFD3B4C">
      <w:pPr>
        <w:pStyle w:val="11"/>
        <w:tabs>
          <w:tab w:val="right" w:leader="dot" w:pos="8500"/>
        </w:tabs>
      </w:pPr>
      <w:r>
        <w:t>7 非功能与关键数字验证</w:t>
      </w:r>
      <w:r>
        <w:tab/>
      </w:r>
      <w:r>
        <w:t>5</w:t>
      </w:r>
    </w:p>
    <w:p w14:paraId="61AD9B11">
      <w:pPr>
        <w:pStyle w:val="11"/>
        <w:tabs>
          <w:tab w:val="right" w:leader="dot" w:pos="8500"/>
        </w:tabs>
      </w:pPr>
      <w:r>
        <w:t>8 117 个 AC 级测试设计索引</w:t>
      </w:r>
      <w:r>
        <w:tab/>
      </w:r>
      <w:r>
        <w:t>5</w:t>
      </w:r>
    </w:p>
    <w:p w14:paraId="20FE498D">
      <w:pPr>
        <w:pStyle w:val="11"/>
        <w:tabs>
          <w:tab w:val="right" w:leader="dot" w:pos="8500"/>
        </w:tabs>
        <w:rPr>
          <w:rFonts w:hint="eastAsia" w:eastAsiaTheme="minorEastAsia"/>
          <w:lang w:val="en-US" w:eastAsia="zh-CN"/>
        </w:rPr>
      </w:pPr>
      <w:r>
        <w:t>9 风险与应对</w:t>
      </w:r>
      <w:r>
        <w:tab/>
      </w:r>
      <w:r>
        <w:rPr>
          <w:rFonts w:hint="eastAsia"/>
          <w:lang w:val="en-US" w:eastAsia="zh-CN"/>
        </w:rPr>
        <w:t>7</w:t>
      </w:r>
    </w:p>
    <w:p w14:paraId="323A737A">
      <w:pPr>
        <w:pStyle w:val="11"/>
        <w:tabs>
          <w:tab w:val="right" w:leader="dot" w:pos="8500"/>
        </w:tabs>
        <w:rPr>
          <w:rFonts w:hint="eastAsia" w:eastAsiaTheme="minorEastAsia"/>
          <w:lang w:val="en-US" w:eastAsia="zh-CN"/>
        </w:rPr>
      </w:pPr>
      <w:r>
        <w:t>10 配置、报告与准出结论</w:t>
      </w:r>
      <w:r>
        <w:tab/>
      </w:r>
      <w:r>
        <w:rPr>
          <w:rFonts w:hint="eastAsia"/>
          <w:lang w:val="en-US" w:eastAsia="zh-CN"/>
        </w:rPr>
        <w:t>8</w:t>
      </w:r>
    </w:p>
    <w:p w14:paraId="4EE021BF">
      <w:pPr>
        <w:pStyle w:val="11"/>
        <w:tabs>
          <w:tab w:val="right" w:leader="dot" w:pos="8500"/>
        </w:tabs>
        <w:rPr>
          <w:rFonts w:hint="eastAsia" w:eastAsiaTheme="minorEastAsia"/>
          <w:lang w:val="en-US" w:eastAsia="zh-CN"/>
        </w:rPr>
        <w:sectPr>
          <w:pgSz w:w="11906" w:h="16838"/>
          <w:pgMar w:top="1440" w:right="1440" w:bottom="1440" w:left="1440" w:header="708" w:footer="708" w:gutter="0"/>
          <w:pgNumType w:fmt="upperRoman" w:start="1"/>
          <w:cols w:space="720" w:num="1"/>
          <w:docGrid w:linePitch="360" w:charSpace="0"/>
        </w:sectPr>
      </w:pPr>
      <w:r>
        <w:t>附录 A 证据包最小字段</w:t>
      </w:r>
      <w:r>
        <w:tab/>
      </w:r>
      <w:r>
        <w:rPr>
          <w:rFonts w:hint="eastAsia"/>
          <w:lang w:val="en-US" w:eastAsia="zh-CN"/>
        </w:rPr>
        <w:t>8</w:t>
      </w:r>
    </w:p>
    <w:p w14:paraId="149C4F72"/>
    <w:p w14:paraId="4370B9EC">
      <w:pPr>
        <w:pStyle w:val="2"/>
        <w:keepNext/>
      </w:pPr>
      <w:r>
        <w:rPr>
          <w:rFonts w:ascii="Times New Roman" w:hAnsi="Times New Roman" w:eastAsia="黑体"/>
          <w:b/>
        </w:rPr>
        <w:t>1 引言</w:t>
      </w:r>
    </w:p>
    <w:p w14:paraId="7F4F66B3">
      <w:pPr>
        <w:pStyle w:val="3"/>
        <w:keepNext/>
      </w:pPr>
      <w:r>
        <w:rPr>
          <w:rFonts w:ascii="Times New Roman" w:hAnsi="Times New Roman" w:eastAsia="黑体"/>
          <w:b/>
        </w:rPr>
        <w:t>1.1 编写目的</w:t>
      </w:r>
    </w:p>
    <w:p w14:paraId="61A42262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本计划在设计完成时锁定测试范围、级别、策略、进度、准入准出、环境和证据口径，使 39 条 FR、34 条★、117 条 AC 以及 PE/NFR/接口边界可在后续实现阶段直接转化为可重复测试。G3-09 只形成测试计划和用例设计，不把尚未执行的测试预填为通过。</w:t>
      </w:r>
    </w:p>
    <w:p w14:paraId="16EC37A7">
      <w:pPr>
        <w:pStyle w:val="3"/>
        <w:keepNext/>
      </w:pPr>
      <w:r>
        <w:rPr>
          <w:rFonts w:ascii="Times New Roman" w:hAnsi="Times New Roman" w:eastAsia="黑体"/>
          <w:b/>
        </w:rPr>
        <w:t>1.2 测试依据</w:t>
      </w:r>
    </w:p>
    <w:p w14:paraId="4A079DD2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docs/work/B_TECH/spec.md：39 条 FR、117 条 Given/When/Then AC 与 G2-RCLR-001—010。</w:t>
      </w:r>
    </w:p>
    <w:p w14:paraId="142AF2AA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docs/work/C_REQ/rtm_v1.md：FR—AC—ARCH/DLD/DBD/API—测试占位双向追踪。</w:t>
      </w:r>
    </w:p>
    <w:p w14:paraId="567C45F3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G3-03—G3-07：概要、详细、数据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库、接口/OpenAPI、ADR 与非功能设计。</w:t>
      </w:r>
    </w:p>
    <w:p w14:paraId="4C261BDC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control/facts.md、control/key_numbers.md、control/issues.md：事实、数字、责任边界和开放阻断。</w:t>
      </w:r>
    </w:p>
    <w:p w14:paraId="696D51BA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GB/T 15532-2008：测试级别、计划、用例、执行、缺陷与结果记录组织依据。</w:t>
      </w:r>
    </w:p>
    <w:p w14:paraId="37011EE6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GB/T 25000.10 质量特性映射：性能效率、可靠性、安全性、兼容性、易用性、可维护性和可移植性测试分类依据。</w:t>
      </w:r>
    </w:p>
    <w:p w14:paraId="301DBF20">
      <w:pPr>
        <w:pStyle w:val="3"/>
        <w:keepNext/>
      </w:pPr>
      <w:r>
        <w:rPr>
          <w:rFonts w:ascii="Times New Roman" w:hAnsi="Times New Roman" w:eastAsia="黑体"/>
          <w:b/>
        </w:rPr>
        <w:t>1.3 证据纪律</w:t>
      </w:r>
    </w:p>
    <w:p w14:paraId="00635649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每次执行必须记录版本、环境、数据集、脚本或步骤、起止时间、操作者、原始结果、缺陷号和结论。Mock、桩、静态扫描、文档检查和渲染 QA 只能证明其对应层级，不得替代真实接口、目标环境性能、安全、恢复或验收证据。ISSUE-G3-01-001 保持 OPEN，视频和统一消息通道的真实字段、认证、回执与连通结论不得预填。</w:t>
      </w:r>
    </w:p>
    <w:p w14:paraId="0D5C087F">
      <w:pPr>
        <w:pStyle w:val="2"/>
        <w:keepNext/>
      </w:pPr>
      <w:r>
        <w:rPr>
          <w:rFonts w:ascii="Times New Roman" w:hAnsi="Times New Roman" w:eastAsia="黑体"/>
          <w:b/>
        </w:rPr>
        <w:t>2 测试范围</w:t>
      </w:r>
    </w:p>
    <w:p w14:paraId="3FD637D6">
      <w:pPr>
        <w:pStyle w:val="3"/>
        <w:keepNext/>
      </w:pPr>
      <w:r>
        <w:rPr>
          <w:rFonts w:ascii="Times New Roman" w:hAnsi="Times New Roman" w:eastAsia="黑体"/>
          <w:b/>
        </w:rPr>
        <w:t>2.1 测试对象与基线</w:t>
      </w:r>
    </w:p>
    <w:p w14:paraId="4F9C7458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2-1 测试对象与基线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40FBC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2CD32A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测试对象</w:t>
            </w:r>
          </w:p>
        </w:tc>
        <w:tc>
          <w:tcPr>
            <w:tcW w:w="2433" w:type="dxa"/>
            <w:vAlign w:val="center"/>
          </w:tcPr>
          <w:p w14:paraId="06D491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受控规模</w:t>
            </w:r>
          </w:p>
        </w:tc>
        <w:tc>
          <w:tcPr>
            <w:tcW w:w="2765" w:type="dxa"/>
            <w:vAlign w:val="center"/>
          </w:tcPr>
          <w:p w14:paraId="3535C7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主要依据</w:t>
            </w:r>
          </w:p>
        </w:tc>
        <w:tc>
          <w:tcPr>
            <w:tcW w:w="2544" w:type="dxa"/>
            <w:vAlign w:val="center"/>
          </w:tcPr>
          <w:p w14:paraId="336D404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本计划状态</w:t>
            </w:r>
          </w:p>
        </w:tc>
      </w:tr>
      <w:tr w14:paraId="1629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91E9F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功能需求</w:t>
            </w:r>
          </w:p>
        </w:tc>
        <w:tc>
          <w:tcPr>
            <w:tcW w:w="2433" w:type="dxa"/>
            <w:vAlign w:val="center"/>
          </w:tcPr>
          <w:p w14:paraId="65DB60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39 FR、117 AC、34★</w:t>
            </w:r>
          </w:p>
        </w:tc>
        <w:tc>
          <w:tcPr>
            <w:tcW w:w="2765" w:type="dxa"/>
            <w:vAlign w:val="center"/>
          </w:tcPr>
          <w:p w14:paraId="57539D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spec、SRS、RTM</w:t>
            </w:r>
          </w:p>
        </w:tc>
        <w:tc>
          <w:tcPr>
            <w:tcW w:w="2544" w:type="dxa"/>
            <w:vAlign w:val="center"/>
          </w:tcPr>
          <w:p w14:paraId="0CB090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117 个 AC 级测试设计已编号，待实现/执行</w:t>
            </w:r>
          </w:p>
        </w:tc>
      </w:tr>
      <w:tr w14:paraId="07944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E6967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设计与数据</w:t>
            </w:r>
          </w:p>
        </w:tc>
        <w:tc>
          <w:tcPr>
            <w:tcW w:w="2433" w:type="dxa"/>
            <w:vAlign w:val="center"/>
          </w:tcPr>
          <w:p w14:paraId="709163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39 DLD-TR、39 DBD-TR、39 API-TR</w:t>
            </w:r>
          </w:p>
        </w:tc>
        <w:tc>
          <w:tcPr>
            <w:tcW w:w="2765" w:type="dxa"/>
            <w:vAlign w:val="center"/>
          </w:tcPr>
          <w:p w14:paraId="7D45E7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11—15 号交付物</w:t>
            </w:r>
          </w:p>
        </w:tc>
        <w:tc>
          <w:tcPr>
            <w:tcW w:w="2544" w:type="dxa"/>
            <w:vAlign w:val="center"/>
          </w:tcPr>
          <w:p w14:paraId="5145A8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设计可追踪，代码与数据库未实现</w:t>
            </w:r>
          </w:p>
        </w:tc>
      </w:tr>
      <w:tr w14:paraId="7FDA5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3080C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接口契约</w:t>
            </w:r>
          </w:p>
        </w:tc>
        <w:tc>
          <w:tcPr>
            <w:tcW w:w="2433" w:type="dxa"/>
            <w:vAlign w:val="center"/>
          </w:tcPr>
          <w:p w14:paraId="27EB19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OpenAPI 57 项操作、8 个外部端口</w:t>
            </w:r>
          </w:p>
        </w:tc>
        <w:tc>
          <w:tcPr>
            <w:tcW w:w="2765" w:type="dxa"/>
            <w:vAlign w:val="center"/>
          </w:tcPr>
          <w:p w14:paraId="4C5EAA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14、15 号交付物</w:t>
            </w:r>
          </w:p>
        </w:tc>
        <w:tc>
          <w:tcPr>
            <w:tcW w:w="2544" w:type="dxa"/>
            <w:vAlign w:val="center"/>
          </w:tcPr>
          <w:p w14:paraId="73D40C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静态契约可检查，真实联调待环境</w:t>
            </w:r>
          </w:p>
        </w:tc>
      </w:tr>
      <w:tr w14:paraId="627ED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62B58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非功能</w:t>
            </w:r>
          </w:p>
        </w:tc>
        <w:tc>
          <w:tcPr>
            <w:tcW w:w="2433" w:type="dxa"/>
            <w:vAlign w:val="center"/>
          </w:tcPr>
          <w:p w14:paraId="76F4EF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PE-01—12、容量/可靠性/安全/兼容/易用/维护/移植</w:t>
            </w:r>
          </w:p>
        </w:tc>
        <w:tc>
          <w:tcPr>
            <w:tcW w:w="2765" w:type="dxa"/>
            <w:vAlign w:val="center"/>
          </w:tcPr>
          <w:p w14:paraId="52F9A1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18 号交付物</w:t>
            </w:r>
          </w:p>
        </w:tc>
        <w:tc>
          <w:tcPr>
            <w:tcW w:w="2544" w:type="dxa"/>
            <w:vAlign w:val="center"/>
          </w:tcPr>
          <w:p w14:paraId="37597D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方法与证据口径已定义，结果待测</w:t>
            </w:r>
          </w:p>
        </w:tc>
      </w:tr>
      <w:tr w14:paraId="5B106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7E744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澄清裁决</w:t>
            </w:r>
          </w:p>
        </w:tc>
        <w:tc>
          <w:tcPr>
            <w:tcW w:w="2433" w:type="dxa"/>
            <w:vAlign w:val="center"/>
          </w:tcPr>
          <w:p w14:paraId="70189B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G2-RCLR-001—010</w:t>
            </w:r>
          </w:p>
        </w:tc>
        <w:tc>
          <w:tcPr>
            <w:tcW w:w="2765" w:type="dxa"/>
            <w:vAlign w:val="center"/>
          </w:tcPr>
          <w:p w14:paraId="6D465B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spec §3.6、RTM</w:t>
            </w:r>
          </w:p>
        </w:tc>
        <w:tc>
          <w:tcPr>
            <w:tcW w:w="2544" w:type="dxa"/>
            <w:vAlign w:val="center"/>
          </w:tcPr>
          <w:p w14:paraId="585D07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纳入相关 AC 的正例、反例和异常场景</w:t>
            </w:r>
          </w:p>
        </w:tc>
      </w:tr>
    </w:tbl>
    <w:p w14:paraId="73E89E57">
      <w:pPr>
        <w:pStyle w:val="3"/>
        <w:keepNext/>
      </w:pPr>
      <w:r>
        <w:rPr>
          <w:rFonts w:ascii="Times New Roman" w:hAnsi="Times New Roman" w:eastAsia="黑体"/>
          <w:b/>
        </w:rPr>
        <w:t>2.2 测试级别</w:t>
      </w:r>
    </w:p>
    <w:p w14:paraId="5A2BD404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2-2 测试级别、责任与目标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0937D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7B2082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级别</w:t>
            </w:r>
          </w:p>
        </w:tc>
        <w:tc>
          <w:tcPr>
            <w:tcW w:w="2433" w:type="dxa"/>
            <w:vAlign w:val="center"/>
          </w:tcPr>
          <w:p w14:paraId="395742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目标</w:t>
            </w:r>
          </w:p>
        </w:tc>
        <w:tc>
          <w:tcPr>
            <w:tcW w:w="2765" w:type="dxa"/>
            <w:vAlign w:val="center"/>
          </w:tcPr>
          <w:p w14:paraId="70C04B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主要范围</w:t>
            </w:r>
          </w:p>
        </w:tc>
        <w:tc>
          <w:tcPr>
            <w:tcW w:w="2544" w:type="dxa"/>
            <w:vAlign w:val="center"/>
          </w:tcPr>
          <w:p w14:paraId="6746D4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主责 / 复核</w:t>
            </w:r>
          </w:p>
        </w:tc>
      </w:tr>
      <w:tr w14:paraId="75D71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1DDB1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单元测试</w:t>
            </w:r>
          </w:p>
        </w:tc>
        <w:tc>
          <w:tcPr>
            <w:tcW w:w="2433" w:type="dxa"/>
            <w:vAlign w:val="center"/>
          </w:tcPr>
          <w:p w14:paraId="6084B5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验证状态机、校验、幂等、权限和计算规则</w:t>
            </w:r>
          </w:p>
        </w:tc>
        <w:tc>
          <w:tcPr>
            <w:tcW w:w="2765" w:type="dxa"/>
            <w:vAlign w:val="center"/>
          </w:tcPr>
          <w:p w14:paraId="39D9CD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领域服务、规则、值对象、映射器</w:t>
            </w:r>
          </w:p>
        </w:tc>
        <w:tc>
          <w:tcPr>
            <w:tcW w:w="2544" w:type="dxa"/>
            <w:vAlign w:val="center"/>
          </w:tcPr>
          <w:p w14:paraId="597437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 / A、C</w:t>
            </w:r>
          </w:p>
        </w:tc>
      </w:tr>
      <w:tr w14:paraId="40625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905EE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组件与集成测试</w:t>
            </w:r>
          </w:p>
        </w:tc>
        <w:tc>
          <w:tcPr>
            <w:tcW w:w="2433" w:type="dxa"/>
            <w:vAlign w:val="center"/>
          </w:tcPr>
          <w:p w14:paraId="66FDCA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验证模块、数据库、Outbox、文件和外部适配器协作</w:t>
            </w:r>
          </w:p>
        </w:tc>
        <w:tc>
          <w:tcPr>
            <w:tcW w:w="2765" w:type="dxa"/>
            <w:vAlign w:val="center"/>
          </w:tcPr>
          <w:p w14:paraId="0BB142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MOD-*、DBD-TR、DLD-TR、EXT-*</w:t>
            </w:r>
          </w:p>
        </w:tc>
        <w:tc>
          <w:tcPr>
            <w:tcW w:w="2544" w:type="dxa"/>
            <w:vAlign w:val="center"/>
          </w:tcPr>
          <w:p w14:paraId="388C96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 / C</w:t>
            </w:r>
          </w:p>
        </w:tc>
      </w:tr>
      <w:tr w14:paraId="28D7E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12250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契约测试</w:t>
            </w:r>
          </w:p>
        </w:tc>
        <w:tc>
          <w:tcPr>
            <w:tcW w:w="2433" w:type="dxa"/>
            <w:vAlign w:val="center"/>
          </w:tcPr>
          <w:p w14:paraId="441CAA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阻断 OpenAPI、错误码和事件结构漂移</w:t>
            </w:r>
          </w:p>
        </w:tc>
        <w:tc>
          <w:tcPr>
            <w:tcW w:w="2765" w:type="dxa"/>
            <w:vAlign w:val="center"/>
          </w:tcPr>
          <w:p w14:paraId="0BE1B8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57 项操作、API-TR-001—039</w:t>
            </w:r>
          </w:p>
        </w:tc>
        <w:tc>
          <w:tcPr>
            <w:tcW w:w="2544" w:type="dxa"/>
            <w:vAlign w:val="center"/>
          </w:tcPr>
          <w:p w14:paraId="61E90C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 / A、C</w:t>
            </w:r>
          </w:p>
        </w:tc>
      </w:tr>
      <w:tr w14:paraId="1187F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DEE98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系统测试</w:t>
            </w:r>
          </w:p>
        </w:tc>
        <w:tc>
          <w:tcPr>
            <w:tcW w:w="2433" w:type="dxa"/>
            <w:vAlign w:val="center"/>
          </w:tcPr>
          <w:p w14:paraId="7BF594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按业务角色执行 39 FR/117 AC 端到端场景</w:t>
            </w:r>
          </w:p>
        </w:tc>
        <w:tc>
          <w:tcPr>
            <w:tcW w:w="2765" w:type="dxa"/>
            <w:vAlign w:val="center"/>
          </w:tcPr>
          <w:p w14:paraId="72490F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Web、H5、应用服务、数据与地图</w:t>
            </w:r>
          </w:p>
        </w:tc>
        <w:tc>
          <w:tcPr>
            <w:tcW w:w="2544" w:type="dxa"/>
            <w:vAlign w:val="center"/>
          </w:tcPr>
          <w:p w14:paraId="3D840D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 / A</w:t>
            </w:r>
          </w:p>
        </w:tc>
      </w:tr>
      <w:tr w14:paraId="7DBAE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9B42E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专项测试</w:t>
            </w:r>
          </w:p>
        </w:tc>
        <w:tc>
          <w:tcPr>
            <w:tcW w:w="2433" w:type="dxa"/>
            <w:vAlign w:val="center"/>
          </w:tcPr>
          <w:p w14:paraId="15B050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验证性能、可靠性、安全、兼容、易用、恢复和部署</w:t>
            </w:r>
          </w:p>
        </w:tc>
        <w:tc>
          <w:tcPr>
            <w:tcW w:w="2765" w:type="dxa"/>
            <w:vAlign w:val="center"/>
          </w:tcPr>
          <w:p w14:paraId="77B8EE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PE/NFR/ENG 与关键数字</w:t>
            </w:r>
          </w:p>
        </w:tc>
        <w:tc>
          <w:tcPr>
            <w:tcW w:w="2544" w:type="dxa"/>
            <w:vAlign w:val="center"/>
          </w:tcPr>
          <w:p w14:paraId="423E9C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 组织，B 技术支持，A 协调</w:t>
            </w:r>
          </w:p>
        </w:tc>
      </w:tr>
      <w:tr w14:paraId="1E6E2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FE181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验收支持</w:t>
            </w:r>
          </w:p>
        </w:tc>
        <w:tc>
          <w:tcPr>
            <w:tcW w:w="2433" w:type="dxa"/>
            <w:vAlign w:val="center"/>
          </w:tcPr>
          <w:p w14:paraId="05FC24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整理可由甲方复核的测试包和偏差</w:t>
            </w:r>
          </w:p>
        </w:tc>
        <w:tc>
          <w:tcPr>
            <w:tcW w:w="2765" w:type="dxa"/>
            <w:vAlign w:val="center"/>
          </w:tcPr>
          <w:p w14:paraId="380F59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★、关键数字、外部接口、交付物</w:t>
            </w:r>
          </w:p>
        </w:tc>
        <w:tc>
          <w:tcPr>
            <w:tcW w:w="2544" w:type="dxa"/>
            <w:vAlign w:val="center"/>
          </w:tcPr>
          <w:p w14:paraId="3B64AF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 组织，B/C 支持</w:t>
            </w:r>
          </w:p>
        </w:tc>
      </w:tr>
    </w:tbl>
    <w:p w14:paraId="61C49912">
      <w:pPr>
        <w:pStyle w:val="3"/>
        <w:keepNext/>
      </w:pPr>
      <w:r>
        <w:rPr>
          <w:rFonts w:ascii="Times New Roman" w:hAnsi="Times New Roman" w:eastAsia="黑体"/>
          <w:b/>
        </w:rPr>
        <w:t>2.3 覆盖规则</w:t>
      </w:r>
    </w:p>
    <w:p w14:paraId="0005A08B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1. 每条 AC 对应一个稳定测试编号 TC-G2-FR-nnn-xx，共 117 个；一个设计用例可由多条自动化函数或人工步骤实现。</w:t>
      </w:r>
    </w:p>
    <w:p w14:paraId="627DAFD4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2. 34 条★的 102 个 AC 必须全部执行并通过；任何失败或缺证据均阻断发布候选。</w:t>
      </w:r>
    </w:p>
    <w:p w14:paraId="44C8AC8A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3. 每条 FR 至少覆盖正常路径和权限、边界或失败路径；性能型 AC 必须记录环境、数据规模、分位值、错误率和资源使用。</w:t>
      </w:r>
    </w:p>
    <w:p w14:paraId="563D9317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4. 每条测试必须反向回指 AC、设计 ID、执行结果和缺陷；无需求来源的孤儿用例不得纳入覆盖率。</w:t>
      </w:r>
    </w:p>
    <w:p w14:paraId="1BF6C2BD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5. 核心单元测试覆盖率目标为 ≥70%，39 FR 功能覆盖与验收用例通过率目标为 100%；这些均是后续执行门禁，不是 G3-09 已测结论。</w:t>
      </w:r>
    </w:p>
    <w:p w14:paraId="1859B30A">
      <w:pPr>
        <w:pStyle w:val="3"/>
        <w:keepNext/>
      </w:pPr>
      <w:r>
        <w:rPr>
          <w:rFonts w:ascii="Times New Roman" w:hAnsi="Times New Roman" w:eastAsia="黑体"/>
          <w:b/>
        </w:rPr>
        <w:t>2.4 不测与延期范围</w:t>
      </w:r>
    </w:p>
    <w:p w14:paraId="1E251E83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不验证甲方既有视频系统的录像存储实现，只验证本项目接口调阅、回放及甲方提供的 ≥30 天保存证据。</w:t>
      </w:r>
    </w:p>
    <w:p w14:paraId="73F77CBD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不重新测绘、不制作三维模型，不测试宿主 APP 原生功能；只测试甲方服务加载、叠加和 H5 嵌入适配。</w:t>
      </w:r>
    </w:p>
    <w:p w14:paraId="5FA40838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不把第三方中台、定位、门禁、消防、入侵和物联网内部实现纳入白盒测试，只验证适配契约、授权边界、错误、降级和审计。</w:t>
      </w:r>
    </w:p>
    <w:p w14:paraId="521A759F">
      <w:pPr>
        <w:pStyle w:val="21"/>
        <w:spacing w:after="100" w:line="300" w:lineRule="auto"/>
      </w:pPr>
      <w:r>
        <w:rPr>
          <w:rFonts w:ascii="Times New Roman" w:hAnsi="Times New Roman" w:eastAsia="宋体"/>
          <w:sz w:val="21"/>
        </w:rPr>
        <w:t>ISSUE-G3-01-001 关闭前，PE-04、PE-06 以及视频/消息真实联调只能保持 BLOCKED/PENDING，不能用桩测结果替代。</w:t>
      </w:r>
    </w:p>
    <w:p w14:paraId="366991AF">
      <w:pPr>
        <w:pStyle w:val="2"/>
        <w:keepNext/>
      </w:pPr>
      <w:r>
        <w:rPr>
          <w:rFonts w:ascii="Times New Roman" w:hAnsi="Times New Roman" w:eastAsia="黑体"/>
          <w:b/>
        </w:rPr>
        <w:t>3 测试策略</w:t>
      </w:r>
    </w:p>
    <w:p w14:paraId="18A40556">
      <w:pPr>
        <w:pStyle w:val="3"/>
        <w:keepNext/>
      </w:pPr>
      <w:r>
        <w:rPr>
          <w:rFonts w:ascii="Times New Roman" w:hAnsi="Times New Roman" w:eastAsia="黑体"/>
          <w:b/>
        </w:rPr>
        <w:t>3.1 测试左移与证据链</w:t>
      </w:r>
    </w:p>
    <w:p w14:paraId="485ECCF3">
      <w:pPr>
        <w:jc w:val="center"/>
      </w:pPr>
      <w:r>
        <w:drawing>
          <wp:inline distT="0" distB="0" distL="114300" distR="114300">
            <wp:extent cx="5471795" cy="2051685"/>
            <wp:effectExtent l="0" t="0" r="14605" b="5715"/>
            <wp:docPr id="1" name="Picture 1" descr="展示单元测试、集成测试、系统测试到验收测试的四级证据递进关系。" title="图 3-1 四级测试与验收证据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展示单元测试、集成测试、系统测试到验收测试的四级证据递进关系。" title="图 3-1 四级测试与验收证据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B123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图 3-1 四级测试与验收证据链</w:t>
      </w:r>
    </w:p>
    <w:p w14:paraId="1C3D47CF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设计评审即检查 AC 的可测试性、设计 ID 落点和失败语义；开发时先建立可失败的单元、契约或集成断言；系统测试按 RTM 运行端到端场景；验收阶段只接收具有版本、环境、原始结果和缺陷闭环的证据。</w:t>
      </w:r>
    </w:p>
    <w:p w14:paraId="70C10140">
      <w:pPr>
        <w:pStyle w:val="3"/>
        <w:keepNext/>
      </w:pPr>
      <w:r>
        <w:rPr>
          <w:rFonts w:ascii="Times New Roman" w:hAnsi="Times New Roman" w:eastAsia="黑体"/>
          <w:b/>
        </w:rPr>
        <w:t>3.2 分级策略</w:t>
      </w:r>
    </w:p>
    <w:p w14:paraId="25954FB1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3-1 测试策略与执行规则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7D758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4FA111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策略</w:t>
            </w:r>
          </w:p>
        </w:tc>
        <w:tc>
          <w:tcPr>
            <w:tcW w:w="2433" w:type="dxa"/>
            <w:vAlign w:val="center"/>
          </w:tcPr>
          <w:p w14:paraId="4A9A4F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执行方法</w:t>
            </w:r>
          </w:p>
        </w:tc>
        <w:tc>
          <w:tcPr>
            <w:tcW w:w="2765" w:type="dxa"/>
            <w:vAlign w:val="center"/>
          </w:tcPr>
          <w:p w14:paraId="734CE2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证据</w:t>
            </w:r>
          </w:p>
        </w:tc>
        <w:tc>
          <w:tcPr>
            <w:tcW w:w="2544" w:type="dxa"/>
            <w:vAlign w:val="center"/>
          </w:tcPr>
          <w:p w14:paraId="08E5CA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失败处置</w:t>
            </w:r>
          </w:p>
        </w:tc>
      </w:tr>
      <w:tr w14:paraId="5B500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A2032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单元与属性测试</w:t>
            </w:r>
          </w:p>
        </w:tc>
        <w:tc>
          <w:tcPr>
            <w:tcW w:w="2433" w:type="dxa"/>
            <w:vAlign w:val="center"/>
          </w:tcPr>
          <w:p w14:paraId="5FFA0B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对状态转移、幂等键、时限、权限和统计规则覆盖正常、边界、非法输入</w:t>
            </w:r>
          </w:p>
        </w:tc>
        <w:tc>
          <w:tcPr>
            <w:tcW w:w="2765" w:type="dxa"/>
            <w:vAlign w:val="center"/>
          </w:tcPr>
          <w:p w14:paraId="0E7C23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测试日志、覆盖率、断言明细</w:t>
            </w:r>
          </w:p>
        </w:tc>
        <w:tc>
          <w:tcPr>
            <w:tcW w:w="2544" w:type="dxa"/>
            <w:vAlign w:val="center"/>
          </w:tcPr>
          <w:p w14:paraId="6A3A32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阻断合并，修复后回归</w:t>
            </w:r>
          </w:p>
        </w:tc>
      </w:tr>
      <w:tr w14:paraId="7CE78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E7773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契约测试</w:t>
            </w:r>
          </w:p>
        </w:tc>
        <w:tc>
          <w:tcPr>
            <w:tcW w:w="2433" w:type="dxa"/>
            <w:vAlign w:val="center"/>
          </w:tcPr>
          <w:p w14:paraId="2C90D6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解析 OpenAPI，校验 schema、必填字段、错误码、traceId、版本兼容和破坏性差异</w:t>
            </w:r>
          </w:p>
        </w:tc>
        <w:tc>
          <w:tcPr>
            <w:tcW w:w="2765" w:type="dxa"/>
            <w:vAlign w:val="center"/>
          </w:tcPr>
          <w:p w14:paraId="438D76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校验报告、契约快照、差异报告</w:t>
            </w:r>
          </w:p>
        </w:tc>
        <w:tc>
          <w:tcPr>
            <w:tcW w:w="2544" w:type="dxa"/>
            <w:vAlign w:val="center"/>
          </w:tcPr>
          <w:p w14:paraId="6B14C1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破坏性变更进入 Change/ADR</w:t>
            </w:r>
          </w:p>
        </w:tc>
      </w:tr>
      <w:tr w14:paraId="1FC6D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BE2C8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数据与迁移测试</w:t>
            </w:r>
          </w:p>
        </w:tc>
        <w:tc>
          <w:tcPr>
            <w:tcW w:w="2433" w:type="dxa"/>
            <w:vAlign w:val="center"/>
          </w:tcPr>
          <w:p w14:paraId="4878BE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在空库、升级库和回滚路径执行迁移，核对约束、索引、审计和引用完整性</w:t>
            </w:r>
          </w:p>
        </w:tc>
        <w:tc>
          <w:tcPr>
            <w:tcW w:w="2765" w:type="dxa"/>
            <w:vAlign w:val="center"/>
          </w:tcPr>
          <w:p w14:paraId="6730E6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迁移日志、校验 SQL、摘要</w:t>
            </w:r>
          </w:p>
        </w:tc>
        <w:tc>
          <w:tcPr>
            <w:tcW w:w="2544" w:type="dxa"/>
            <w:vAlign w:val="center"/>
          </w:tcPr>
          <w:p w14:paraId="27A044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阻断部署候选</w:t>
            </w:r>
          </w:p>
        </w:tc>
      </w:tr>
      <w:tr w14:paraId="791A8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990E4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集成与故障注入</w:t>
            </w:r>
          </w:p>
        </w:tc>
        <w:tc>
          <w:tcPr>
            <w:tcW w:w="2433" w:type="dxa"/>
            <w:vAlign w:val="center"/>
          </w:tcPr>
          <w:p w14:paraId="0C7F1F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 8 个 EXT 端口覆盖成功、无权、超时、断连、重复和未知载荷</w:t>
            </w:r>
          </w:p>
        </w:tc>
        <w:tc>
          <w:tcPr>
            <w:tcW w:w="2765" w:type="dxa"/>
            <w:vAlign w:val="center"/>
          </w:tcPr>
          <w:p w14:paraId="41DDE9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请求响应/回执、适配器日志、告警</w:t>
            </w:r>
          </w:p>
        </w:tc>
        <w:tc>
          <w:tcPr>
            <w:tcW w:w="2544" w:type="dxa"/>
            <w:vAlign w:val="center"/>
          </w:tcPr>
          <w:p w14:paraId="2D37F6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进入重试、降级或人工处置并建缺陷</w:t>
            </w:r>
          </w:p>
        </w:tc>
      </w:tr>
      <w:tr w14:paraId="7526E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7A72D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系统与回归</w:t>
            </w:r>
          </w:p>
        </w:tc>
        <w:tc>
          <w:tcPr>
            <w:tcW w:w="2433" w:type="dxa"/>
            <w:vAlign w:val="center"/>
          </w:tcPr>
          <w:p w14:paraId="41BAC8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按角色从 Web/H5 执行 117 个 AC 级场景，变更影响集纳入回归</w:t>
            </w:r>
          </w:p>
        </w:tc>
        <w:tc>
          <w:tcPr>
            <w:tcW w:w="2765" w:type="dxa"/>
            <w:vAlign w:val="center"/>
          </w:tcPr>
          <w:p w14:paraId="7111B3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截图/录像索引、业务记录、审计、结果表</w:t>
            </w:r>
          </w:p>
        </w:tc>
        <w:tc>
          <w:tcPr>
            <w:tcW w:w="2544" w:type="dxa"/>
            <w:vAlign w:val="center"/>
          </w:tcPr>
          <w:p w14:paraId="074BE5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失败 AC 标红并阻断准出</w:t>
            </w:r>
          </w:p>
        </w:tc>
      </w:tr>
      <w:tr w14:paraId="08940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E884B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性能与容量</w:t>
            </w:r>
          </w:p>
        </w:tc>
        <w:tc>
          <w:tcPr>
            <w:tcW w:w="2433" w:type="dxa"/>
            <w:vAlign w:val="center"/>
          </w:tcPr>
          <w:p w14:paraId="2F1D4D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采用受控数据、预热、重复轮次，记录 P50/P95/P99、吞吐、错误率、CPU/内存/连接</w:t>
            </w:r>
          </w:p>
        </w:tc>
        <w:tc>
          <w:tcPr>
            <w:tcW w:w="2765" w:type="dxa"/>
            <w:vAlign w:val="center"/>
          </w:tcPr>
          <w:p w14:paraId="6F46DA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脚本、原始数据、资源曲线、报告</w:t>
            </w:r>
          </w:p>
        </w:tc>
        <w:tc>
          <w:tcPr>
            <w:tcW w:w="2544" w:type="dxa"/>
            <w:vAlign w:val="center"/>
          </w:tcPr>
          <w:p w14:paraId="4B4365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未达指标不得以平均值掩盖</w:t>
            </w:r>
          </w:p>
        </w:tc>
      </w:tr>
      <w:tr w14:paraId="0D6B6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20D5A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安全测试</w:t>
            </w:r>
          </w:p>
        </w:tc>
        <w:tc>
          <w:tcPr>
            <w:tcW w:w="2433" w:type="dxa"/>
            <w:vAlign w:val="center"/>
          </w:tcPr>
          <w:p w14:paraId="0D84AE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执行 SCA、漏洞扫描、鉴权、越权、输入、导出、日志脱敏和高危复测</w:t>
            </w:r>
          </w:p>
        </w:tc>
        <w:tc>
          <w:tcPr>
            <w:tcW w:w="2765" w:type="dxa"/>
            <w:vAlign w:val="center"/>
          </w:tcPr>
          <w:p w14:paraId="53A7AB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扫描报告、请求证据、复测记录</w:t>
            </w:r>
          </w:p>
        </w:tc>
        <w:tc>
          <w:tcPr>
            <w:tcW w:w="2544" w:type="dxa"/>
            <w:vAlign w:val="center"/>
          </w:tcPr>
          <w:p w14:paraId="3EB74D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高危未清零禁止发布</w:t>
            </w:r>
          </w:p>
        </w:tc>
      </w:tr>
      <w:tr w14:paraId="45A23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3EE8A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恢复与兼容</w:t>
            </w:r>
          </w:p>
        </w:tc>
        <w:tc>
          <w:tcPr>
            <w:tcW w:w="2433" w:type="dxa"/>
            <w:vAlign w:val="center"/>
          </w:tcPr>
          <w:p w14:paraId="2B6050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演练进程/数据库/适配器故障和备份恢复；按甲方确认矩阵测试浏览器/H5 宿主</w:t>
            </w:r>
          </w:p>
        </w:tc>
        <w:tc>
          <w:tcPr>
            <w:tcW w:w="2765" w:type="dxa"/>
            <w:vAlign w:val="center"/>
          </w:tcPr>
          <w:p w14:paraId="024A71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演练记录、恢复摘要、兼容矩阵</w:t>
            </w:r>
          </w:p>
        </w:tc>
        <w:tc>
          <w:tcPr>
            <w:tcW w:w="2544" w:type="dxa"/>
            <w:vAlign w:val="center"/>
          </w:tcPr>
          <w:p w14:paraId="7E3462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恢复失败或矩阵未确认不得准出对应项</w:t>
            </w:r>
          </w:p>
        </w:tc>
      </w:tr>
    </w:tbl>
    <w:p w14:paraId="1B7B8873">
      <w:pPr>
        <w:pStyle w:val="3"/>
        <w:keepNext/>
      </w:pPr>
      <w:r>
        <w:rPr>
          <w:rFonts w:ascii="Times New Roman" w:hAnsi="Times New Roman" w:eastAsia="黑体"/>
          <w:b/>
        </w:rPr>
        <w:t>3.3 测试环境与数据</w:t>
      </w:r>
    </w:p>
    <w:p w14:paraId="778CD6F6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3-2 环境、数据与隔离规则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1CC47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4F5474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环境</w:t>
            </w:r>
          </w:p>
        </w:tc>
        <w:tc>
          <w:tcPr>
            <w:tcW w:w="2433" w:type="dxa"/>
            <w:vAlign w:val="center"/>
          </w:tcPr>
          <w:p w14:paraId="55D8DF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tcW w:w="2765" w:type="dxa"/>
            <w:vAlign w:val="center"/>
          </w:tcPr>
          <w:p w14:paraId="3BB63D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数据</w:t>
            </w:r>
          </w:p>
        </w:tc>
        <w:tc>
          <w:tcPr>
            <w:tcW w:w="2544" w:type="dxa"/>
            <w:vAlign w:val="center"/>
          </w:tcPr>
          <w:p w14:paraId="793BB5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约束</w:t>
            </w:r>
          </w:p>
        </w:tc>
      </w:tr>
      <w:tr w14:paraId="0BDC9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21F57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</w:t>
            </w:r>
          </w:p>
        </w:tc>
        <w:tc>
          <w:tcPr>
            <w:tcW w:w="2433" w:type="dxa"/>
            <w:vAlign w:val="center"/>
          </w:tcPr>
          <w:p w14:paraId="40A123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单元、静态检查、OpenAPI 和迁移检查</w:t>
            </w:r>
          </w:p>
        </w:tc>
        <w:tc>
          <w:tcPr>
            <w:tcW w:w="2765" w:type="dxa"/>
            <w:vAlign w:val="center"/>
          </w:tcPr>
          <w:p w14:paraId="6A417A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合成最小数据、桩外部端口</w:t>
            </w:r>
          </w:p>
        </w:tc>
        <w:tc>
          <w:tcPr>
            <w:tcW w:w="2544" w:type="dxa"/>
            <w:vAlign w:val="center"/>
          </w:tcPr>
          <w:p w14:paraId="1C9850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不产生真实联调或性能结论</w:t>
            </w:r>
          </w:p>
        </w:tc>
      </w:tr>
      <w:tr w14:paraId="77C93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1FF55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集成环境</w:t>
            </w:r>
          </w:p>
        </w:tc>
        <w:tc>
          <w:tcPr>
            <w:tcW w:w="2433" w:type="dxa"/>
            <w:vAlign w:val="center"/>
          </w:tcPr>
          <w:p w14:paraId="7282A5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数据库、Outbox、模块和适配器故障注入</w:t>
            </w:r>
          </w:p>
        </w:tc>
        <w:tc>
          <w:tcPr>
            <w:tcW w:w="2765" w:type="dxa"/>
            <w:vAlign w:val="center"/>
          </w:tcPr>
          <w:p w14:paraId="0B410B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可重复生成的脱敏/合成数据</w:t>
            </w:r>
          </w:p>
        </w:tc>
        <w:tc>
          <w:tcPr>
            <w:tcW w:w="2544" w:type="dxa"/>
            <w:vAlign w:val="center"/>
          </w:tcPr>
          <w:p w14:paraId="126065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每次执行固定版本和初始化脚本</w:t>
            </w:r>
          </w:p>
        </w:tc>
      </w:tr>
      <w:tr w14:paraId="17313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E794F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系统测试环境</w:t>
            </w:r>
          </w:p>
        </w:tc>
        <w:tc>
          <w:tcPr>
            <w:tcW w:w="2433" w:type="dxa"/>
            <w:vAlign w:val="center"/>
          </w:tcPr>
          <w:p w14:paraId="51C96C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117 AC、Web/H5、地图和业务闭环</w:t>
            </w:r>
          </w:p>
        </w:tc>
        <w:tc>
          <w:tcPr>
            <w:tcW w:w="2765" w:type="dxa"/>
            <w:vAlign w:val="center"/>
          </w:tcPr>
          <w:p w14:paraId="6AF02D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受控角色、事件、任务、站点、物资、打卡与演练数据</w:t>
            </w:r>
          </w:p>
        </w:tc>
        <w:tc>
          <w:tcPr>
            <w:tcW w:w="2544" w:type="dxa"/>
            <w:vAlign w:val="center"/>
          </w:tcPr>
          <w:p w14:paraId="4AD58E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与目标配置差异必须记录</w:t>
            </w:r>
          </w:p>
        </w:tc>
      </w:tr>
      <w:tr w14:paraId="70E81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37C24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目标/验收环境</w:t>
            </w:r>
          </w:p>
        </w:tc>
        <w:tc>
          <w:tcPr>
            <w:tcW w:w="2433" w:type="dxa"/>
            <w:vAlign w:val="center"/>
          </w:tcPr>
          <w:p w14:paraId="7522FE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PE、外部联调、兼容和验收支持</w:t>
            </w:r>
          </w:p>
        </w:tc>
        <w:tc>
          <w:tcPr>
            <w:tcW w:w="2765" w:type="dxa"/>
            <w:vAlign w:val="center"/>
          </w:tcPr>
          <w:p w14:paraId="782BFE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甲方确认的数据与账号</w:t>
            </w:r>
          </w:p>
        </w:tc>
        <w:tc>
          <w:tcPr>
            <w:tcW w:w="2544" w:type="dxa"/>
            <w:vAlign w:val="center"/>
          </w:tcPr>
          <w:p w14:paraId="767DA7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账号、窗口、接口版本和合法数据权由甲方提供/协调</w:t>
            </w:r>
          </w:p>
        </w:tc>
      </w:tr>
    </w:tbl>
    <w:p w14:paraId="1C27B60D">
      <w:pPr>
        <w:pStyle w:val="3"/>
        <w:keepNext/>
      </w:pPr>
      <w:r>
        <w:rPr>
          <w:rFonts w:ascii="Times New Roman" w:hAnsi="Times New Roman" w:eastAsia="黑体"/>
          <w:b/>
        </w:rPr>
        <w:t>3.4 缺陷与回归</w:t>
      </w:r>
    </w:p>
    <w:p w14:paraId="31BAC009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缺陷至少记录严重度、影响 AC/设计 ID、环境、步骤、期望、实际、证据、责任人、修复版本和复测结论。致命或严重缺陷、★失败、RTM 断链、高危安全问题、恢复失败均阻断候选；修复必须回归直接 AC、同模块关联 AC 和受影响契约。</w:t>
      </w:r>
    </w:p>
    <w:p w14:paraId="7CA5771B">
      <w:pPr>
        <w:pStyle w:val="2"/>
        <w:keepNext/>
      </w:pPr>
      <w:r>
        <w:rPr>
          <w:rFonts w:ascii="Times New Roman" w:hAnsi="Times New Roman" w:eastAsia="黑体"/>
          <w:b/>
        </w:rPr>
        <w:t>4 准入与准出</w:t>
      </w:r>
    </w:p>
    <w:p w14:paraId="00CC0BFB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4-1 分级准入与准出门禁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2E68E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701B3C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阶段</w:t>
            </w:r>
          </w:p>
        </w:tc>
        <w:tc>
          <w:tcPr>
            <w:tcW w:w="2433" w:type="dxa"/>
            <w:vAlign w:val="center"/>
          </w:tcPr>
          <w:p w14:paraId="027166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准入条件</w:t>
            </w:r>
          </w:p>
        </w:tc>
        <w:tc>
          <w:tcPr>
            <w:tcW w:w="2765" w:type="dxa"/>
            <w:vAlign w:val="center"/>
          </w:tcPr>
          <w:p w14:paraId="6D7A02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准出条件</w:t>
            </w:r>
          </w:p>
        </w:tc>
        <w:tc>
          <w:tcPr>
            <w:tcW w:w="2544" w:type="dxa"/>
            <w:vAlign w:val="center"/>
          </w:tcPr>
          <w:p w14:paraId="1F4684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阻断项</w:t>
            </w:r>
          </w:p>
        </w:tc>
      </w:tr>
      <w:tr w14:paraId="515E6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93240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设计测试准备</w:t>
            </w:r>
          </w:p>
        </w:tc>
        <w:tc>
          <w:tcPr>
            <w:tcW w:w="2433" w:type="dxa"/>
            <w:vAlign w:val="center"/>
          </w:tcPr>
          <w:p w14:paraId="3C1CC5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G3-03—08 DONE，117 AC 可追踪</w:t>
            </w:r>
          </w:p>
        </w:tc>
        <w:tc>
          <w:tcPr>
            <w:tcW w:w="2765" w:type="dxa"/>
            <w:vAlign w:val="center"/>
          </w:tcPr>
          <w:p w14:paraId="792CF9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测试计划 REVIEW，TC 编号无缺失</w:t>
            </w:r>
          </w:p>
        </w:tc>
        <w:tc>
          <w:tcPr>
            <w:tcW w:w="2544" w:type="dxa"/>
            <w:vAlign w:val="center"/>
          </w:tcPr>
          <w:p w14:paraId="676633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AC/设计断链</w:t>
            </w:r>
          </w:p>
        </w:tc>
      </w:tr>
      <w:tr w14:paraId="344DF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61FB7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单元/契约</w:t>
            </w:r>
          </w:p>
        </w:tc>
        <w:tc>
          <w:tcPr>
            <w:tcW w:w="2433" w:type="dxa"/>
            <w:vAlign w:val="center"/>
          </w:tcPr>
          <w:p w14:paraId="690D3A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代码、迁移、OpenAPI 有版本；测试可重复</w:t>
            </w:r>
          </w:p>
        </w:tc>
        <w:tc>
          <w:tcPr>
            <w:tcW w:w="2765" w:type="dxa"/>
            <w:vAlign w:val="center"/>
          </w:tcPr>
          <w:p w14:paraId="02C4A6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用例全绿，核心覆盖率≥70%，OpenAPI 零 schema error</w:t>
            </w:r>
          </w:p>
        </w:tc>
        <w:tc>
          <w:tcPr>
            <w:tcW w:w="2544" w:type="dxa"/>
            <w:vAlign w:val="center"/>
          </w:tcPr>
          <w:p w14:paraId="56DDB3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核心失败、契约破坏</w:t>
            </w:r>
          </w:p>
        </w:tc>
      </w:tr>
      <w:tr w14:paraId="49F64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A2065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集成</w:t>
            </w:r>
          </w:p>
        </w:tc>
        <w:tc>
          <w:tcPr>
            <w:tcW w:w="2433" w:type="dxa"/>
            <w:vAlign w:val="center"/>
          </w:tcPr>
          <w:p w14:paraId="79BBBE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单元/契约准出，依赖版本和桩口径明确</w:t>
            </w:r>
          </w:p>
        </w:tc>
        <w:tc>
          <w:tcPr>
            <w:tcW w:w="2765" w:type="dxa"/>
            <w:vAlign w:val="center"/>
          </w:tcPr>
          <w:p w14:paraId="0E0297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跨模块链路全绿，重试/降级/审计可观察</w:t>
            </w:r>
          </w:p>
        </w:tc>
        <w:tc>
          <w:tcPr>
            <w:tcW w:w="2544" w:type="dxa"/>
            <w:vAlign w:val="center"/>
          </w:tcPr>
          <w:p w14:paraId="470B94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数据不一致、不可恢复副作用</w:t>
            </w:r>
          </w:p>
        </w:tc>
      </w:tr>
      <w:tr w14:paraId="478F3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7138C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</w:t>
            </w:r>
          </w:p>
        </w:tc>
        <w:tc>
          <w:tcPr>
            <w:tcW w:w="2433" w:type="dxa"/>
            <w:vAlign w:val="center"/>
          </w:tcPr>
          <w:p w14:paraId="62C508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候选可部署，39 FR/117 AC 数据就绪</w:t>
            </w:r>
          </w:p>
        </w:tc>
        <w:tc>
          <w:tcPr>
            <w:tcW w:w="2765" w:type="dxa"/>
            <w:vAlign w:val="center"/>
          </w:tcPr>
          <w:p w14:paraId="3366D9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117 AC 100% 有结果；34★全部通过；致命/严重缺陷清零</w:t>
            </w:r>
          </w:p>
        </w:tc>
        <w:tc>
          <w:tcPr>
            <w:tcW w:w="2544" w:type="dxa"/>
            <w:vAlign w:val="center"/>
          </w:tcPr>
          <w:p w14:paraId="115347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缺证据、★失败、严重缺陷</w:t>
            </w:r>
          </w:p>
        </w:tc>
      </w:tr>
      <w:tr w14:paraId="60D15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4650D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专项</w:t>
            </w:r>
          </w:p>
        </w:tc>
        <w:tc>
          <w:tcPr>
            <w:tcW w:w="2433" w:type="dxa"/>
            <w:vAlign w:val="center"/>
          </w:tcPr>
          <w:p w14:paraId="1CE077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主链路稳定，环境/规模/矩阵已确认</w:t>
            </w:r>
          </w:p>
        </w:tc>
        <w:tc>
          <w:tcPr>
            <w:tcW w:w="2765" w:type="dxa"/>
            <w:vAlign w:val="center"/>
          </w:tcPr>
          <w:p w14:paraId="2F2ABF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PE/NFR 逐项有原始证据；安全高危清零；恢复演练通过</w:t>
            </w:r>
          </w:p>
        </w:tc>
        <w:tc>
          <w:tcPr>
            <w:tcW w:w="2544" w:type="dxa"/>
            <w:vAlign w:val="center"/>
          </w:tcPr>
          <w:p w14:paraId="7A1C20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环境不等价、指标失败、高危、恢复失败</w:t>
            </w:r>
          </w:p>
        </w:tc>
      </w:tr>
      <w:tr w14:paraId="25880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DD2D1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验收支持</w:t>
            </w:r>
          </w:p>
        </w:tc>
        <w:tc>
          <w:tcPr>
            <w:tcW w:w="2433" w:type="dxa"/>
            <w:vAlign w:val="center"/>
          </w:tcPr>
          <w:p w14:paraId="69381C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系统与专项准出，文档/RTM/缺陷一致</w:t>
            </w:r>
          </w:p>
        </w:tc>
        <w:tc>
          <w:tcPr>
            <w:tcW w:w="2765" w:type="dxa"/>
            <w:vAlign w:val="center"/>
          </w:tcPr>
          <w:p w14:paraId="071553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甲方签认或明确遗留与偏差，不静默豁免</w:t>
            </w:r>
          </w:p>
        </w:tc>
        <w:tc>
          <w:tcPr>
            <w:tcW w:w="2544" w:type="dxa"/>
            <w:vAlign w:val="center"/>
          </w:tcPr>
          <w:p w14:paraId="2DCE7F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ISSUE-G3-01-001 未按真实证据或书面裁决关闭</w:t>
            </w:r>
          </w:p>
        </w:tc>
      </w:tr>
    </w:tbl>
    <w:p w14:paraId="54F8E857">
      <w:pPr>
        <w:pStyle w:val="2"/>
        <w:keepNext/>
      </w:pPr>
      <w:r>
        <w:rPr>
          <w:rFonts w:ascii="Times New Roman" w:hAnsi="Times New Roman" w:eastAsia="黑体"/>
          <w:b/>
        </w:rPr>
        <w:t>5 进度、角色与交付</w:t>
      </w:r>
    </w:p>
    <w:p w14:paraId="49050708">
      <w:pPr>
        <w:pStyle w:val="3"/>
        <w:keepNext/>
      </w:pPr>
      <w:r>
        <w:rPr>
          <w:rFonts w:ascii="Times New Roman" w:hAnsi="Times New Roman" w:eastAsia="黑体"/>
          <w:b/>
        </w:rPr>
        <w:t>5.1 进度安排</w:t>
      </w:r>
    </w:p>
    <w:p w14:paraId="3AEAFDD0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5-1 测试活动进度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1A3DD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0F0FD9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活动</w:t>
            </w:r>
          </w:p>
        </w:tc>
        <w:tc>
          <w:tcPr>
            <w:tcW w:w="2433" w:type="dxa"/>
            <w:vAlign w:val="center"/>
          </w:tcPr>
          <w:p w14:paraId="263F04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工作日</w:t>
            </w:r>
          </w:p>
        </w:tc>
        <w:tc>
          <w:tcPr>
            <w:tcW w:w="2765" w:type="dxa"/>
            <w:vAlign w:val="center"/>
          </w:tcPr>
          <w:p w14:paraId="6981D7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主责</w:t>
            </w:r>
          </w:p>
        </w:tc>
        <w:tc>
          <w:tcPr>
            <w:tcW w:w="2544" w:type="dxa"/>
            <w:vAlign w:val="center"/>
          </w:tcPr>
          <w:p w14:paraId="5F3D8E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产出</w:t>
            </w:r>
          </w:p>
        </w:tc>
      </w:tr>
      <w:tr w14:paraId="7DEA5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766C4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计划、TC 编号与门禁冻结</w:t>
            </w:r>
          </w:p>
        </w:tc>
        <w:tc>
          <w:tcPr>
            <w:tcW w:w="2433" w:type="dxa"/>
            <w:vAlign w:val="center"/>
          </w:tcPr>
          <w:p w14:paraId="756D6D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D7—D8</w:t>
            </w:r>
          </w:p>
        </w:tc>
        <w:tc>
          <w:tcPr>
            <w:tcW w:w="2765" w:type="dxa"/>
            <w:vAlign w:val="center"/>
          </w:tcPr>
          <w:p w14:paraId="6DE277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C，A 单人复核</w:t>
            </w:r>
          </w:p>
        </w:tc>
        <w:tc>
          <w:tcPr>
            <w:tcW w:w="2544" w:type="dxa"/>
            <w:vAlign w:val="center"/>
          </w:tcPr>
          <w:p w14:paraId="31E2B1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本计划、RTM 测试挂接候选</w:t>
            </w:r>
          </w:p>
        </w:tc>
      </w:tr>
      <w:tr w14:paraId="194EE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C7658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单元、契约和迁移测试</w:t>
            </w:r>
          </w:p>
        </w:tc>
        <w:tc>
          <w:tcPr>
            <w:tcW w:w="2433" w:type="dxa"/>
            <w:vAlign w:val="center"/>
          </w:tcPr>
          <w:p w14:paraId="5D295D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D9—D15 随开发</w:t>
            </w:r>
          </w:p>
        </w:tc>
        <w:tc>
          <w:tcPr>
            <w:tcW w:w="2765" w:type="dxa"/>
            <w:vAlign w:val="center"/>
          </w:tcPr>
          <w:p w14:paraId="0F8C8E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B/功能实现人</w:t>
            </w:r>
          </w:p>
        </w:tc>
        <w:tc>
          <w:tcPr>
            <w:tcW w:w="2544" w:type="dxa"/>
            <w:vAlign w:val="center"/>
          </w:tcPr>
          <w:p w14:paraId="2071F0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CI、覆盖率、契约和迁移报告</w:t>
            </w:r>
          </w:p>
        </w:tc>
      </w:tr>
      <w:tr w14:paraId="22DD3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EA30D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集成与系统测试</w:t>
            </w:r>
          </w:p>
        </w:tc>
        <w:tc>
          <w:tcPr>
            <w:tcW w:w="2433" w:type="dxa"/>
            <w:vAlign w:val="center"/>
          </w:tcPr>
          <w:p w14:paraId="0F5B29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D15—D16</w:t>
            </w:r>
          </w:p>
        </w:tc>
        <w:tc>
          <w:tcPr>
            <w:tcW w:w="2765" w:type="dxa"/>
            <w:vAlign w:val="center"/>
          </w:tcPr>
          <w:p w14:paraId="620ADD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 组织，B 支持</w:t>
            </w:r>
          </w:p>
        </w:tc>
        <w:tc>
          <w:tcPr>
            <w:tcW w:w="2544" w:type="dxa"/>
            <w:vAlign w:val="center"/>
          </w:tcPr>
          <w:p w14:paraId="4F8F74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117 AC 结果、接口与数据证据</w:t>
            </w:r>
          </w:p>
        </w:tc>
      </w:tr>
      <w:tr w14:paraId="61207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F9F93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性能、安全、兼容与恢复专项</w:t>
            </w:r>
          </w:p>
        </w:tc>
        <w:tc>
          <w:tcPr>
            <w:tcW w:w="2433" w:type="dxa"/>
            <w:vAlign w:val="center"/>
          </w:tcPr>
          <w:p w14:paraId="2EB39A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D16—D17</w:t>
            </w:r>
          </w:p>
        </w:tc>
        <w:tc>
          <w:tcPr>
            <w:tcW w:w="2765" w:type="dxa"/>
            <w:vAlign w:val="center"/>
          </w:tcPr>
          <w:p w14:paraId="0EA28C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 组织，A/B 支持</w:t>
            </w:r>
          </w:p>
        </w:tc>
        <w:tc>
          <w:tcPr>
            <w:tcW w:w="2544" w:type="dxa"/>
            <w:vAlign w:val="center"/>
          </w:tcPr>
          <w:p w14:paraId="32C196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专项报告、扫描和演练记录</w:t>
            </w:r>
          </w:p>
        </w:tc>
      </w:tr>
      <w:tr w14:paraId="64B10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44009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回归、缺陷收口与验收包</w:t>
            </w:r>
          </w:p>
        </w:tc>
        <w:tc>
          <w:tcPr>
            <w:tcW w:w="2433" w:type="dxa"/>
            <w:vAlign w:val="center"/>
          </w:tcPr>
          <w:p w14:paraId="477CEF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D17</w:t>
            </w:r>
          </w:p>
        </w:tc>
        <w:tc>
          <w:tcPr>
            <w:tcW w:w="2765" w:type="dxa"/>
            <w:vAlign w:val="center"/>
          </w:tcPr>
          <w:p w14:paraId="24AF25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全组</w:t>
            </w:r>
          </w:p>
        </w:tc>
        <w:tc>
          <w:tcPr>
            <w:tcW w:w="2544" w:type="dxa"/>
            <w:vAlign w:val="center"/>
          </w:tcPr>
          <w:p w14:paraId="4B2757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回归结果、缺陷看板、RTM v4 候选</w:t>
            </w:r>
          </w:p>
        </w:tc>
      </w:tr>
    </w:tbl>
    <w:p w14:paraId="58F061CA">
      <w:pPr>
        <w:pStyle w:val="3"/>
        <w:keepNext/>
      </w:pPr>
      <w:r>
        <w:rPr>
          <w:rFonts w:ascii="Times New Roman" w:hAnsi="Times New Roman" w:eastAsia="黑体"/>
          <w:b/>
        </w:rPr>
        <w:t>5.2 角色分工</w:t>
      </w:r>
    </w:p>
    <w:p w14:paraId="2F9D2269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5-2 测试职责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024"/>
        <w:gridCol w:w="4536"/>
      </w:tblGrid>
      <w:tr w14:paraId="6ACA7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12" w:type="dxa"/>
            <w:vAlign w:val="center"/>
          </w:tcPr>
          <w:p w14:paraId="697ECB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角色</w:t>
            </w:r>
          </w:p>
        </w:tc>
        <w:tc>
          <w:tcPr>
            <w:tcW w:w="3024" w:type="dxa"/>
            <w:vAlign w:val="center"/>
          </w:tcPr>
          <w:p w14:paraId="7D8C5D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  <w:tc>
          <w:tcPr>
            <w:tcW w:w="4536" w:type="dxa"/>
            <w:vAlign w:val="center"/>
          </w:tcPr>
          <w:p w14:paraId="1C7BD4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不得替代的复核</w:t>
            </w:r>
          </w:p>
        </w:tc>
      </w:tr>
      <w:tr w14:paraId="5ED37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3C58A2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w="3024" w:type="dxa"/>
            <w:vAlign w:val="center"/>
          </w:tcPr>
          <w:p w14:paraId="6FF0A8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维护计划、TC/RTM、测试数据、执行组织、结果与符合性</w:t>
            </w:r>
          </w:p>
        </w:tc>
        <w:tc>
          <w:tcPr>
            <w:tcW w:w="4536" w:type="dxa"/>
            <w:vAlign w:val="center"/>
          </w:tcPr>
          <w:p w14:paraId="0DBAF1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 对 G3-09 准出与计划一致性的单人复核</w:t>
            </w:r>
          </w:p>
        </w:tc>
      </w:tr>
      <w:tr w14:paraId="674F2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4D0EA9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w="3024" w:type="dxa"/>
            <w:vAlign w:val="center"/>
          </w:tcPr>
          <w:p w14:paraId="21D2DD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提供环境、脚本、桩、可观测性，支持性能/接口/恢复并修复缺陷</w:t>
            </w:r>
          </w:p>
        </w:tc>
        <w:tc>
          <w:tcPr>
            <w:tcW w:w="4536" w:type="dxa"/>
            <w:vAlign w:val="center"/>
          </w:tcPr>
          <w:p w14:paraId="27CA5A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本轮提供技术支持，不作为 G3-09 复核人</w:t>
            </w:r>
          </w:p>
        </w:tc>
      </w:tr>
      <w:tr w14:paraId="67B82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2E59F3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</w:t>
            </w:r>
          </w:p>
        </w:tc>
        <w:tc>
          <w:tcPr>
            <w:tcW w:w="3024" w:type="dxa"/>
            <w:vAlign w:val="center"/>
          </w:tcPr>
          <w:p w14:paraId="0903B3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协调版本、窗口、资源、评审和验收包，裁定计划偏差</w:t>
            </w:r>
          </w:p>
        </w:tc>
        <w:tc>
          <w:tcPr>
            <w:tcW w:w="4536" w:type="dxa"/>
            <w:vAlign w:val="center"/>
          </w:tcPr>
          <w:p w14:paraId="5248D2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 OVR-025 独立完成 G3-09 正式复核</w:t>
            </w:r>
          </w:p>
        </w:tc>
      </w:tr>
      <w:tr w14:paraId="4726E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6B305B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甲方/教师模拟角色</w:t>
            </w:r>
          </w:p>
        </w:tc>
        <w:tc>
          <w:tcPr>
            <w:tcW w:w="3024" w:type="dxa"/>
            <w:vAlign w:val="center"/>
          </w:tcPr>
          <w:p w14:paraId="38507E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提供或确认外部环境、账号、数据、兼容矩阵和验收窗口</w:t>
            </w:r>
          </w:p>
        </w:tc>
        <w:tc>
          <w:tcPr>
            <w:tcW w:w="4536" w:type="dxa"/>
            <w:vAlign w:val="center"/>
          </w:tcPr>
          <w:p w14:paraId="6084A5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乙方不能代造其真实环境证据</w:t>
            </w:r>
          </w:p>
        </w:tc>
      </w:tr>
    </w:tbl>
    <w:p w14:paraId="58B717A2">
      <w:pPr>
        <w:pStyle w:val="2"/>
        <w:keepNext/>
      </w:pPr>
      <w:r>
        <w:rPr>
          <w:rFonts w:ascii="Times New Roman" w:hAnsi="Times New Roman" w:eastAsia="黑体"/>
          <w:b/>
        </w:rPr>
        <w:t>6 P0 场景与外部联动</w:t>
      </w:r>
    </w:p>
    <w:p w14:paraId="142FCB4C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6-1 P0 场景设计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360"/>
        <w:gridCol w:w="3265"/>
        <w:gridCol w:w="1360"/>
        <w:gridCol w:w="1995"/>
      </w:tblGrid>
      <w:tr w14:paraId="0AAF9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88" w:type="dxa"/>
            <w:vAlign w:val="center"/>
          </w:tcPr>
          <w:p w14:paraId="120F1D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场景</w:t>
            </w:r>
          </w:p>
        </w:tc>
        <w:tc>
          <w:tcPr>
            <w:tcW w:w="1360" w:type="dxa"/>
            <w:vAlign w:val="center"/>
          </w:tcPr>
          <w:p w14:paraId="5E5588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正常路径</w:t>
            </w:r>
          </w:p>
        </w:tc>
        <w:tc>
          <w:tcPr>
            <w:tcW w:w="3265" w:type="dxa"/>
            <w:vAlign w:val="center"/>
          </w:tcPr>
          <w:p w14:paraId="656A4D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无权/非法路径</w:t>
            </w:r>
          </w:p>
        </w:tc>
        <w:tc>
          <w:tcPr>
            <w:tcW w:w="1360" w:type="dxa"/>
            <w:vAlign w:val="center"/>
          </w:tcPr>
          <w:p w14:paraId="79CF6C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超时/失败路径</w:t>
            </w:r>
          </w:p>
        </w:tc>
        <w:tc>
          <w:tcPr>
            <w:tcW w:w="1995" w:type="dxa"/>
            <w:vAlign w:val="center"/>
          </w:tcPr>
          <w:p w14:paraId="37B135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主要证据</w:t>
            </w:r>
          </w:p>
        </w:tc>
      </w:tr>
      <w:tr w14:paraId="51BCF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189812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P0-01 事件核实至任务下达</w:t>
            </w:r>
          </w:p>
        </w:tc>
        <w:tc>
          <w:tcPr>
            <w:tcW w:w="1360" w:type="dxa"/>
            <w:vAlign w:val="center"/>
          </w:tcPr>
          <w:p w14:paraId="4BBBBF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核实、启动预案、创建任务和通知</w:t>
            </w:r>
          </w:p>
        </w:tc>
        <w:tc>
          <w:tcPr>
            <w:tcW w:w="3265" w:type="dxa"/>
            <w:vAlign w:val="center"/>
          </w:tcPr>
          <w:p w14:paraId="1FA41E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无启动权限被拒绝并审计</w:t>
            </w:r>
          </w:p>
        </w:tc>
        <w:tc>
          <w:tcPr>
            <w:tcW w:w="1360" w:type="dxa"/>
            <w:vAlign w:val="center"/>
          </w:tcPr>
          <w:p w14:paraId="29F0F6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Outbox/消息失败进入重试或人工处置</w:t>
            </w:r>
          </w:p>
        </w:tc>
        <w:tc>
          <w:tcPr>
            <w:tcW w:w="1995" w:type="dxa"/>
            <w:vAlign w:val="center"/>
          </w:tcPr>
          <w:p w14:paraId="7135F4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同一 eventId/traceId、状态与时间戳</w:t>
            </w:r>
          </w:p>
        </w:tc>
      </w:tr>
      <w:tr w14:paraId="7E047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0D300E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P0-02 消息可靠推送</w:t>
            </w:r>
          </w:p>
        </w:tc>
        <w:tc>
          <w:tcPr>
            <w:tcW w:w="1360" w:type="dxa"/>
            <w:vAlign w:val="center"/>
          </w:tcPr>
          <w:p w14:paraId="3C9452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正常验收通道 ≥20 路且到达率 ≥99%</w:t>
            </w:r>
          </w:p>
        </w:tc>
        <w:tc>
          <w:tcPr>
            <w:tcW w:w="3265" w:type="dxa"/>
            <w:vAlign w:val="center"/>
          </w:tcPr>
          <w:p w14:paraId="55A1AE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非授权对象不下发</w:t>
            </w:r>
          </w:p>
        </w:tc>
        <w:tc>
          <w:tcPr>
            <w:tcW w:w="1360" w:type="dxa"/>
            <w:vAlign w:val="center"/>
          </w:tcPr>
          <w:p w14:paraId="7968B2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超时、迟到和重复回执幂等，失败转人工</w:t>
            </w:r>
          </w:p>
        </w:tc>
        <w:tc>
          <w:tcPr>
            <w:tcW w:w="1995" w:type="dxa"/>
            <w:vAlign w:val="center"/>
          </w:tcPr>
          <w:p w14:paraId="4CECFA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请求、尝试、回执、终态统计</w:t>
            </w:r>
          </w:p>
        </w:tc>
      </w:tr>
      <w:tr w14:paraId="649E5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773D9F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P0-03 KN-064 四系统联动</w:t>
            </w:r>
          </w:p>
        </w:tc>
        <w:tc>
          <w:tcPr>
            <w:tcW w:w="1360" w:type="dxa"/>
            <w:vAlign w:val="center"/>
          </w:tcPr>
          <w:p w14:paraId="207F6E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视频、信息发布、物联网、中台沿同一事件链完成调用</w:t>
            </w:r>
          </w:p>
        </w:tc>
        <w:tc>
          <w:tcPr>
            <w:tcW w:w="3265" w:type="dxa"/>
            <w:vAlign w:val="center"/>
          </w:tcPr>
          <w:p w14:paraId="048509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无权视频/发布/中台访问分别拒绝</w:t>
            </w:r>
          </w:p>
        </w:tc>
        <w:tc>
          <w:tcPr>
            <w:tcW w:w="1360" w:type="dxa"/>
            <w:vAlign w:val="center"/>
          </w:tcPr>
          <w:p w14:paraId="33B300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任一系统超时/失败均隔离、告警、降级</w:t>
            </w:r>
          </w:p>
        </w:tc>
        <w:tc>
          <w:tcPr>
            <w:tcW w:w="1995" w:type="dxa"/>
            <w:vAlign w:val="center"/>
          </w:tcPr>
          <w:p w14:paraId="2971BA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同一 eventId/traceId 的四系统证据</w:t>
            </w:r>
          </w:p>
        </w:tc>
      </w:tr>
      <w:tr w14:paraId="3FA5D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0F1CF2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P0-04 视频调阅与回放</w:t>
            </w:r>
          </w:p>
        </w:tc>
        <w:tc>
          <w:tcPr>
            <w:tcW w:w="1360" w:type="dxa"/>
            <w:vAlign w:val="center"/>
          </w:tcPr>
          <w:p w14:paraId="450A42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有权实时调阅、历史回放和首帧计时</w:t>
            </w:r>
          </w:p>
        </w:tc>
        <w:tc>
          <w:tcPr>
            <w:tcW w:w="3265" w:type="dxa"/>
            <w:vAlign w:val="center"/>
          </w:tcPr>
          <w:p w14:paraId="1CCBB3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无视频权限拒绝</w:t>
            </w:r>
          </w:p>
        </w:tc>
        <w:tc>
          <w:tcPr>
            <w:tcW w:w="1360" w:type="dxa"/>
            <w:vAlign w:val="center"/>
          </w:tcPr>
          <w:p w14:paraId="29289F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接口超时明确失败，不承担录像存储</w:t>
            </w:r>
          </w:p>
        </w:tc>
        <w:tc>
          <w:tcPr>
            <w:tcW w:w="1995" w:type="dxa"/>
            <w:vAlign w:val="center"/>
          </w:tcPr>
          <w:p w14:paraId="14D991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脱敏请求/响应、首帧、保存责任证据</w:t>
            </w:r>
          </w:p>
        </w:tc>
      </w:tr>
      <w:tr w14:paraId="5D737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059D92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P0-05 门禁安全联动</w:t>
            </w:r>
          </w:p>
        </w:tc>
        <w:tc>
          <w:tcPr>
            <w:tcW w:w="1360" w:type="dxa"/>
            <w:vAlign w:val="center"/>
          </w:tcPr>
          <w:p w14:paraId="67CEF6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授权确认后发指令并接收联锁结果</w:t>
            </w:r>
          </w:p>
        </w:tc>
        <w:tc>
          <w:tcPr>
            <w:tcW w:w="3265" w:type="dxa"/>
            <w:vAlign w:val="center"/>
          </w:tcPr>
          <w:p w14:paraId="509A3B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无权或缺少二次确认不下发</w:t>
            </w:r>
          </w:p>
        </w:tc>
        <w:tc>
          <w:tcPr>
            <w:tcW w:w="1360" w:type="dxa"/>
            <w:vAlign w:val="center"/>
          </w:tcPr>
          <w:p w14:paraId="31505A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拒绝/超时/联锁失败告警并人工降级</w:t>
            </w:r>
          </w:p>
        </w:tc>
        <w:tc>
          <w:tcPr>
            <w:tcW w:w="1995" w:type="dxa"/>
            <w:vAlign w:val="center"/>
          </w:tcPr>
          <w:p w14:paraId="7EAF97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指令、令牌、回执和审计</w:t>
            </w:r>
          </w:p>
        </w:tc>
      </w:tr>
      <w:tr w14:paraId="46559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7A87E7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P0-06 H5 事件与任务</w:t>
            </w:r>
          </w:p>
        </w:tc>
        <w:tc>
          <w:tcPr>
            <w:tcW w:w="1360" w:type="dxa"/>
            <w:vAlign w:val="center"/>
          </w:tcPr>
          <w:p w14:paraId="1D2CEE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事件、附件、接收、反馈和完成闭环</w:t>
            </w:r>
          </w:p>
        </w:tc>
        <w:tc>
          <w:tcPr>
            <w:tcW w:w="3265" w:type="dxa"/>
            <w:vAlign w:val="center"/>
          </w:tcPr>
          <w:p w14:paraId="2361AC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越权事件/任务不可见或不可操作</w:t>
            </w:r>
          </w:p>
        </w:tc>
        <w:tc>
          <w:tcPr>
            <w:tcW w:w="1360" w:type="dxa"/>
            <w:vAlign w:val="center"/>
          </w:tcPr>
          <w:p w14:paraId="692ADE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网络/附件失败可恢复且不伪报成功</w:t>
            </w:r>
          </w:p>
        </w:tc>
        <w:tc>
          <w:tcPr>
            <w:tcW w:w="1995" w:type="dxa"/>
            <w:vAlign w:val="center"/>
          </w:tcPr>
          <w:p w14:paraId="52325D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H5 状态、服务记录、附件引用</w:t>
            </w:r>
          </w:p>
        </w:tc>
      </w:tr>
      <w:tr w14:paraId="44D4C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2845DA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P0-07 扫码打卡</w:t>
            </w:r>
          </w:p>
        </w:tc>
        <w:tc>
          <w:tcPr>
            <w:tcW w:w="1360" w:type="dxa"/>
            <w:vAlign w:val="center"/>
          </w:tcPr>
          <w:p w14:paraId="43C0CD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有效二维码、时段、半径和身份写入一次</w:t>
            </w:r>
          </w:p>
        </w:tc>
        <w:tc>
          <w:tcPr>
            <w:tcW w:w="3265" w:type="dxa"/>
            <w:vAlign w:val="center"/>
          </w:tcPr>
          <w:p w14:paraId="4B5125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越界、过期、错误小组拒绝</w:t>
            </w:r>
          </w:p>
        </w:tc>
        <w:tc>
          <w:tcPr>
            <w:tcW w:w="1360" w:type="dxa"/>
            <w:vAlign w:val="center"/>
          </w:tcPr>
          <w:p w14:paraId="2A9413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重复扫码幂等，位置源不可用明确降级</w:t>
            </w:r>
          </w:p>
        </w:tc>
        <w:tc>
          <w:tcPr>
            <w:tcW w:w="1995" w:type="dxa"/>
            <w:vAlign w:val="center"/>
          </w:tcPr>
          <w:p w14:paraId="79EB05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打卡记录、幂等键、耗时和审计</w:t>
            </w:r>
          </w:p>
        </w:tc>
      </w:tr>
      <w:tr w14:paraId="12DB2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02591D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P0-08 盘点快照</w:t>
            </w:r>
          </w:p>
        </w:tc>
        <w:tc>
          <w:tcPr>
            <w:tcW w:w="1360" w:type="dxa"/>
            <w:vAlign w:val="center"/>
          </w:tcPr>
          <w:p w14:paraId="4F606B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按发布快照比对并复核差异</w:t>
            </w:r>
          </w:p>
        </w:tc>
        <w:tc>
          <w:tcPr>
            <w:tcW w:w="3265" w:type="dxa"/>
            <w:vAlign w:val="center"/>
          </w:tcPr>
          <w:p w14:paraId="56702F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无权更新拒绝</w:t>
            </w:r>
          </w:p>
        </w:tc>
        <w:tc>
          <w:tcPr>
            <w:tcW w:w="1360" w:type="dxa"/>
            <w:vAlign w:val="center"/>
          </w:tcPr>
          <w:p w14:paraId="36831C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并发出入库单列，失败不覆盖原快照</w:t>
            </w:r>
          </w:p>
        </w:tc>
        <w:tc>
          <w:tcPr>
            <w:tcW w:w="1995" w:type="dxa"/>
            <w:vAlign w:val="center"/>
          </w:tcPr>
          <w:p w14:paraId="753908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快照、现场值、期间变动和调整记录</w:t>
            </w:r>
          </w:p>
        </w:tc>
      </w:tr>
    </w:tbl>
    <w:p w14:paraId="1342B154">
      <w:pPr>
        <w:pStyle w:val="2"/>
        <w:keepNext/>
      </w:pPr>
      <w:r>
        <w:rPr>
          <w:rFonts w:ascii="Times New Roman" w:hAnsi="Times New Roman" w:eastAsia="黑体"/>
          <w:b/>
        </w:rPr>
        <w:t>7 非功能与关键数字验证</w:t>
      </w:r>
    </w:p>
    <w:p w14:paraId="41A45396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7-1 PE-01—PE-12 测试设计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13243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5570DB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w="2433" w:type="dxa"/>
            <w:vAlign w:val="center"/>
          </w:tcPr>
          <w:p w14:paraId="1FE52F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目标</w:t>
            </w:r>
          </w:p>
        </w:tc>
        <w:tc>
          <w:tcPr>
            <w:tcW w:w="2765" w:type="dxa"/>
            <w:vAlign w:val="center"/>
          </w:tcPr>
          <w:p w14:paraId="05C998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方法与统计口径</w:t>
            </w:r>
          </w:p>
        </w:tc>
        <w:tc>
          <w:tcPr>
            <w:tcW w:w="2544" w:type="dxa"/>
            <w:vAlign w:val="center"/>
          </w:tcPr>
          <w:p w14:paraId="67D6EC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当前门禁</w:t>
            </w:r>
          </w:p>
        </w:tc>
      </w:tr>
      <w:tr w14:paraId="2BF2D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358A2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PE-01</w:t>
            </w:r>
          </w:p>
        </w:tc>
        <w:tc>
          <w:tcPr>
            <w:tcW w:w="2433" w:type="dxa"/>
            <w:vAlign w:val="center"/>
          </w:tcPr>
          <w:p w14:paraId="47140B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预案启动通知与任务下发≤3秒</w:t>
            </w:r>
          </w:p>
        </w:tc>
        <w:tc>
          <w:tcPr>
            <w:tcW w:w="2765" w:type="dxa"/>
            <w:vAlign w:val="center"/>
          </w:tcPr>
          <w:p w14:paraId="766DAB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同一 traceId，从授权启动到可追踪下发记录</w:t>
            </w:r>
          </w:p>
        </w:tc>
        <w:tc>
          <w:tcPr>
            <w:tcW w:w="2544" w:type="dxa"/>
            <w:vAlign w:val="center"/>
          </w:tcPr>
          <w:p w14:paraId="01481F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待实现/待测</w:t>
            </w:r>
          </w:p>
        </w:tc>
      </w:tr>
      <w:tr w14:paraId="299DA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8A5D9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PE-02</w:t>
            </w:r>
          </w:p>
        </w:tc>
        <w:tc>
          <w:tcPr>
            <w:tcW w:w="2433" w:type="dxa"/>
            <w:vAlign w:val="center"/>
          </w:tcPr>
          <w:p w14:paraId="169DB8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告警接入响应≤2秒</w:t>
            </w:r>
          </w:p>
        </w:tc>
        <w:tc>
          <w:tcPr>
            <w:tcW w:w="2765" w:type="dxa"/>
            <w:vAlign w:val="center"/>
          </w:tcPr>
          <w:p w14:paraId="0BEC3F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源产生、接收、持久化时间戳和异常率</w:t>
            </w:r>
          </w:p>
        </w:tc>
        <w:tc>
          <w:tcPr>
            <w:tcW w:w="2544" w:type="dxa"/>
            <w:vAlign w:val="center"/>
          </w:tcPr>
          <w:p w14:paraId="7B7D01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待目标环境实测</w:t>
            </w:r>
          </w:p>
        </w:tc>
      </w:tr>
      <w:tr w14:paraId="44440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C389E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PE-03</w:t>
            </w:r>
          </w:p>
        </w:tc>
        <w:tc>
          <w:tcPr>
            <w:tcW w:w="2433" w:type="dxa"/>
            <w:vAlign w:val="center"/>
          </w:tcPr>
          <w:p w14:paraId="5C0221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事件确认至任务下达≤3分钟</w:t>
            </w:r>
          </w:p>
        </w:tc>
        <w:tc>
          <w:tcPr>
            <w:tcW w:w="2765" w:type="dxa"/>
            <w:vAlign w:val="center"/>
          </w:tcPr>
          <w:p w14:paraId="4FD41E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核实通过到任务下发记录，含失败样本</w:t>
            </w:r>
          </w:p>
        </w:tc>
        <w:tc>
          <w:tcPr>
            <w:tcW w:w="2544" w:type="dxa"/>
            <w:vAlign w:val="center"/>
          </w:tcPr>
          <w:p w14:paraId="4CFBCC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待实现/待测</w:t>
            </w:r>
          </w:p>
        </w:tc>
      </w:tr>
      <w:tr w14:paraId="72025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E1222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PE-04</w:t>
            </w:r>
          </w:p>
        </w:tc>
        <w:tc>
          <w:tcPr>
            <w:tcW w:w="2433" w:type="dxa"/>
            <w:vAlign w:val="center"/>
          </w:tcPr>
          <w:p w14:paraId="5241C5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消息并行≥20路、到达率≥99%</w:t>
            </w:r>
          </w:p>
        </w:tc>
        <w:tc>
          <w:tcPr>
            <w:tcW w:w="2765" w:type="dxa"/>
            <w:vAlign w:val="center"/>
          </w:tcPr>
          <w:p w14:paraId="155630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批量发送、终态回执、迟到/重复/失败分类</w:t>
            </w:r>
          </w:p>
        </w:tc>
        <w:tc>
          <w:tcPr>
            <w:tcW w:w="2544" w:type="dxa"/>
            <w:vAlign w:val="center"/>
          </w:tcPr>
          <w:p w14:paraId="2FF6DD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ISSUE-G3-01-001 阻断实测</w:t>
            </w:r>
          </w:p>
        </w:tc>
      </w:tr>
      <w:tr w14:paraId="7D6DE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F33A5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PE-05</w:t>
            </w:r>
          </w:p>
        </w:tc>
        <w:tc>
          <w:tcPr>
            <w:tcW w:w="2433" w:type="dxa"/>
            <w:vAlign w:val="center"/>
          </w:tcPr>
          <w:p w14:paraId="5A6611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定位刷新≤2秒且不降低源精度</w:t>
            </w:r>
          </w:p>
        </w:tc>
        <w:tc>
          <w:tcPr>
            <w:tcW w:w="2765" w:type="dxa"/>
            <w:vAlign w:val="center"/>
          </w:tcPr>
          <w:p w14:paraId="6E4531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比对源、接收、投影、展示时间与精度</w:t>
            </w:r>
          </w:p>
        </w:tc>
        <w:tc>
          <w:tcPr>
            <w:tcW w:w="2544" w:type="dxa"/>
            <w:vAlign w:val="center"/>
          </w:tcPr>
          <w:p w14:paraId="084132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待甲方定位源</w:t>
            </w:r>
          </w:p>
        </w:tc>
      </w:tr>
      <w:tr w14:paraId="0FD37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A32D7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PE-06</w:t>
            </w:r>
          </w:p>
        </w:tc>
        <w:tc>
          <w:tcPr>
            <w:tcW w:w="2433" w:type="dxa"/>
            <w:vAlign w:val="center"/>
          </w:tcPr>
          <w:p w14:paraId="65181C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视频首帧≤3秒、既有保存≥30天</w:t>
            </w:r>
          </w:p>
        </w:tc>
        <w:tc>
          <w:tcPr>
            <w:tcW w:w="2765" w:type="dxa"/>
            <w:vAlign w:val="center"/>
          </w:tcPr>
          <w:p w14:paraId="229D07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授权调阅到首帧；保存期查甲方既有证据</w:t>
            </w:r>
          </w:p>
        </w:tc>
        <w:tc>
          <w:tcPr>
            <w:tcW w:w="2544" w:type="dxa"/>
            <w:vAlign w:val="center"/>
          </w:tcPr>
          <w:p w14:paraId="3BD10B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ISSUE-G3-01-001 阻断实测</w:t>
            </w:r>
          </w:p>
        </w:tc>
      </w:tr>
      <w:tr w14:paraId="0E5B3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9CF3E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PE-07</w:t>
            </w:r>
          </w:p>
        </w:tc>
        <w:tc>
          <w:tcPr>
            <w:tcW w:w="2433" w:type="dxa"/>
            <w:vAlign w:val="center"/>
          </w:tcPr>
          <w:p w14:paraId="5D63B4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Web 普通页面 P95≤3秒</w:t>
            </w:r>
          </w:p>
        </w:tc>
        <w:tc>
          <w:tcPr>
            <w:tcW w:w="2765" w:type="dxa"/>
            <w:vAlign w:val="center"/>
          </w:tcPr>
          <w:p w14:paraId="53E43D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目标规模下记录 P50/P95/P99、错误率和资源</w:t>
            </w:r>
          </w:p>
        </w:tc>
        <w:tc>
          <w:tcPr>
            <w:tcW w:w="2544" w:type="dxa"/>
            <w:vAlign w:val="center"/>
          </w:tcPr>
          <w:p w14:paraId="36A7B7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  <w:tr w14:paraId="23A8C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33FE0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PE-08</w:t>
            </w:r>
          </w:p>
        </w:tc>
        <w:tc>
          <w:tcPr>
            <w:tcW w:w="2433" w:type="dxa"/>
            <w:vAlign w:val="center"/>
          </w:tcPr>
          <w:p w14:paraId="76B78A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地图常规操作≤2秒</w:t>
            </w:r>
          </w:p>
        </w:tc>
        <w:tc>
          <w:tcPr>
            <w:tcW w:w="2765" w:type="dxa"/>
            <w:vAlign w:val="center"/>
          </w:tcPr>
          <w:p w14:paraId="3A97D6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典型缩放、平移、点选端到端计时</w:t>
            </w:r>
          </w:p>
        </w:tc>
        <w:tc>
          <w:tcPr>
            <w:tcW w:w="2544" w:type="dxa"/>
            <w:vAlign w:val="center"/>
          </w:tcPr>
          <w:p w14:paraId="77954C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待合法地图服务</w:t>
            </w:r>
          </w:p>
        </w:tc>
      </w:tr>
      <w:tr w14:paraId="7A60B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2C8EC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PE-09</w:t>
            </w:r>
          </w:p>
        </w:tc>
        <w:tc>
          <w:tcPr>
            <w:tcW w:w="2433" w:type="dxa"/>
            <w:vAlign w:val="center"/>
          </w:tcPr>
          <w:p w14:paraId="157D0F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扫码写入/回传≤1秒</w:t>
            </w:r>
          </w:p>
        </w:tc>
        <w:tc>
          <w:tcPr>
            <w:tcW w:w="2765" w:type="dxa"/>
            <w:vAlign w:val="center"/>
          </w:tcPr>
          <w:p w14:paraId="000D6D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有效、过期、越界、重复分别计时</w:t>
            </w:r>
          </w:p>
        </w:tc>
        <w:tc>
          <w:tcPr>
            <w:tcW w:w="2544" w:type="dxa"/>
            <w:vAlign w:val="center"/>
          </w:tcPr>
          <w:p w14:paraId="7943E9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  <w:tr w14:paraId="32753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E720F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PE-10</w:t>
            </w:r>
          </w:p>
        </w:tc>
        <w:tc>
          <w:tcPr>
            <w:tcW w:w="2433" w:type="dxa"/>
            <w:vAlign w:val="center"/>
          </w:tcPr>
          <w:p w14:paraId="5B3E43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安防刷新≤30秒、信息刷新≤60秒</w:t>
            </w:r>
          </w:p>
        </w:tc>
        <w:tc>
          <w:tcPr>
            <w:tcW w:w="2765" w:type="dxa"/>
            <w:vAlign w:val="center"/>
          </w:tcPr>
          <w:p w14:paraId="0BAA23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源事件到投影可见时间和配置核对</w:t>
            </w:r>
          </w:p>
        </w:tc>
        <w:tc>
          <w:tcPr>
            <w:tcW w:w="2544" w:type="dxa"/>
            <w:vAlign w:val="center"/>
          </w:tcPr>
          <w:p w14:paraId="11C794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待联调/待测</w:t>
            </w:r>
          </w:p>
        </w:tc>
      </w:tr>
      <w:tr w14:paraId="15764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E2376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PE-11</w:t>
            </w:r>
          </w:p>
        </w:tc>
        <w:tc>
          <w:tcPr>
            <w:tcW w:w="2433" w:type="dxa"/>
            <w:vAlign w:val="center"/>
          </w:tcPr>
          <w:p w14:paraId="6D47EA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峰值在线用户≥100</w:t>
            </w:r>
          </w:p>
        </w:tc>
        <w:tc>
          <w:tcPr>
            <w:tcW w:w="2765" w:type="dxa"/>
            <w:vAlign w:val="center"/>
          </w:tcPr>
          <w:p w14:paraId="533FF0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≥100 用户下成功率、P95/P99、错误与资源</w:t>
            </w:r>
          </w:p>
        </w:tc>
        <w:tc>
          <w:tcPr>
            <w:tcW w:w="2544" w:type="dxa"/>
            <w:vAlign w:val="center"/>
          </w:tcPr>
          <w:p w14:paraId="31F29C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  <w:tr w14:paraId="12755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77157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PE-12</w:t>
            </w:r>
          </w:p>
        </w:tc>
        <w:tc>
          <w:tcPr>
            <w:tcW w:w="2433" w:type="dxa"/>
            <w:vAlign w:val="center"/>
          </w:tcPr>
          <w:p w14:paraId="5637A9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一年期统计报表≤5秒</w:t>
            </w:r>
          </w:p>
        </w:tc>
        <w:tc>
          <w:tcPr>
            <w:tcW w:w="2765" w:type="dxa"/>
            <w:vAlign w:val="center"/>
          </w:tcPr>
          <w:p w14:paraId="769B54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一年期受控数据、授权过滤和结果一致性</w:t>
            </w:r>
          </w:p>
        </w:tc>
        <w:tc>
          <w:tcPr>
            <w:tcW w:w="2544" w:type="dxa"/>
            <w:vAlign w:val="center"/>
          </w:tcPr>
          <w:p w14:paraId="45B713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</w:tbl>
    <w:p w14:paraId="041AB4A2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7-2 其他质量特性测试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60C3D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68C4DC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w="2433" w:type="dxa"/>
            <w:vAlign w:val="center"/>
          </w:tcPr>
          <w:p w14:paraId="655391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受控对象</w:t>
            </w:r>
          </w:p>
        </w:tc>
        <w:tc>
          <w:tcPr>
            <w:tcW w:w="2765" w:type="dxa"/>
            <w:vAlign w:val="center"/>
          </w:tcPr>
          <w:p w14:paraId="244A5A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w="2544" w:type="dxa"/>
            <w:vAlign w:val="center"/>
          </w:tcPr>
          <w:p w14:paraId="3A8AA5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准出证据</w:t>
            </w:r>
          </w:p>
        </w:tc>
      </w:tr>
      <w:tr w14:paraId="5AF58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497C8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容量</w:t>
            </w:r>
          </w:p>
        </w:tc>
        <w:tc>
          <w:tcPr>
            <w:tcW w:w="2433" w:type="dxa"/>
            <w:vAlign w:val="center"/>
          </w:tcPr>
          <w:p w14:paraId="5130C2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NFR-CAP-01—04</w:t>
            </w:r>
          </w:p>
        </w:tc>
        <w:tc>
          <w:tcPr>
            <w:tcW w:w="2765" w:type="dxa"/>
            <w:vAlign w:val="center"/>
          </w:tcPr>
          <w:p w14:paraId="1FEC87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生成受控规模数据，执行导入、查询、统计、归档和恢复</w:t>
            </w:r>
          </w:p>
        </w:tc>
        <w:tc>
          <w:tcPr>
            <w:tcW w:w="2544" w:type="dxa"/>
            <w:vAlign w:val="center"/>
          </w:tcPr>
          <w:p w14:paraId="4E79FA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数据生成脚本、规模摘要、结果与资源</w:t>
            </w:r>
          </w:p>
        </w:tc>
      </w:tr>
      <w:tr w14:paraId="53E42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42740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可靠性</w:t>
            </w:r>
          </w:p>
        </w:tc>
        <w:tc>
          <w:tcPr>
            <w:tcW w:w="2433" w:type="dxa"/>
            <w:vAlign w:val="center"/>
          </w:tcPr>
          <w:p w14:paraId="50B02D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NFR-REL-01—03</w:t>
            </w:r>
          </w:p>
        </w:tc>
        <w:tc>
          <w:tcPr>
            <w:tcW w:w="2765" w:type="dxa"/>
            <w:vAlign w:val="center"/>
          </w:tcPr>
          <w:p w14:paraId="55E372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可用率口径、进程/数据库/适配器故障、备份恢复</w:t>
            </w:r>
          </w:p>
        </w:tc>
        <w:tc>
          <w:tcPr>
            <w:tcW w:w="2544" w:type="dxa"/>
            <w:vAlign w:val="center"/>
          </w:tcPr>
          <w:p w14:paraId="743073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监控、演练记录、恢复数量/关系/摘要</w:t>
            </w:r>
          </w:p>
        </w:tc>
      </w:tr>
      <w:tr w14:paraId="4B4E5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D4F12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安全</w:t>
            </w:r>
          </w:p>
        </w:tc>
        <w:tc>
          <w:tcPr>
            <w:tcW w:w="2433" w:type="dxa"/>
            <w:vAlign w:val="center"/>
          </w:tcPr>
          <w:p w14:paraId="56E12A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NFR-SEC-01—02</w:t>
            </w:r>
          </w:p>
        </w:tc>
        <w:tc>
          <w:tcPr>
            <w:tcW w:w="2765" w:type="dxa"/>
            <w:vAlign w:val="center"/>
          </w:tcPr>
          <w:p w14:paraId="2EA965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SCA、漏洞、鉴权、越权、导出、脱敏、高危复测</w:t>
            </w:r>
          </w:p>
        </w:tc>
        <w:tc>
          <w:tcPr>
            <w:tcW w:w="2544" w:type="dxa"/>
            <w:vAlign w:val="center"/>
          </w:tcPr>
          <w:p w14:paraId="46292C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扫描/渗透结果，高危为 0</w:t>
            </w:r>
          </w:p>
        </w:tc>
      </w:tr>
      <w:tr w14:paraId="75A87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173D2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兼容/易用</w:t>
            </w:r>
          </w:p>
        </w:tc>
        <w:tc>
          <w:tcPr>
            <w:tcW w:w="2433" w:type="dxa"/>
            <w:vAlign w:val="center"/>
          </w:tcPr>
          <w:p w14:paraId="11FDE3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NFR-COMP-01、NFR-USE-01</w:t>
            </w:r>
          </w:p>
        </w:tc>
        <w:tc>
          <w:tcPr>
            <w:tcW w:w="2765" w:type="dxa"/>
            <w:vAlign w:val="center"/>
          </w:tcPr>
          <w:p w14:paraId="6A1F1E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甲方确认浏览器/H5 宿主矩阵，关键任务走查和培训考核</w:t>
            </w:r>
          </w:p>
        </w:tc>
        <w:tc>
          <w:tcPr>
            <w:tcW w:w="2544" w:type="dxa"/>
            <w:vAlign w:val="center"/>
          </w:tcPr>
          <w:p w14:paraId="458ECA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兼容矩阵、步骤/跳转数、考核记录</w:t>
            </w:r>
          </w:p>
        </w:tc>
      </w:tr>
      <w:tr w14:paraId="57BA2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A33BA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维护/移植</w:t>
            </w:r>
          </w:p>
        </w:tc>
        <w:tc>
          <w:tcPr>
            <w:tcW w:w="2433" w:type="dxa"/>
            <w:vAlign w:val="center"/>
          </w:tcPr>
          <w:p w14:paraId="4EEDD4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NFR-MNT-01—02、NFR-PORT-01</w:t>
            </w:r>
          </w:p>
        </w:tc>
        <w:tc>
          <w:tcPr>
            <w:tcW w:w="2765" w:type="dxa"/>
            <w:vAlign w:val="center"/>
          </w:tcPr>
          <w:p w14:paraId="27C474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覆盖率、干净环境部署≤2小时、配置/代码分离和回滚</w:t>
            </w:r>
          </w:p>
        </w:tc>
        <w:tc>
          <w:tcPr>
            <w:tcW w:w="2544" w:type="dxa"/>
            <w:vAlign w:val="center"/>
          </w:tcPr>
          <w:p w14:paraId="038F52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CI、部署计时、配置清单、回滚记录</w:t>
            </w:r>
          </w:p>
        </w:tc>
      </w:tr>
    </w:tbl>
    <w:p w14:paraId="63D17077">
      <w:pPr>
        <w:pStyle w:val="2"/>
        <w:keepNext/>
      </w:pPr>
      <w:r>
        <w:rPr>
          <w:rFonts w:ascii="Times New Roman" w:hAnsi="Times New Roman" w:eastAsia="黑体"/>
          <w:b/>
        </w:rPr>
        <w:t>8 117 个 AC 级测试设计索引</w:t>
      </w:r>
    </w:p>
    <w:p w14:paraId="173315C9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本章锁定测试编号、目标和证据类型。详细前置数据、步骤和断言在实现阶段进入测试用例库；编号不得脱离 AC 单独重命名。</w:t>
      </w:r>
    </w:p>
    <w:p w14:paraId="1B3466D9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8-1 FR—AC—测试设计索引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4989"/>
        <w:gridCol w:w="1360"/>
        <w:gridCol w:w="1814"/>
      </w:tblGrid>
      <w:tr w14:paraId="46618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7" w:type="dxa"/>
            <w:vAlign w:val="center"/>
          </w:tcPr>
          <w:p w14:paraId="5D0BBC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FR / ★</w:t>
            </w:r>
          </w:p>
        </w:tc>
        <w:tc>
          <w:tcPr>
            <w:tcW w:w="4989" w:type="dxa"/>
            <w:vAlign w:val="center"/>
          </w:tcPr>
          <w:p w14:paraId="42F4CE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TC 与 AC 目标</w:t>
            </w:r>
          </w:p>
        </w:tc>
        <w:tc>
          <w:tcPr>
            <w:tcW w:w="1360" w:type="dxa"/>
            <w:vAlign w:val="center"/>
          </w:tcPr>
          <w:p w14:paraId="2F47B8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建议级别</w:t>
            </w:r>
          </w:p>
        </w:tc>
        <w:tc>
          <w:tcPr>
            <w:tcW w:w="1814" w:type="dxa"/>
            <w:vAlign w:val="center"/>
          </w:tcPr>
          <w:p w14:paraId="2C7C28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计划证据</w:t>
            </w:r>
          </w:p>
        </w:tc>
      </w:tr>
      <w:tr w14:paraId="3C238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9148B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G2-FR-001 / ★</w:t>
            </w:r>
          </w:p>
        </w:tc>
        <w:tc>
          <w:tcPr>
            <w:tcW w:w="4989" w:type="dxa"/>
            <w:vAlign w:val="center"/>
          </w:tcPr>
          <w:p w14:paraId="1CF44A1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TC-G2-FR-001-01：系统保存三级关系并可按层级查看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TC-G2-FR-001-02：系统保存条件并在检索结果中显示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TC-G2-FR-001-03：系统拒绝操作并留存授权失败审计</w:t>
            </w:r>
          </w:p>
        </w:tc>
        <w:tc>
          <w:tcPr>
            <w:tcW w:w="1360" w:type="dxa"/>
            <w:vAlign w:val="center"/>
          </w:tcPr>
          <w:p w14:paraId="067E21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3C6918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6BA9E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B122D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G2-FR-002 / ★</w:t>
            </w:r>
          </w:p>
        </w:tc>
        <w:tc>
          <w:tcPr>
            <w:tcW w:w="4989" w:type="dxa"/>
            <w:vAlign w:val="center"/>
          </w:tcPr>
          <w:p w14:paraId="30E683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TC-G2-FR-002-01：系统保存顺序、责任和依赖关系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TC-G2-FR-002-02：系统在预案版本中保留配置并可供启动时读取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TC-G2-FR-002-03：系统提示不可用项，不将失效对象作为可执行调派对象</w:t>
            </w:r>
          </w:p>
        </w:tc>
        <w:tc>
          <w:tcPr>
            <w:tcW w:w="1360" w:type="dxa"/>
            <w:vAlign w:val="center"/>
          </w:tcPr>
          <w:p w14:paraId="20549E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64BB74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501CA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4A0F8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G2-FR-003 / ★</w:t>
            </w:r>
          </w:p>
        </w:tc>
        <w:tc>
          <w:tcPr>
            <w:tcW w:w="4989" w:type="dxa"/>
            <w:vAlign w:val="center"/>
          </w:tcPr>
          <w:p w14:paraId="09F2E7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TC-G2-FR-003-01：任务名称、责任人、时限和执行状态可被读取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TC-G2-FR-003-02：系统自动创建对应处置任务并向移动端发送通知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TC-G2-FR-003-03：从启动到通知/任务下发满足 KN-003 的 ≤3 秒指标；未满足时记录测量结果与异常，不宣称通过</w:t>
            </w:r>
          </w:p>
        </w:tc>
        <w:tc>
          <w:tcPr>
            <w:tcW w:w="1360" w:type="dxa"/>
            <w:vAlign w:val="center"/>
          </w:tcPr>
          <w:p w14:paraId="37755F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1F8159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6381D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897A7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G2-FR-004 / ★</w:t>
            </w:r>
          </w:p>
        </w:tc>
        <w:tc>
          <w:tcPr>
            <w:tcW w:w="4989" w:type="dxa"/>
            <w:vAlign w:val="center"/>
          </w:tcPr>
          <w:p w14:paraId="2DA715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TC-G2-FR-004-01：事件时间线按发生/接收时间展示续报及来源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TC-G2-FR-004-02：态势视图显示当前状态和处理人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TC-G2-FR-004-03：系统拒绝展示受限内容并记录访问审计</w:t>
            </w:r>
          </w:p>
        </w:tc>
        <w:tc>
          <w:tcPr>
            <w:tcW w:w="1360" w:type="dxa"/>
            <w:vAlign w:val="center"/>
          </w:tcPr>
          <w:p w14:paraId="5055CA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</w:t>
            </w:r>
          </w:p>
        </w:tc>
        <w:tc>
          <w:tcPr>
            <w:tcW w:w="1814" w:type="dxa"/>
            <w:vAlign w:val="center"/>
          </w:tcPr>
          <w:p w14:paraId="61AF97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0AE45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66E6C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G2-FR-005 / ★</w:t>
            </w:r>
          </w:p>
        </w:tc>
        <w:tc>
          <w:tcPr>
            <w:tcW w:w="4989" w:type="dxa"/>
            <w:vAlign w:val="center"/>
          </w:tcPr>
          <w:p w14:paraId="0428E9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TC-G2-FR-005-01：系统叠加人员位置、职责和就位状态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TC-G2-FR-005-02：刷新周期满足 KN-008 ≤2 秒/次，且处理后精度不低于 KN-009 的源精度；结果以测试记录判定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TC-G2-FR-005-03：系统标识新鲜度/不可用状态，并禁止将其作为自动邻近调派结论</w:t>
            </w:r>
          </w:p>
        </w:tc>
        <w:tc>
          <w:tcPr>
            <w:tcW w:w="1360" w:type="dxa"/>
            <w:vAlign w:val="center"/>
          </w:tcPr>
          <w:p w14:paraId="0BE421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644D1C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0DBFC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ED579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G2-FR-006 / ★</w:t>
            </w:r>
          </w:p>
        </w:tc>
        <w:tc>
          <w:tcPr>
            <w:tcW w:w="4989" w:type="dxa"/>
            <w:vAlign w:val="center"/>
          </w:tcPr>
          <w:p w14:paraId="37FB3B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TC-G2-FR-006-01：系统通过既有接口请求并展示实时画面或明确失败原因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TC-G2-FR-006-02：系统通过接口完成调阅，不创建或承担录像存储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TC-G2-FR-006-03：首帧按 KN-010 ≤3 秒测量，保存条件按 KN-060 ≥30 天由既有系统证据确认</w:t>
            </w:r>
          </w:p>
        </w:tc>
        <w:tc>
          <w:tcPr>
            <w:tcW w:w="1360" w:type="dxa"/>
            <w:vAlign w:val="center"/>
          </w:tcPr>
          <w:p w14:paraId="53B9E5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3CC953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40CDA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3180CA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G2-FR-007 / 非★</w:t>
            </w:r>
          </w:p>
        </w:tc>
        <w:tc>
          <w:tcPr>
            <w:tcW w:w="4989" w:type="dxa"/>
            <w:vAlign w:val="center"/>
          </w:tcPr>
          <w:p w14:paraId="7C7F47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TC-G2-FR-007-01：系统展示站点图层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TC-G2-FR-007-02：系统展示该站点的物资清单、数量和配置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TC-G2-FR-007-03：系统提示数据缺失并保留异常记录，不展示虚构数量</w:t>
            </w:r>
          </w:p>
        </w:tc>
        <w:tc>
          <w:tcPr>
            <w:tcW w:w="1360" w:type="dxa"/>
            <w:vAlign w:val="center"/>
          </w:tcPr>
          <w:p w14:paraId="3BE293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</w:t>
            </w:r>
          </w:p>
        </w:tc>
        <w:tc>
          <w:tcPr>
            <w:tcW w:w="1814" w:type="dxa"/>
            <w:vAlign w:val="center"/>
          </w:tcPr>
          <w:p w14:paraId="0A9F79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1E4A3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CDD8F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G2-FR-008 / ★</w:t>
            </w:r>
          </w:p>
        </w:tc>
        <w:tc>
          <w:tcPr>
            <w:tcW w:w="4989" w:type="dxa"/>
            <w:vAlign w:val="center"/>
          </w:tcPr>
          <w:p w14:paraId="70425A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TC-G2-FR-008-01：系统生成可查询台账记录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TC-G2-FR-008-02：系统生成临期提醒并记录触发时间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TC-G2-FR-008-03：系统可承载 KN-023 ≥30 站点、KN-024 ≥1000 项的验证数据，结果以导入与查询证据判定</w:t>
            </w:r>
          </w:p>
        </w:tc>
        <w:tc>
          <w:tcPr>
            <w:tcW w:w="1360" w:type="dxa"/>
            <w:vAlign w:val="center"/>
          </w:tcPr>
          <w:p w14:paraId="3D179C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531210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15EAD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818D2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G2-FR-009 / ★</w:t>
            </w:r>
          </w:p>
        </w:tc>
        <w:tc>
          <w:tcPr>
            <w:tcW w:w="4989" w:type="dxa"/>
            <w:vAlign w:val="center"/>
          </w:tcPr>
          <w:p w14:paraId="798936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TC-G2-FR-009-01：系统保存计划范围和台账快照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TC-G2-FR-009-02：系统将结果与计划快照自动比对并标识差异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TC-G2-FR-009-03：系统保留原快照、盘点值、复核人和处理结果</w:t>
            </w:r>
          </w:p>
        </w:tc>
        <w:tc>
          <w:tcPr>
            <w:tcW w:w="1360" w:type="dxa"/>
            <w:vAlign w:val="center"/>
          </w:tcPr>
          <w:p w14:paraId="2890AE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6CF459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41CE0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7E206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G2-FR-010 / ★</w:t>
            </w:r>
          </w:p>
        </w:tc>
        <w:tc>
          <w:tcPr>
            <w:tcW w:w="4989" w:type="dxa"/>
            <w:vAlign w:val="center"/>
          </w:tcPr>
          <w:p w14:paraId="5DB313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TC-G2-FR-010-01：系统保存计划、责任人和目标时间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TC-G2-FR-010-02：系统可验证每半年至少一次演练安排（KN-013）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TC-G2-FR-010-03：系统阻止发布或给出可追溯的校验提示</w:t>
            </w:r>
          </w:p>
        </w:tc>
        <w:tc>
          <w:tcPr>
            <w:tcW w:w="1360" w:type="dxa"/>
            <w:vAlign w:val="center"/>
          </w:tcPr>
          <w:p w14:paraId="1A39D1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385EEE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27C88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CF4AC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G2-FR-011 / ★</w:t>
            </w:r>
          </w:p>
        </w:tc>
        <w:tc>
          <w:tcPr>
            <w:tcW w:w="4989" w:type="dxa"/>
            <w:vAlign w:val="center"/>
          </w:tcPr>
          <w:p w14:paraId="7D41D9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TC-G2-FR-011-01：自动创建对应演练任务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TC-G2-FR-011-02：系统记录接收对象、下发时间、回执或失败状态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TC-G2-FR-011-03：系统进入重试/告警或人工处置流程并留痕</w:t>
            </w:r>
          </w:p>
        </w:tc>
        <w:tc>
          <w:tcPr>
            <w:tcW w:w="1360" w:type="dxa"/>
            <w:vAlign w:val="center"/>
          </w:tcPr>
          <w:p w14:paraId="0710B4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5560BA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1ED66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83938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G2-FR-012 / ★</w:t>
            </w:r>
          </w:p>
        </w:tc>
        <w:tc>
          <w:tcPr>
            <w:tcW w:w="4989" w:type="dxa"/>
            <w:vAlign w:val="center"/>
          </w:tcPr>
          <w:p w14:paraId="77BE56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TC-G2-FR-012-01：系统关联计划、任务、人员和时间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TC-G2-FR-012-02：系统保存评估条目、结论和附件引用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TC-G2-FR-012-03：系统可追踪整改状态并在报告中关联展示</w:t>
            </w:r>
          </w:p>
        </w:tc>
        <w:tc>
          <w:tcPr>
            <w:tcW w:w="1360" w:type="dxa"/>
            <w:vAlign w:val="center"/>
          </w:tcPr>
          <w:p w14:paraId="31E813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33CBC9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5C089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F22F2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G2-FR-013 / ★</w:t>
            </w:r>
          </w:p>
        </w:tc>
        <w:tc>
          <w:tcPr>
            <w:tcW w:w="4989" w:type="dxa"/>
            <w:vAlign w:val="center"/>
          </w:tcPr>
          <w:p w14:paraId="765E5A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TC-G2-FR-013-01：系统创建事件并生成可追踪编号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TC-G2-FR-013-02：系统返回符合条件的事件列表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TC-G2-FR-013-03：系统拒绝提交并提示原因，不生成不完整事件</w:t>
            </w:r>
          </w:p>
        </w:tc>
        <w:tc>
          <w:tcPr>
            <w:tcW w:w="1360" w:type="dxa"/>
            <w:vAlign w:val="center"/>
          </w:tcPr>
          <w:p w14:paraId="5EAFDC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</w:t>
            </w:r>
          </w:p>
        </w:tc>
        <w:tc>
          <w:tcPr>
            <w:tcW w:w="1814" w:type="dxa"/>
            <w:vAlign w:val="center"/>
          </w:tcPr>
          <w:p w14:paraId="06ECFD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3A9F4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1C763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G2-FR-014 / ★</w:t>
            </w:r>
          </w:p>
        </w:tc>
        <w:tc>
          <w:tcPr>
            <w:tcW w:w="4989" w:type="dxa"/>
            <w:vAlign w:val="center"/>
          </w:tcPr>
          <w:p w14:paraId="3EF673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TC-G2-FR-014-01：系统记录意见、处理人、时间和状态变更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TC-G2-FR-014-02：系统进入处置生命周期并关联预案与任务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TC-G2-FR-014-03：分别按 KN-011 ≤2 秒、KN-012 ≤3 分钟形成测试记录</w:t>
            </w:r>
          </w:p>
        </w:tc>
        <w:tc>
          <w:tcPr>
            <w:tcW w:w="1360" w:type="dxa"/>
            <w:vAlign w:val="center"/>
          </w:tcPr>
          <w:p w14:paraId="194BDA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17D8E9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0A4B7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30229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G2-FR-015 / ★</w:t>
            </w:r>
          </w:p>
        </w:tc>
        <w:tc>
          <w:tcPr>
            <w:tcW w:w="4989" w:type="dxa"/>
            <w:vAlign w:val="center"/>
          </w:tcPr>
          <w:p w14:paraId="6D6C52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TC-G2-FR-015-01：任务自动关联事件、责任人、时限和状态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TC-G2-FR-015-02：系统记录反馈内容、附件引用、时间和处理状态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TC-G2-FR-015-03：系统记录触发原因和后续处置</w:t>
            </w:r>
          </w:p>
        </w:tc>
        <w:tc>
          <w:tcPr>
            <w:tcW w:w="1360" w:type="dxa"/>
            <w:vAlign w:val="center"/>
          </w:tcPr>
          <w:p w14:paraId="5FA5C1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019520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3BF42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BA608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G2-FR-016 / ★</w:t>
            </w:r>
          </w:p>
        </w:tc>
        <w:tc>
          <w:tcPr>
            <w:tcW w:w="4989" w:type="dxa"/>
            <w:vAlign w:val="center"/>
          </w:tcPr>
          <w:p w14:paraId="546DC3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TC-G2-FR-016-01：系统记录评估结论和关闭状态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TC-G2-FR-016-02：系统关联事件证据、调查结论和报告版本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TC-G2-FR-016-03：系统可在授权范围内查询其时间线、报告和知识条目</w:t>
            </w:r>
          </w:p>
        </w:tc>
        <w:tc>
          <w:tcPr>
            <w:tcW w:w="1360" w:type="dxa"/>
            <w:vAlign w:val="center"/>
          </w:tcPr>
          <w:p w14:paraId="6CA94B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659956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01A8B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F022E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G2-FR-017 / ★</w:t>
            </w:r>
          </w:p>
        </w:tc>
        <w:tc>
          <w:tcPr>
            <w:tcW w:w="4989" w:type="dxa"/>
            <w:vAlign w:val="center"/>
          </w:tcPr>
          <w:p w14:paraId="58173A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TC-G2-FR-017-01：系统保存可执行的打卡配置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TC-G2-FR-017-02：系统记录授权关系、操作者和时间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TC-G2-FR-017-03：系统提示并阻止无效配置生效</w:t>
            </w:r>
          </w:p>
        </w:tc>
        <w:tc>
          <w:tcPr>
            <w:tcW w:w="1360" w:type="dxa"/>
            <w:vAlign w:val="center"/>
          </w:tcPr>
          <w:p w14:paraId="270599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7A9674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68439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3B420F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G2-FR-018 / ★</w:t>
            </w:r>
          </w:p>
        </w:tc>
        <w:tc>
          <w:tcPr>
            <w:tcW w:w="4989" w:type="dxa"/>
            <w:vAlign w:val="center"/>
          </w:tcPr>
          <w:p w14:paraId="5DDDC2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TC-G2-FR-018-01：系统保存坐标、楼层和点位属性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TC-G2-FR-018-02：系统将其与点位关联并保留版本记录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TC-G2-FR-018-03：系统提示失败原因且不产生无效点位</w:t>
            </w:r>
          </w:p>
        </w:tc>
        <w:tc>
          <w:tcPr>
            <w:tcW w:w="1360" w:type="dxa"/>
            <w:vAlign w:val="center"/>
          </w:tcPr>
          <w:p w14:paraId="1A03CE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37E4C9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53703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447BA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G2-FR-019 / ★</w:t>
            </w:r>
          </w:p>
        </w:tc>
        <w:tc>
          <w:tcPr>
            <w:tcW w:w="4989" w:type="dxa"/>
            <w:vAlign w:val="center"/>
          </w:tcPr>
          <w:p w14:paraId="18D831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TC-G2-FR-019-01：系统按点位、小组、人员三个维度汇总（KN-014）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TC-G2-FR-019-02：导出内容与当前权限和筛选范围一致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TC-G2-FR-019-03：系统拒绝并记录审计</w:t>
            </w:r>
          </w:p>
        </w:tc>
        <w:tc>
          <w:tcPr>
            <w:tcW w:w="1360" w:type="dxa"/>
            <w:vAlign w:val="center"/>
          </w:tcPr>
          <w:p w14:paraId="77FA28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40DCAE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10408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58D6B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G2-FR-020 / ★</w:t>
            </w:r>
          </w:p>
        </w:tc>
        <w:tc>
          <w:tcPr>
            <w:tcW w:w="4989" w:type="dxa"/>
            <w:vAlign w:val="center"/>
          </w:tcPr>
          <w:p w14:paraId="15AE28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TC-G2-FR-020-01：系统创建缺卡或超时告警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TC-G2-FR-020-02：系统记录请求、重试、回执或失败结果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TC-G2-FR-020-03：≥20 路、≥99% 到达率按 KN-006、KN-007 实测并保留结果；未通过时进入异常处置</w:t>
            </w:r>
          </w:p>
        </w:tc>
        <w:tc>
          <w:tcPr>
            <w:tcW w:w="1360" w:type="dxa"/>
            <w:vAlign w:val="center"/>
          </w:tcPr>
          <w:p w14:paraId="6846EA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75B2EE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63E52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57187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G2-FR-021 / ★</w:t>
            </w:r>
          </w:p>
        </w:tc>
        <w:tc>
          <w:tcPr>
            <w:tcW w:w="4989" w:type="dxa"/>
            <w:vAlign w:val="center"/>
          </w:tcPr>
          <w:p w14:paraId="47B4C8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TC-G2-FR-021-01：系统保存事件、图片引用和提交人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TC-G2-FR-021-02：系统仅展示其授权范围内的事件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TC-G2-FR-021-03：H5 明确提示可恢复状态并防止把未上传附件标记为已上传</w:t>
            </w:r>
          </w:p>
        </w:tc>
        <w:tc>
          <w:tcPr>
            <w:tcW w:w="1360" w:type="dxa"/>
            <w:vAlign w:val="center"/>
          </w:tcPr>
          <w:p w14:paraId="030895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7DAF24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315BC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311DD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G2-FR-022 / ★</w:t>
            </w:r>
          </w:p>
        </w:tc>
        <w:tc>
          <w:tcPr>
            <w:tcW w:w="4989" w:type="dxa"/>
            <w:vAlign w:val="center"/>
          </w:tcPr>
          <w:p w14:paraId="5B88CF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TC-G2-FR-022-01：系统更新任务接收状态并留痕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TC-G2-FR-022-02：系统关联任务、上传结果和时间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TC-G2-FR-022-03：系统更新任务状态；消息并发与到达率按 KN-006、KN-007 在正常验收通道验证</w:t>
            </w:r>
          </w:p>
        </w:tc>
        <w:tc>
          <w:tcPr>
            <w:tcW w:w="1360" w:type="dxa"/>
            <w:vAlign w:val="center"/>
          </w:tcPr>
          <w:p w14:paraId="1E544B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247850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0C72F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768F4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G2-FR-023 / ★</w:t>
            </w:r>
          </w:p>
        </w:tc>
        <w:tc>
          <w:tcPr>
            <w:tcW w:w="4989" w:type="dxa"/>
            <w:vAlign w:val="center"/>
          </w:tcPr>
          <w:p w14:paraId="7F9299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TC-G2-FR-023-01：系统展示本人授权任务及状态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TC-G2-FR-023-02：系统记录结果、时间和关联任务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TC-G2-FR-023-03：系统拒绝并保留可追溯提示</w:t>
            </w:r>
          </w:p>
        </w:tc>
        <w:tc>
          <w:tcPr>
            <w:tcW w:w="1360" w:type="dxa"/>
            <w:vAlign w:val="center"/>
          </w:tcPr>
          <w:p w14:paraId="23ED2E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185841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792CB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82FD7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G2-FR-024 / ★</w:t>
            </w:r>
          </w:p>
        </w:tc>
        <w:tc>
          <w:tcPr>
            <w:tcW w:w="4989" w:type="dxa"/>
            <w:vAlign w:val="center"/>
          </w:tcPr>
          <w:p w14:paraId="6DA499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TC-G2-FR-024-01：系统写入有效打卡记录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TC-G2-FR-024-02：系统拒绝打卡并说明失败维度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TC-G2-FR-024-03：按 KN-036 ≤1 秒记录性能结果</w:t>
            </w:r>
          </w:p>
        </w:tc>
        <w:tc>
          <w:tcPr>
            <w:tcW w:w="1360" w:type="dxa"/>
            <w:vAlign w:val="center"/>
          </w:tcPr>
          <w:p w14:paraId="673371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1D4AC3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7675F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A4CF0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G2-FR-025 / ★</w:t>
            </w:r>
          </w:p>
        </w:tc>
        <w:tc>
          <w:tcPr>
            <w:tcW w:w="4989" w:type="dxa"/>
            <w:vAlign w:val="center"/>
          </w:tcPr>
          <w:p w14:paraId="2DF196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TC-G2-FR-025-01：系统关联计划、物资和现场记录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TC-G2-FR-025-02：自动标识与快照的数量差异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TC-G2-FR-025-03：系统更新现有数量并保留盘点和复核证据</w:t>
            </w:r>
          </w:p>
        </w:tc>
        <w:tc>
          <w:tcPr>
            <w:tcW w:w="1360" w:type="dxa"/>
            <w:vAlign w:val="center"/>
          </w:tcPr>
          <w:p w14:paraId="60EE8E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集成/系统</w:t>
            </w:r>
          </w:p>
        </w:tc>
        <w:tc>
          <w:tcPr>
            <w:tcW w:w="1814" w:type="dxa"/>
            <w:vAlign w:val="center"/>
          </w:tcPr>
          <w:p w14:paraId="20E627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14163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FEA5E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G2-FR-026 / ★</w:t>
            </w:r>
          </w:p>
        </w:tc>
        <w:tc>
          <w:tcPr>
            <w:tcW w:w="4989" w:type="dxa"/>
            <w:vAlign w:val="center"/>
          </w:tcPr>
          <w:p w14:paraId="607F09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TC-G2-FR-026-01：系统展示在线状态、告警统计和空间定位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TC-G2-FR-026-02：系统跳转至关联业务上下文或明确记录失败原因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TC-G2-FR-026-03：按 KN-016 ≤30 秒形成测试证据</w:t>
            </w:r>
          </w:p>
        </w:tc>
        <w:tc>
          <w:tcPr>
            <w:tcW w:w="1360" w:type="dxa"/>
            <w:vAlign w:val="center"/>
          </w:tcPr>
          <w:p w14:paraId="7603BF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43B5BF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53A6A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B0266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G2-FR-027 / ★</w:t>
            </w:r>
          </w:p>
        </w:tc>
        <w:tc>
          <w:tcPr>
            <w:tcW w:w="4989" w:type="dxa"/>
            <w:vAlign w:val="center"/>
          </w:tcPr>
          <w:p w14:paraId="2E73EE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TC-G2-FR-027-01：创建或关联应急事件并保留原始关联信息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TC-G2-FR-027-02：系统按重试/补传策略处理并记录成功、失败或待人工处置状态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TC-G2-FR-027-03：系统不自动生成错误事件，并输出可审计的异常记录</w:t>
            </w:r>
          </w:p>
        </w:tc>
        <w:tc>
          <w:tcPr>
            <w:tcW w:w="1360" w:type="dxa"/>
            <w:vAlign w:val="center"/>
          </w:tcPr>
          <w:p w14:paraId="6A070E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107B94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18BAA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560693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G2-FR-028 / ★</w:t>
            </w:r>
          </w:p>
        </w:tc>
        <w:tc>
          <w:tcPr>
            <w:tcW w:w="4989" w:type="dxa"/>
            <w:vAlign w:val="center"/>
          </w:tcPr>
          <w:p w14:paraId="6C1A01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TC-G2-FR-028-01：系统按中台授权执行业务访问控制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TC-G2-FR-028-02：系统通过中台适配层调用并记录关联结果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TC-G2-FR-028-03：系统展示可观察错误并记录降级/人工处置，不以本地重复建设替代中台通用能力</w:t>
            </w:r>
          </w:p>
        </w:tc>
        <w:tc>
          <w:tcPr>
            <w:tcW w:w="1360" w:type="dxa"/>
            <w:vAlign w:val="center"/>
          </w:tcPr>
          <w:p w14:paraId="0B8151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5E6F7B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00184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381210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G2-FR-029 / ★</w:t>
            </w:r>
          </w:p>
        </w:tc>
        <w:tc>
          <w:tcPr>
            <w:tcW w:w="4989" w:type="dxa"/>
            <w:vAlign w:val="center"/>
          </w:tcPr>
          <w:p w14:paraId="7F9FAC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TC-G2-FR-029-01：系统通过既有接口完成请求、记录结果并遵循既有系统保存责任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TC-G2-FR-029-02：系统向既有门禁发送指令并等待安全联锁结果，不绕过联锁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TC-G2-FR-029-03：系统产生告警、保留回执并转入人工降级处置</w:t>
            </w:r>
          </w:p>
        </w:tc>
        <w:tc>
          <w:tcPr>
            <w:tcW w:w="1360" w:type="dxa"/>
            <w:vAlign w:val="center"/>
          </w:tcPr>
          <w:p w14:paraId="356625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1C92F1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17AE7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4F3CB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G2-FR-030 / 非★</w:t>
            </w:r>
          </w:p>
        </w:tc>
        <w:tc>
          <w:tcPr>
            <w:tcW w:w="4989" w:type="dxa"/>
            <w:vAlign w:val="center"/>
          </w:tcPr>
          <w:p w14:paraId="0C20BA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TC-G2-FR-030-01：系统保存附件与预案、版本和上传审计的关联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TC-G2-FR-030-02：系统保留历史版本并能按权限检索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TC-G2-FR-030-03：系统拒绝并记录访问审计</w:t>
            </w:r>
          </w:p>
        </w:tc>
        <w:tc>
          <w:tcPr>
            <w:tcW w:w="1360" w:type="dxa"/>
            <w:vAlign w:val="center"/>
          </w:tcPr>
          <w:p w14:paraId="77B795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6528D2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4957A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067DB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G2-FR-031 / ★</w:t>
            </w:r>
          </w:p>
        </w:tc>
        <w:tc>
          <w:tcPr>
            <w:tcW w:w="4989" w:type="dxa"/>
            <w:vAlign w:val="center"/>
          </w:tcPr>
          <w:p w14:paraId="33D11E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TC-G2-FR-031-01：系统保存可追溯的组织关联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TC-G2-FR-031-02：系统记录接收对象、时间和回执或失败状态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TC-G2-FR-031-03：系统提示并阻止无效下发</w:t>
            </w:r>
          </w:p>
        </w:tc>
        <w:tc>
          <w:tcPr>
            <w:tcW w:w="1360" w:type="dxa"/>
            <w:vAlign w:val="center"/>
          </w:tcPr>
          <w:p w14:paraId="253B8B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集成/契约/系统</w:t>
            </w:r>
          </w:p>
        </w:tc>
        <w:tc>
          <w:tcPr>
            <w:tcW w:w="1814" w:type="dxa"/>
            <w:vAlign w:val="center"/>
          </w:tcPr>
          <w:p w14:paraId="42B302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67016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9700D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G2-FR-032 / 非★</w:t>
            </w:r>
          </w:p>
        </w:tc>
        <w:tc>
          <w:tcPr>
            <w:tcW w:w="4989" w:type="dxa"/>
            <w:vAlign w:val="center"/>
          </w:tcPr>
          <w:p w14:paraId="6A0219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TC-G2-FR-032-01：系统生成对应可执行的打卡关联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TC-G2-FR-032-02：系统保存调整前后内容、操作者和时间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TC-G2-FR-032-03：系统提示冲突并阻止无效规则生效</w:t>
            </w:r>
          </w:p>
        </w:tc>
        <w:tc>
          <w:tcPr>
            <w:tcW w:w="1360" w:type="dxa"/>
            <w:vAlign w:val="center"/>
          </w:tcPr>
          <w:p w14:paraId="384382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7B29C4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3901A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83A5A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G2-FR-033 / 非★</w:t>
            </w:r>
          </w:p>
        </w:tc>
        <w:tc>
          <w:tcPr>
            <w:tcW w:w="4989" w:type="dxa"/>
            <w:vAlign w:val="center"/>
          </w:tcPr>
          <w:p w14:paraId="3FF833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TC-G2-FR-033-01：系统保存类型和变更审计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TC-G2-FR-033-02：历史预案保留原类型，新建预案不能再选择该类型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TC-G2-FR-033-03：系统拒绝操作并记录审计</w:t>
            </w:r>
          </w:p>
        </w:tc>
        <w:tc>
          <w:tcPr>
            <w:tcW w:w="1360" w:type="dxa"/>
            <w:vAlign w:val="center"/>
          </w:tcPr>
          <w:p w14:paraId="1E0905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4BD89C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4C60A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F3502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G2-FR-034 / ★</w:t>
            </w:r>
          </w:p>
        </w:tc>
        <w:tc>
          <w:tcPr>
            <w:tcW w:w="4989" w:type="dxa"/>
            <w:vAlign w:val="center"/>
          </w:tcPr>
          <w:p w14:paraId="6D38AD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TC-G2-FR-034-01：系统保存类型和变更审计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TC-G2-FR-034-02：系统允许按权限调整，不将预置类别误写为新增强制范围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TC-G2-FR-034-03：历史事件保留可查，新建事件不能选择该类型</w:t>
            </w:r>
          </w:p>
        </w:tc>
        <w:tc>
          <w:tcPr>
            <w:tcW w:w="1360" w:type="dxa"/>
            <w:vAlign w:val="center"/>
          </w:tcPr>
          <w:p w14:paraId="5A375E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5F9816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6A96C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87417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G2-FR-035 / ★</w:t>
            </w:r>
          </w:p>
        </w:tc>
        <w:tc>
          <w:tcPr>
            <w:tcW w:w="4989" w:type="dxa"/>
            <w:vAlign w:val="center"/>
          </w:tcPr>
          <w:p w14:paraId="3A516B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TC-G2-FR-035-01：系统保存站点、坐标/楼层和版本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TC-G2-FR-035-02：系统加载配置的位置并支持关联台账钻取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TC-G2-FR-035-03：系统提示并拒绝保存无效空间配置</w:t>
            </w:r>
          </w:p>
        </w:tc>
        <w:tc>
          <w:tcPr>
            <w:tcW w:w="1360" w:type="dxa"/>
            <w:vAlign w:val="center"/>
          </w:tcPr>
          <w:p w14:paraId="33687A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32C40B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7F891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68752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G2-FR-036 / ★</w:t>
            </w:r>
          </w:p>
        </w:tc>
        <w:tc>
          <w:tcPr>
            <w:tcW w:w="4989" w:type="dxa"/>
            <w:vAlign w:val="center"/>
          </w:tcPr>
          <w:p w14:paraId="209575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TC-G2-FR-036-01：系统保存模板及版本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TC-G2-FR-036-02：系统关联使用的模板版本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TC-G2-FR-036-03：历史评估仍保留原版本可追溯</w:t>
            </w:r>
          </w:p>
        </w:tc>
        <w:tc>
          <w:tcPr>
            <w:tcW w:w="1360" w:type="dxa"/>
            <w:vAlign w:val="center"/>
          </w:tcPr>
          <w:p w14:paraId="6013A1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738237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207BA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507D27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G2-FR-037 / ★</w:t>
            </w:r>
          </w:p>
        </w:tc>
        <w:tc>
          <w:tcPr>
            <w:tcW w:w="4989" w:type="dxa"/>
            <w:vAlign w:val="center"/>
          </w:tcPr>
          <w:p w14:paraId="629276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TC-G2-FR-037-01：系统保存生效配置和审计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TC-G2-FR-037-02：系统按当前有效配置路由审批事项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TC-G2-FR-037-03：系统阻止生效并提示校验原因</w:t>
            </w:r>
          </w:p>
        </w:tc>
        <w:tc>
          <w:tcPr>
            <w:tcW w:w="1360" w:type="dxa"/>
            <w:vAlign w:val="center"/>
          </w:tcPr>
          <w:p w14:paraId="4355D4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18333D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38E47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FC248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G2-FR-038 / 非★</w:t>
            </w:r>
          </w:p>
        </w:tc>
        <w:tc>
          <w:tcPr>
            <w:tcW w:w="4989" w:type="dxa"/>
            <w:vAlign w:val="center"/>
          </w:tcPr>
          <w:p w14:paraId="3B8EDF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TC-G2-FR-038-01：系统返回其授权范围内的条目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TC-G2-FR-038-02：系统返回匹配条目或明确无结果提示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TC-G2-FR-038-03：系统不返回受限内容并记录必要审计</w:t>
            </w:r>
          </w:p>
        </w:tc>
        <w:tc>
          <w:tcPr>
            <w:tcW w:w="1360" w:type="dxa"/>
            <w:vAlign w:val="center"/>
          </w:tcPr>
          <w:p w14:paraId="2AF005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6E86EB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  <w:tr w14:paraId="7706D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8F074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G2-FR-039 / ★</w:t>
            </w:r>
          </w:p>
        </w:tc>
        <w:tc>
          <w:tcPr>
            <w:tcW w:w="4989" w:type="dxa"/>
            <w:vAlign w:val="center"/>
          </w:tcPr>
          <w:p w14:paraId="534A73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TC-G2-FR-039-01：系统展示事件、监控和流程统计结果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TC-G2-FR-039-02：系统展示与指标一致的授权范围内明细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TC-G2-FR-039-03：按 KN-017 ≤60 秒形成性能验证记录</w:t>
            </w:r>
          </w:p>
        </w:tc>
        <w:tc>
          <w:tcPr>
            <w:tcW w:w="1360" w:type="dxa"/>
            <w:vAlign w:val="center"/>
          </w:tcPr>
          <w:p w14:paraId="378EC1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单元/系统</w:t>
            </w:r>
          </w:p>
        </w:tc>
        <w:tc>
          <w:tcPr>
            <w:tcW w:w="1814" w:type="dxa"/>
            <w:vAlign w:val="center"/>
          </w:tcPr>
          <w:p w14:paraId="5CB69F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结果记录、业务/审计数据、必要的请求回执</w:t>
            </w:r>
          </w:p>
        </w:tc>
      </w:tr>
    </w:tbl>
    <w:p w14:paraId="17471C2C">
      <w:pPr>
        <w:pStyle w:val="2"/>
        <w:keepNext/>
      </w:pPr>
      <w:r>
        <w:rPr>
          <w:rFonts w:ascii="Times New Roman" w:hAnsi="Times New Roman" w:eastAsia="黑体"/>
          <w:b/>
        </w:rPr>
        <w:t>9 风险与应对</w:t>
      </w:r>
    </w:p>
    <w:p w14:paraId="7F9467DE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9-1 测试风险与处置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0164A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65F247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风险</w:t>
            </w:r>
          </w:p>
        </w:tc>
        <w:tc>
          <w:tcPr>
            <w:tcW w:w="2433" w:type="dxa"/>
            <w:vAlign w:val="center"/>
          </w:tcPr>
          <w:p w14:paraId="50C27B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触发条件</w:t>
            </w:r>
          </w:p>
        </w:tc>
        <w:tc>
          <w:tcPr>
            <w:tcW w:w="2765" w:type="dxa"/>
            <w:vAlign w:val="center"/>
          </w:tcPr>
          <w:p w14:paraId="5F81D0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应对</w:t>
            </w:r>
          </w:p>
        </w:tc>
        <w:tc>
          <w:tcPr>
            <w:tcW w:w="2544" w:type="dxa"/>
            <w:vAlign w:val="center"/>
          </w:tcPr>
          <w:p w14:paraId="14DB8E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对准出的影响</w:t>
            </w:r>
          </w:p>
        </w:tc>
      </w:tr>
      <w:tr w14:paraId="5B07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55317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外部环境或账号不到位</w:t>
            </w:r>
          </w:p>
        </w:tc>
        <w:tc>
          <w:tcPr>
            <w:tcW w:w="2433" w:type="dxa"/>
            <w:vAlign w:val="center"/>
          </w:tcPr>
          <w:p w14:paraId="31A7DA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视频、消息、中台等无法取得真实调用条件</w:t>
            </w:r>
          </w:p>
        </w:tc>
        <w:tc>
          <w:tcPr>
            <w:tcW w:w="2765" w:type="dxa"/>
            <w:vAlign w:val="center"/>
          </w:tcPr>
          <w:p w14:paraId="0CA61F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提前登记窗口和所需证据；使用桩只验证内部逻辑；保留 OPEN Issue</w:t>
            </w:r>
          </w:p>
        </w:tc>
        <w:tc>
          <w:tcPr>
            <w:tcW w:w="2544" w:type="dxa"/>
            <w:vAlign w:val="center"/>
          </w:tcPr>
          <w:p w14:paraId="3C1528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对应联调/PE 不得通过，阻断 M3</w:t>
            </w:r>
          </w:p>
        </w:tc>
      </w:tr>
      <w:tr w14:paraId="4DAA6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D2B66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测试数据与目标规模不等价</w:t>
            </w:r>
          </w:p>
        </w:tc>
        <w:tc>
          <w:tcPr>
            <w:tcW w:w="2433" w:type="dxa"/>
            <w:vAlign w:val="center"/>
          </w:tcPr>
          <w:p w14:paraId="1F0D7D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数据量、角色或空间服务不足</w:t>
            </w:r>
          </w:p>
        </w:tc>
        <w:tc>
          <w:tcPr>
            <w:tcW w:w="2765" w:type="dxa"/>
            <w:vAlign w:val="center"/>
          </w:tcPr>
          <w:p w14:paraId="4651E1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记录生成规则和差异；补测目标环境</w:t>
            </w:r>
          </w:p>
        </w:tc>
        <w:tc>
          <w:tcPr>
            <w:tcW w:w="2544" w:type="dxa"/>
            <w:vAlign w:val="center"/>
          </w:tcPr>
          <w:p w14:paraId="6D88B9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性能/容量结论无效</w:t>
            </w:r>
          </w:p>
        </w:tc>
      </w:tr>
      <w:tr w14:paraId="4D79A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2EEC6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用例与需求漂移</w:t>
            </w:r>
          </w:p>
        </w:tc>
        <w:tc>
          <w:tcPr>
            <w:tcW w:w="2433" w:type="dxa"/>
            <w:vAlign w:val="center"/>
          </w:tcPr>
          <w:p w14:paraId="4D201A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FR/AC/设计变更未同步 TC</w:t>
            </w:r>
          </w:p>
        </w:tc>
        <w:tc>
          <w:tcPr>
            <w:tcW w:w="2765" w:type="dxa"/>
            <w:vAlign w:val="center"/>
          </w:tcPr>
          <w:p w14:paraId="39C503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 检查孤儿/缺失 ID，变更评审更新 RTM</w:t>
            </w:r>
          </w:p>
        </w:tc>
        <w:tc>
          <w:tcPr>
            <w:tcW w:w="2544" w:type="dxa"/>
            <w:vAlign w:val="center"/>
          </w:tcPr>
          <w:p w14:paraId="6961CE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追踪断链阻断发布</w:t>
            </w:r>
          </w:p>
        </w:tc>
      </w:tr>
      <w:tr w14:paraId="588DB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F2D0A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缺陷积压压缩回归</w:t>
            </w:r>
          </w:p>
        </w:tc>
        <w:tc>
          <w:tcPr>
            <w:tcW w:w="2433" w:type="dxa"/>
            <w:vAlign w:val="center"/>
          </w:tcPr>
          <w:p w14:paraId="181CD8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致命/严重缺陷临近准出仍开放</w:t>
            </w:r>
          </w:p>
        </w:tc>
        <w:tc>
          <w:tcPr>
            <w:tcW w:w="2765" w:type="dxa"/>
            <w:vAlign w:val="center"/>
          </w:tcPr>
          <w:p w14:paraId="628EFA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按严重度停线，优先修复并执行影响集回归</w:t>
            </w:r>
          </w:p>
        </w:tc>
        <w:tc>
          <w:tcPr>
            <w:tcW w:w="2544" w:type="dxa"/>
            <w:vAlign w:val="center"/>
          </w:tcPr>
          <w:p w14:paraId="0542E5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致命/严重未清零不准出</w:t>
            </w:r>
          </w:p>
        </w:tc>
      </w:tr>
      <w:tr w14:paraId="6DE06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3B1A5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兼容矩阵未确认</w:t>
            </w:r>
          </w:p>
        </w:tc>
        <w:tc>
          <w:tcPr>
            <w:tcW w:w="2433" w:type="dxa"/>
            <w:vAlign w:val="center"/>
          </w:tcPr>
          <w:p w14:paraId="282767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Android/iOS 或浏览器版本未由甲方确认</w:t>
            </w:r>
          </w:p>
        </w:tc>
        <w:tc>
          <w:tcPr>
            <w:tcW w:w="2765" w:type="dxa"/>
            <w:vAlign w:val="center"/>
          </w:tcPr>
          <w:p w14:paraId="0CB62B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先测现有开发环境并标注参考；确认后重跑</w:t>
            </w:r>
          </w:p>
        </w:tc>
        <w:tc>
          <w:tcPr>
            <w:tcW w:w="2544" w:type="dxa"/>
            <w:vAlign w:val="center"/>
          </w:tcPr>
          <w:p w14:paraId="33B422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不冻结兼容结论</w:t>
            </w:r>
          </w:p>
        </w:tc>
      </w:tr>
      <w:tr w14:paraId="1D1E9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00F49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性能脚本或监控不可信</w:t>
            </w:r>
          </w:p>
        </w:tc>
        <w:tc>
          <w:tcPr>
            <w:tcW w:w="2433" w:type="dxa"/>
            <w:vAlign w:val="center"/>
          </w:tcPr>
          <w:p w14:paraId="70D558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结果缺少时间、资源或原始数据</w:t>
            </w:r>
          </w:p>
        </w:tc>
        <w:tc>
          <w:tcPr>
            <w:tcW w:w="2765" w:type="dxa"/>
            <w:vAlign w:val="center"/>
          </w:tcPr>
          <w:p w14:paraId="6A5E40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脚本版本化，校准计时，保留原始输出</w:t>
            </w:r>
          </w:p>
        </w:tc>
        <w:tc>
          <w:tcPr>
            <w:tcW w:w="2544" w:type="dxa"/>
            <w:vAlign w:val="center"/>
          </w:tcPr>
          <w:p w14:paraId="14AF87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无原始证据的指标不判通过</w:t>
            </w:r>
          </w:p>
        </w:tc>
      </w:tr>
    </w:tbl>
    <w:p w14:paraId="37780D58">
      <w:pPr>
        <w:pStyle w:val="2"/>
        <w:keepNext/>
      </w:pPr>
      <w:r>
        <w:rPr>
          <w:rFonts w:ascii="Times New Roman" w:hAnsi="Times New Roman" w:eastAsia="黑体"/>
          <w:b/>
        </w:rPr>
        <w:t>10 配置、报告与准出结论</w:t>
      </w:r>
    </w:p>
    <w:p w14:paraId="5566C5D2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测试配置项包括计划、用例、数据生成脚本、环境清单、OpenAPI 快照、执行结果、覆盖率、性能原始数据、安全扫描、故障演练、缺陷和 RTM。测试报告必须按执行版本汇总通过、失败、阻断和未执行项，禁止只给总通过率而省略★、PE、外部接口和开放 Issue。</w:t>
      </w:r>
    </w:p>
    <w:p w14:paraId="20389AF0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G3-09 主责结论：已形成测试级别、范围、策略、进度、环境、准入准出、P0 场景、PE/NFR 与 117 个 AC 级测试编号，可按 OVR-025 提交 A 单人复核。当前状态保持 REVIEW；本结论不表示任何测试已经执行或通过。ISSUE-G3-01-001 保持 OPEN，并继续阻断视频/消息真实联调结论和 G3-10/M3 最终冻结。</w:t>
      </w:r>
    </w:p>
    <w:p w14:paraId="708880AF">
      <w:pPr>
        <w:pStyle w:val="2"/>
        <w:keepNext/>
      </w:pPr>
      <w:r>
        <w:rPr>
          <w:rFonts w:ascii="Times New Roman" w:hAnsi="Times New Roman" w:eastAsia="黑体"/>
          <w:b/>
        </w:rPr>
        <w:t>附录 A 证据包最小字段</w:t>
      </w:r>
    </w:p>
    <w:p w14:paraId="152392DE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A-1 单次执行证据字段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03680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vAlign w:val="center"/>
          </w:tcPr>
          <w:p w14:paraId="278418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tcW w:w="6804" w:type="dxa"/>
            <w:vAlign w:val="center"/>
          </w:tcPr>
          <w:p w14:paraId="5BE700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要求</w:t>
            </w:r>
          </w:p>
        </w:tc>
      </w:tr>
      <w:tr w14:paraId="5713D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4A2DD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标识</w:t>
            </w:r>
          </w:p>
        </w:tc>
        <w:tc>
          <w:tcPr>
            <w:tcW w:w="6804" w:type="dxa"/>
            <w:vAlign w:val="center"/>
          </w:tcPr>
          <w:p w14:paraId="578093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TC、AC、FR、设计 ID、缺陷 ID 可回指</w:t>
            </w:r>
          </w:p>
        </w:tc>
      </w:tr>
      <w:tr w14:paraId="04C7A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4FB2E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版本</w:t>
            </w:r>
          </w:p>
        </w:tc>
        <w:tc>
          <w:tcPr>
            <w:tcW w:w="6804" w:type="dxa"/>
            <w:vAlign w:val="center"/>
          </w:tcPr>
          <w:p w14:paraId="6A3DF2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commit、构建、数据库迁移、OpenAPI/配置版本</w:t>
            </w:r>
          </w:p>
        </w:tc>
      </w:tr>
      <w:tr w14:paraId="2570A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AEF34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环境</w:t>
            </w:r>
          </w:p>
        </w:tc>
        <w:tc>
          <w:tcPr>
            <w:tcW w:w="6804" w:type="dxa"/>
            <w:vAlign w:val="center"/>
          </w:tcPr>
          <w:p w14:paraId="04F54F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主机/容器、浏览器/H5 宿主、外部接口版本、时间同步</w:t>
            </w:r>
          </w:p>
        </w:tc>
      </w:tr>
      <w:tr w14:paraId="40981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634C3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</w:t>
            </w:r>
          </w:p>
        </w:tc>
        <w:tc>
          <w:tcPr>
            <w:tcW w:w="6804" w:type="dxa"/>
            <w:vAlign w:val="center"/>
          </w:tcPr>
          <w:p w14:paraId="51F802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数据集版本、规模、账号/角色、脱敏与清理方式</w:t>
            </w:r>
          </w:p>
        </w:tc>
      </w:tr>
      <w:tr w14:paraId="11EFD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351D0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执行</w:t>
            </w:r>
          </w:p>
        </w:tc>
        <w:tc>
          <w:tcPr>
            <w:tcW w:w="6804" w:type="dxa"/>
            <w:vAlign w:val="center"/>
          </w:tcPr>
          <w:p w14:paraId="64F3A9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操作者、开始/结束时间、步骤或脚本、重复轮次</w:t>
            </w:r>
          </w:p>
        </w:tc>
      </w:tr>
      <w:tr w14:paraId="251D7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D6DB5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</w:t>
            </w:r>
          </w:p>
        </w:tc>
        <w:tc>
          <w:tcPr>
            <w:tcW w:w="6804" w:type="dxa"/>
            <w:vAlign w:val="center"/>
          </w:tcPr>
          <w:p w14:paraId="235A1E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期望、实际、原始输出、统计口径、截图/日志/回执索引</w:t>
            </w:r>
          </w:p>
        </w:tc>
      </w:tr>
      <w:tr w14:paraId="00A9F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B0260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结论</w:t>
            </w:r>
          </w:p>
        </w:tc>
        <w:tc>
          <w:tcPr>
            <w:tcW w:w="6804" w:type="dxa"/>
            <w:vAlign w:val="center"/>
          </w:tcPr>
          <w:p w14:paraId="21D2CE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PASS/FAIL/BLOCKED/NOT_RUN 之一；失败关联缺陷与复测</w:t>
            </w:r>
          </w:p>
        </w:tc>
      </w:tr>
    </w:tbl>
    <w:p w14:paraId="44B6DD0C"/>
    <w:sectPr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C83E0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</w:instrText>
    </w:r>
    <w:r>
      <w:rPr>
        <w:color w:val="000000"/>
        <w:sz w:val="18"/>
        <w:szCs w:val="18"/>
      </w:rPr>
      <w:fldChar w:fldCharType="separate"/>
    </w:r>
    <w:r>
      <w:rPr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86"/>
    <w:rsid w:val="003B6320"/>
    <w:rsid w:val="00461786"/>
    <w:rsid w:val="00587D90"/>
    <w:rsid w:val="006C1689"/>
    <w:rsid w:val="00AE63D9"/>
    <w:rsid w:val="00BD4115"/>
    <w:rsid w:val="00F922DC"/>
    <w:rsid w:val="60A5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cs="Times New Roman" w:eastAsiaTheme="minorEastAsia"/>
      <w:color w:val="000000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cs="Times New Roman" w:eastAsiaTheme="minorEastAsia"/>
      <w:color w:val="000000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cs="Times New Roman" w:eastAsiaTheme="minorEastAsia"/>
      <w:i/>
      <w:iCs/>
      <w:color w:val="000000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3"/>
    <w:semiHidden/>
    <w:unhideWhenUsed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9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uiPriority w:val="39"/>
  </w:style>
  <w:style w:type="paragraph" w:styleId="12">
    <w:name w:val="footnote text"/>
    <w:link w:val="22"/>
    <w:semiHidden/>
    <w:unhideWhenUsed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13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4">
    <w:name w:val="Title"/>
    <w:qFormat/>
    <w:uiPriority w:val="10"/>
    <w:rPr>
      <w:rFonts w:ascii="Times New Roman" w:hAnsi="Times New Roman" w:cs="Times New Roman" w:eastAsiaTheme="minorEastAsia"/>
      <w:color w:val="000000"/>
      <w:sz w:val="56"/>
      <w:szCs w:val="56"/>
      <w:lang w:val="en-US" w:eastAsia="zh-CN" w:bidi="ar-SA"/>
    </w:rPr>
  </w:style>
  <w:style w:type="character" w:styleId="17">
    <w:name w:val="endnote reference"/>
    <w:semiHidden/>
    <w:unhideWhenUsed/>
    <w:uiPriority w:val="99"/>
    <w:rPr>
      <w:color w:val="000000"/>
      <w:vertAlign w:val="superscript"/>
    </w:rPr>
  </w:style>
  <w:style w:type="character" w:styleId="18">
    <w:name w:val="Hyperlink"/>
    <w:unhideWhenUsed/>
    <w:uiPriority w:val="99"/>
    <w:rPr>
      <w:color w:val="000000"/>
      <w:u w:val="single"/>
    </w:rPr>
  </w:style>
  <w:style w:type="character" w:styleId="19">
    <w:name w:val="footnote reference"/>
    <w:semiHidden/>
    <w:unhideWhenUsed/>
    <w:uiPriority w:val="99"/>
    <w:rPr>
      <w:color w:val="000000"/>
      <w:vertAlign w:val="superscript"/>
    </w:rPr>
  </w:style>
  <w:style w:type="paragraph" w:customStyle="1" w:styleId="20">
    <w:name w:val="要点1"/>
    <w:qFormat/>
    <w:uiPriority w:val="0"/>
    <w:rPr>
      <w:rFonts w:ascii="Times New Roman" w:hAnsi="Times New Roman" w:cs="Times New Roman" w:eastAsiaTheme="minorEastAsia"/>
      <w:b/>
      <w:bCs/>
      <w:color w:val="000000"/>
      <w:lang w:val="en-US" w:eastAsia="zh-CN" w:bidi="ar-SA"/>
    </w:rPr>
  </w:style>
  <w:style w:type="paragraph" w:styleId="21">
    <w:name w:val="List Paragraph"/>
    <w:qFormat/>
    <w:uiPriority w:val="0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character" w:customStyle="1" w:styleId="22">
    <w:name w:val="脚注文本 字符"/>
    <w:link w:val="12"/>
    <w:semiHidden/>
    <w:unhideWhenUsed/>
    <w:uiPriority w:val="99"/>
    <w:rPr>
      <w:color w:val="000000"/>
      <w:sz w:val="20"/>
      <w:szCs w:val="20"/>
    </w:rPr>
  </w:style>
  <w:style w:type="character" w:customStyle="1" w:styleId="23">
    <w:name w:val="尾注文本 字符"/>
    <w:link w:val="8"/>
    <w:semiHidden/>
    <w:unhideWhenUsed/>
    <w:uiPriority w:val="99"/>
    <w:rPr>
      <w:color w:val="000000"/>
      <w:sz w:val="20"/>
      <w:szCs w:val="20"/>
    </w:rPr>
  </w:style>
  <w:style w:type="character" w:customStyle="1" w:styleId="24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5">
    <w:name w:val="页脚 字符"/>
    <w:basedOn w:val="16"/>
    <w:link w:val="9"/>
    <w:uiPriority w:val="99"/>
    <w:rPr>
      <w:sz w:val="18"/>
      <w:szCs w:val="18"/>
    </w:rPr>
  </w:style>
  <w:style w:type="paragraph" w:customStyle="1" w:styleId="26">
    <w:name w:val="TOC Heading"/>
    <w:basedOn w:val="2"/>
    <w:next w:val="1"/>
    <w:unhideWhenUsed/>
    <w:qFormat/>
    <w:uiPriority w:val="39"/>
    <w:pPr>
      <w:keepNext/>
      <w:keepLines/>
      <w:spacing w:before="240" w:line="259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212C-8940-444E-A8AE-30E139C679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2872</Words>
  <Characters>3599</Characters>
  <Lines>22</Lines>
  <Paragraphs>6</Paragraphs>
  <TotalTime>5</TotalTime>
  <ScaleCrop>false</ScaleCrop>
  <LinksUpToDate>false</LinksUpToDate>
  <CharactersWithSpaces>3853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2026-08-29T14:22:00Z</dcterms:created>
  <dc:creator>020202项目组</dc:creator>
  <cp:lastModifiedBy>严宇</cp:lastModifiedBy>
  <dcterms:modified xsi:type="dcterms:W3CDTF">2026-09-19T08:47:40Z</dcterms:modified>
  <dc:subject>某自然博物馆智能运营中心建设项目——应急管理子系统 G3-09</dc:subject>
  <dc:title>测试计划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eyJoZGlkIjoiNmU5NDNiMjI4ZjdkNGUwM2I5ZDNkYTMxODFjM2RhNDgiLCJ1c2VySWQiOiIxNjYyODQ3NzY0In0=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8B6D6FC15A6444C78FE7DD473424977A_12</vt:lpwstr>
  </property>
</Properties>
</file>