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 w:rsidRPr="0041599B">
        <w:rPr>
          <w:rFonts w:eastAsia="宋体"/>
          <w:sz w:val="24"/>
        </w:rPr>
        <w:t>ERP-G2-03    V1.0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07B4318E" w14:textId="77777777" w:rsidR="0077579D" w:rsidRPr="0041599B" w:rsidRDefault="001B1BC6">
      <w:pPr>
        <w:spacing w:before="1200" w:after="36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pBdr>
          <w:bottom w:val="single" w:sz="12" w:space="8" w:color="000000"/>
        </w:pBdr>
        <w:spacing w:before="240" w:after="360"/>
        <w:jc w:val="center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before="520" w:after="200"/>
        <w:jc w:val="center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center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编制单位：项目组三人组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批    准：【待人工确认】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2B664DA" w14:textId="77777777" w:rsidR="0077579D" w:rsidRPr="0041599B" w:rsidRDefault="001B1BC6" w:rsidP="0040121D">
      <w:pPr>
        <w:spacing w:before="200" w:after="80"/>
        <w:ind w:leftChars="1134" w:left="2268"/>
        <w:jc w:val="left"/>
      </w:pPr>
      <w:r w:rsidRPr="0041599B">
        <w:rPr>
          <w:rFonts w:eastAsia="仿宋"/>
          <w:sz w:val="32"/>
        </w:rPr>
        <w:t>编制日期：2026 年 9 月 14 日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before="120" w:after="120"/>
        <w:jc w:val="center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r/>
            <w:r>
              <w:rPr>
                <w:b/>
              </w:rPr>
              <w:t>编制/修订人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V0.1</w:t>
            </w:r>
          </w:p>
        </w:tc>
        <w:tc>
          <w:tcPr>
            <w:tcW w:type="dxa" w:w="1487"/>
          </w:tcPr>
          <w:p>
            <w:r/>
            <w:r>
              <w:rPr/>
              <w:t>2026-09-13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V1.0</w:t>
            </w:r>
          </w:p>
        </w:tc>
        <w:tc>
          <w:tcPr>
            <w:tcW w:type="dxa" w:w="1487"/>
          </w:tcPr>
          <w:p>
            <w:r/>
            <w:r>
              <w:rPr/>
              <w:t>2026-09-14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</w:tbl>
    <w:p w14:paraId="46176965" w14:textId="77777777" w:rsidR="0077579D" w:rsidRPr="0041599B" w:rsidRDefault="001B1BC6">
      <w:pPr>
        <w:spacing w:before="160" w:after="120"/>
        <w:jc w:val="left"/>
      </w:pPr>
      <w:r w:rsidRPr="0041599B">
        <w:rPr>
          <w:rFonts w:eastAsia="宋体"/>
          <w:sz w:val="18"/>
        </w:rPr>
        <w:t>注：业务内容以已完成复核的 G2-03 工作稿为准；教学样例仅用于承载结构和版式。</w:t>
      </w:r>
    </w:p>
    <w:p w14:paraId="36BB7DED" w14:textId="77777777" w:rsidR="0041599B" w:rsidRPr="0041599B" w:rsidRDefault="001B1BC6">
      <w:pPr>
        <w:sectPr w:rsidR="0041599B" w:rsidRPr="0041599B" w:rsidSect="0041599B">
          <w:footerReference w:type="default" r:id="rId8"/>
          <w:pgSz w:w="11906" w:h="16838"/>
          <w:pgMar w:top="1440" w:right="1440" w:bottom="1440" w:left="1440" w:header="708" w:footer="708" w:gutter="0"/>
          <w:pgNumType w:start="1"/>
          <w:cols w:space="720"/>
          <w:titlePg/>
          <w:docGrid w:linePitch="360"/>
        </w:sectPr>
      </w:pPr>
      <w:r w:rsidRPr="0041599B">
        <w:br w:type="page"/>
      </w:r>
    </w:p>
    <w:sdt>
      <w:sdtPr>
        <w:rPr>
          <w:rFonts w:ascii="Times New Roman" w:eastAsiaTheme="minorEastAsia" w:hAnsi="Times New Roman" w:cs="Times New Roman"/>
          <w:color w:val="auto"/>
          <w:sz w:val="20"/>
          <w:szCs w:val="20"/>
          <w:lang w:val="zh-CN"/>
        </w:rPr>
        <w:id w:val="-1072894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3F028F" w14:textId="30EE5C8D" w:rsidR="0041599B" w:rsidRPr="0041599B" w:rsidRDefault="0041599B" w:rsidP="0041599B">
          <w:pPr>
            <w:pStyle w:val="TOC"/>
            <w:jc w:val="center"/>
            <w:rPr>
              <w:color w:val="auto"/>
            </w:rPr>
          </w:pPr>
          <w:r w:rsidRPr="0041599B">
            <w:rPr>
              <w:color w:val="auto"/>
              <w:lang w:val="zh-CN"/>
            </w:rPr>
            <w:t>目</w:t>
          </w:r>
          <w:r w:rsidRPr="0041599B">
            <w:rPr>
              <w:rFonts w:hint="eastAsia"/>
              <w:color w:val="auto"/>
              <w:lang w:val="zh-CN"/>
            </w:rPr>
            <w:t xml:space="preserve"> </w:t>
          </w:r>
          <w:r w:rsidRPr="0041599B">
            <w:rPr>
              <w:color w:val="auto"/>
              <w:lang w:val="zh-CN"/>
            </w:rPr>
            <w:t xml:space="preserve"> 录</w:t>
          </w:r>
        </w:p>
        <w:p w14:paraId="4A01F476" w14:textId="1CB315FF" w:rsidR="0041599B" w:rsidRPr="0041599B" w:rsidRDefault="0041599B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41599B">
            <w:fldChar w:fldCharType="begin"/>
          </w:r>
          <w:r w:rsidRPr="0041599B">
            <w:instrText xml:space="preserve"> TOC \o "1-3" \h \z \u </w:instrText>
          </w:r>
          <w:r w:rsidRPr="0041599B">
            <w:fldChar w:fldCharType="separate"/>
          </w:r>
          <w:hyperlink w:anchor="_Toc239598283" w:history="1">
            <w:r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 </w:t>
            </w:r>
            <w:r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引言</w:t>
            </w:r>
            <w:r w:rsidRPr="0041599B">
              <w:rPr>
                <w:noProof/>
                <w:webHidden/>
              </w:rPr>
              <w:tab/>
            </w:r>
            <w:r w:rsidRPr="0041599B">
              <w:rPr>
                <w:noProof/>
                <w:webHidden/>
              </w:rPr>
              <w:fldChar w:fldCharType="begin"/>
            </w:r>
            <w:r w:rsidRPr="0041599B">
              <w:rPr>
                <w:noProof/>
                <w:webHidden/>
              </w:rPr>
              <w:instrText xml:space="preserve"> PAGEREF _Toc239598283 \h </w:instrText>
            </w:r>
            <w:r w:rsidRPr="0041599B">
              <w:rPr>
                <w:noProof/>
                <w:webHidden/>
              </w:rPr>
            </w:r>
            <w:r w:rsidRPr="0041599B">
              <w:rPr>
                <w:noProof/>
                <w:webHidden/>
              </w:rPr>
              <w:fldChar w:fldCharType="separate"/>
            </w:r>
            <w:r w:rsidRPr="0041599B">
              <w:rPr>
                <w:noProof/>
                <w:webHidden/>
              </w:rPr>
              <w:t>3</w:t>
            </w:r>
            <w:r w:rsidRPr="0041599B">
              <w:rPr>
                <w:noProof/>
                <w:webHidden/>
              </w:rPr>
              <w:fldChar w:fldCharType="end"/>
            </w:r>
          </w:hyperlink>
        </w:p>
        <w:p w14:paraId="480C2596" w14:textId="45047D30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编写目的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50AD9B7" w14:textId="278ECDAA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项目背景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C4EFC5F" w14:textId="5E061AB6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定义与缩略语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D34BFDF" w14:textId="44F91BE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参考资料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BB1B56A" w14:textId="6D58F6ED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28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任务概述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B897075" w14:textId="1F1F3E6C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目标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2AC273F" w14:textId="135859EE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用户特点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16A87B6" w14:textId="0ECA9EE5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假定与约束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EE51334" w14:textId="15A504B0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29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需求规定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51E93AC" w14:textId="15F95593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功能需求总表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141482" w14:textId="64D0BB2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 M-01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项目与会话管理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A63B610" w14:textId="410F2997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3.2.1 FR-01.1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项目创建与持久化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E4C60CD" w14:textId="55C9AF00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3.2.2 FR-01.2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项目信息查询与操作历史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32A5BE9" w14:textId="3358470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3.2.3 FR-01.3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撤销与重做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B14BF67" w14:textId="0CB4E394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3.2.4 FR-01.4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会话持久化与恢复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5FFB061" w14:textId="4DD91AB5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 M-02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影像数据接入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D1E4A88" w14:textId="3633617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3.3.1 FR-02.1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栅格元数据核验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E1E46AF" w14:textId="2EB554AC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3.3.2 FR-02.2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在线瓦片下载与影像合成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A8A640B" w14:textId="180C5B13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3.3.3 FR-02.3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坐标参考系重投影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A2CC3E0" w14:textId="1F189969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3.3.4 FR-02.4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大影像分块切片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26345F6" w14:textId="0551B8C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3.3.5 FR-02.5 COG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转换与底图清单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57FC330" w14:textId="40E74812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0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 M-03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模型注册与管理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16FD397" w14:textId="1E19BC8C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3.4.1 FR-03.1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多模型支持与注册表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A1528D0" w14:textId="2B4618DF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3.4.2 FR-03.2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模型详情与默认版本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8CB8F0D" w14:textId="22FC6542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3.4.3 FR-03.3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模型可用性检查与依赖提示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43BB73F" w14:textId="250F603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0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 M-04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分割执行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12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1F1B757" w14:textId="2EC521D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3.5.1 FR-04.1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全自动分割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12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1135B12" w14:textId="51EAAF4A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3.5.2 FR-04.2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点提示分割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E99B2E7" w14:textId="77D8EEB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3.5.3 FR-04.3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框提示分割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971414E" w14:textId="698A132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3.5.4 FR-04.4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文本提示分割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8E30AB4" w14:textId="587CF7FD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1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 M-05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矢量化与图斑处理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91E6C2A" w14:textId="70A8A0B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3.6.1 FR-05.1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掩膜栅格转矢量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F2859C2" w14:textId="0AE54338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3.6.2 FR-05.2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矢量成果信息查询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A081A6E" w14:textId="618AFDD8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3.6.3 FR-05.3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图斑过滤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3EAB538" w14:textId="332BA7E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1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 M-06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成果导出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E36F538" w14:textId="61534C0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3.7.1 FR-06.1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多格式导出（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6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种）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D6A30F2" w14:textId="0A4FDBC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3.7.2 FR-06.2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导出格式清单查询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DE49852" w14:textId="02F70CC3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 M-07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开放接口服务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5B4448D" w14:textId="3E93096B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3.8.1 FR-07.1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服务健康检查与模型端点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FB6A8FE" w14:textId="1CE97A26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3.8.2 FR-07.2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分割接口三类与模型缓存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D7DF4F5" w14:textId="111DB364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3.9 M-08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客户端集成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42B4F4A" w14:textId="7FE88E92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3.9.1 FR-07.3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接口契约与客户端集成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C8DC67C" w14:textId="4442235A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3.10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对性能的规定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17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60485E0" w14:textId="3591151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其他非功能需求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17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6909B8C" w14:textId="7E8970B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精度指标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4AC140A" w14:textId="41B297CF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3.13 MVP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范围与二期候选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88996BA" w14:textId="6B3D4B74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33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运行环境规定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684844" w14:textId="02F4ECB0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设备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8A94BB7" w14:textId="5EF8AF52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支持软件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1CAA4B8" w14:textId="49EFE5D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接口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61DD66D" w14:textId="560C2F8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控制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B7D42F" w14:textId="0B28C426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33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需求追踪与变更管理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453FEF1" w14:textId="4549C7F4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追踪关系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56844A9" w14:textId="5F881EB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变更管理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B51D67B" w14:textId="040FE565" w:rsidR="0041599B" w:rsidRPr="0041599B" w:rsidRDefault="0041599B">
          <w:r w:rsidRPr="0041599B">
            <w:rPr>
              <w:b/>
              <w:bCs/>
              <w:lang w:val="zh-CN"/>
            </w:rPr>
            <w:fldChar w:fldCharType="end"/>
          </w:r>
        </w:p>
      </w:sdtContent>
    </w:sdt>
    <w:p w14:paraId="2EA029DF" w14:textId="77777777" w:rsidR="0041599B" w:rsidRPr="0041599B" w:rsidRDefault="0041599B">
      <w:pPr>
        <w:sectPr w:rsidR="0041599B" w:rsidRPr="0041599B" w:rsidSect="0041599B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0B331240" w14:textId="62AD54EE" w:rsidR="0077579D" w:rsidRPr="0041599B" w:rsidRDefault="0077579D"/>
    <w:p>
      <w:pPr>
        <w:pStyle w:val="1"/>
      </w:pPr>
      <w:r>
        <w:t>1 引言</w:t>
      </w:r>
    </w:p>
    <w:p>
      <w:pPr>
        <w:pStyle w:val="2"/>
      </w:pPr>
      <w:r>
        <w:t>1.1 目的</w:t>
      </w:r>
    </w:p>
    <w:p>
      <w:pPr/>
      <w:r>
        <w:t xml:space="preserve">本说明书将第二关已确认的 29 条 MVP 功能需求整理为给人阅读、可评审、可验证的需求规格，为 </w:t>
      </w:r>
      <w:r>
        <w:t>spec.md</w:t>
      </w:r>
      <w:r>
        <w:t>、反向澄清、RTM、设计和测试提供统一输入。本文中的“验证”表示应形成可复核证据，不表示接口、环境或能力已经验收通过。</w:t>
      </w:r>
    </w:p>
    <w:p>
      <w:pPr>
        <w:pStyle w:val="2"/>
      </w:pPr>
      <w:r>
        <w:t>1.2 项目范围</w:t>
      </w:r>
    </w:p>
    <w:p>
      <w:pPr/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</w:pPr>
      <w:r>
        <w:t>1.3 依据与优先级</w:t>
      </w:r>
    </w:p>
    <w:p>
      <w:pPr/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</w:pPr>
      <w: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</w:pPr>
      <w:r>
        <w:t>1.5 故事映射关闭状态</w:t>
      </w:r>
    </w:p>
    <w:p>
      <w:pPr/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</w:pPr>
      <w: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1-1  需求双镜像与追踪关系</w:t>
      </w:r>
    </w:p>
    <w:p>
      <w:pPr>
        <w:pStyle w:val="2"/>
      </w:pPr>
      <w:r>
        <w:t>2.1 用户与使用场景</w:t>
      </w:r>
    </w:p>
    <w:p>
      <w:pPr/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</w:pPr>
      <w:r>
        <w:t>2.2 产品边界</w:t>
      </w:r>
    </w:p>
    <w:p>
      <w:pPr/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</w:pPr>
      <w:r>
        <w:t>2.3 运行与依赖环境</w:t>
      </w:r>
    </w:p>
    <w:p>
      <w:pPr/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</w:pPr>
      <w: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</w:pPr>
      <w:r>
        <w:t>3 功能需求</w:t>
      </w:r>
    </w:p>
    <w:p>
      <w:pPr/>
      <w:r>
        <w:t>下表中的验收标准均为当前 v0.1 候选，供 G2-04 建立机器可读双镜像，并在 G2-05 澄清后受控修订。</w:t>
      </w:r>
    </w:p>
    <w:p>
      <w:pPr>
        <w:pStyle w:val="2"/>
      </w:pPr>
      <w:r>
        <w:t>3.1 MVP-1 数字预案与事件处置闭环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</w:pPr>
      <w:r>
        <w:t>3.2 MVP-2 指挥态势 视频与定位联动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</w:pPr>
      <w:r>
        <w:t>3.3 MVP-3 演练 移动执行与值班物资闭环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</w:pPr>
      <w:r>
        <w:t>3.4 MVP-4 外部联动与中台业务适配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</w:pPr>
      <w:r>
        <w:t>3.5 非 MVP、仍属本期范围的功能需求</w:t>
      </w:r>
    </w:p>
    <w:p>
      <w:pPr/>
      <w:r>
        <w:t>下列 10 条不是本阶段 MVP Must，但仍属本期实施、测试与验收范围；其稳定编号为 G2-FR-030—039，优先级不因此改变。AC 均可在 spec.md 中找到等价 Given/When/Then。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1"/>
      </w:pPr>
      <w:r>
        <w:t>4 外部接口需求</w:t>
      </w:r>
    </w:p>
    <w:tbl>
      <w:tblPr>
        <w:tblW w:w="505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25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3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1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/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</w:pPr>
      <w:r>
        <w:t>5 数据需求</w:t>
      </w:r>
    </w:p>
    <w:p>
      <w:pPr>
        <w:pStyle w:val="2"/>
      </w:pPr>
      <w:r>
        <w:t>5.1 核心数据对象</w:t>
      </w:r>
    </w:p>
    <w:p>
      <w:pPr/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pStyle w:val="2"/>
      </w:pPr>
      <w:r>
        <w:t>5.2 数据质量与来源</w:t>
      </w:r>
    </w:p>
    <w:p>
      <w:pPr/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</w:pPr>
      <w:r>
        <w:t>5.3 数据安全与审计</w:t>
      </w:r>
    </w:p>
    <w:p>
      <w:pPr/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</w:pPr>
      <w:r>
        <w:t>6 非功能需求</w:t>
      </w:r>
    </w:p>
    <w:p>
      <w:pPr>
        <w:pStyle w:val="2"/>
      </w:pPr>
      <w:r>
        <w:t>6.1 性能与容量</w:t>
      </w:r>
    </w:p>
    <w:tbl>
      <w:tblPr>
        <w:tblW w:w="507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000"/>
        <w:gridCol w:w="35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编号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要求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验证方式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NFR-PERF-01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预案启动通知和任务下发≤3秒；告警接入≤2秒；任务下达≤3分钟。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端到端时间戳与目标环境实测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NFR-PERF-02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统一消息并行≥20路，正常甲方通道到达率≥99%。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正常通道批量发送、回执和失败统计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NFR-PERF-03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定位刷新≤2秒/次且不降低亚米级源精度；视频首帧≤3秒；综合安防刷新≤30秒。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源/接收/展示时间戳及精度、首帧、刷新实测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NFR-PERF-04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95%页面请求≤3秒，地图加载≤2秒，扫码打卡≤1秒，报表生成≤5秒。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目标数据规模下统计分位值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NFR-CAP-01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支持峰值不少于100人；不少于30个物资站点和1000项物资台账。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并发压测与数据规模用例</w:t>
            </w:r>
          </w:p>
        </w:tc>
      </w:tr>
    </w:tbl>
    <w:p>
      <w:pPr>
        <w:pStyle w:val="2"/>
      </w:pPr>
      <w:r>
        <w:t>6.2 可用性 可靠性与恢复</w:t>
      </w:r>
    </w:p>
    <w:p>
      <w:pPr/>
      <w:r>
        <w:t>系统应支持 7×24 运行，目标可用率不低于 99.5%；关键状态应先持久化，重启后可恢复未完成任务。外部依赖异常应独立超时、熔断、告警和降级，不得静默阻断核心事件流程。备份、恢复时间和数据一致性按冻结要求通过演练验证。</w:t>
      </w:r>
    </w:p>
    <w:p>
      <w:pPr>
        <w:pStyle w:val="2"/>
      </w:pPr>
      <w:r>
        <w:t>6.3 安全</w:t>
      </w:r>
    </w:p>
    <w:p>
      <w:pPr/>
      <w:r>
        <w:t>系统应实施认证、授权、最小权限、数据范围、输入校验、传输与敏感存储保护、安全审计、依赖治理和漏洞处置。交付前高危漏洞必须为 0；应用侧 SCA、漏洞扫描和 Web 渗透复测形成证据。正式定级备案、基础环境合规和正式第三方等保测评由甲方组织。</w:t>
      </w:r>
    </w:p>
    <w:p>
      <w:pPr>
        <w:pStyle w:val="2"/>
      </w:pPr>
      <w:r>
        <w:t>6.4 兼容与易用</w:t>
      </w:r>
    </w:p>
    <w:p>
      <w:pPr/>
      <w:r>
        <w:t>Web、H5、宿主 APP、浏览器和终端兼容组合应在 M2 由甲方确认后冻结。关键操作应提供明确状态、失败原因和下一步；状态不得只靠颜色表达；主要业务流程不超过既定页面和响应约束。H5 不得被表述为独立原生 APP。</w:t>
      </w:r>
    </w:p>
    <w:p>
      <w:pPr>
        <w:pStyle w:val="2"/>
      </w:pPr>
      <w:r>
        <w:t>6.5 可维护性与可测试性</w:t>
      </w:r>
    </w:p>
    <w:p>
      <w:pPr/>
      <w:r>
        <w:t>接口、错误码、配置、部署、恢复和运维操作应形成文档；核心模块单元测试覆盖率不低于 70%。每条功能需求均应有可重复执行的用例，全部 39 条 FR 的功能覆盖率与通过率均为 100%。</w:t>
      </w:r>
    </w:p>
    <w:p>
      <w:pPr>
        <w:pStyle w:val="1"/>
      </w:pPr>
      <w: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</w:pPr>
      <w:r>
        <w:t>8 验收与追踪</w:t>
      </w:r>
    </w:p>
    <w:p>
      <w:pPr>
        <w:pStyle w:val="2"/>
      </w:pPr>
      <w:r>
        <w:t>8.1 验收总则</w:t>
      </w:r>
    </w:p>
    <w:p>
      <w:pPr/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</w:pPr>
      <w:r>
        <w:t>8.2 双镜像与 RTM</w:t>
      </w:r>
    </w:p>
    <w:p>
      <w:pPr/>
      <w:r>
        <w:t xml:space="preserve">G2-04 应在 </w:t>
      </w:r>
      <w:r>
        <w:t>spec.md</w:t>
      </w:r>
      <w:r>
        <w:t xml:space="preserve"> 中使用本文件相同的 </w:t>
      </w:r>
      <w:r>
        <w:t>G2-FR</w:t>
      </w:r>
      <w:r>
        <w:t xml:space="preserve"> 和 </w:t>
      </w:r>
      <w:r>
        <w:t>AC</w:t>
      </w:r>
      <w:r>
        <w:t xml:space="preserve"> 编号，并把每条验收标准表达为等价 Given/When/Then。G2-06 RTM 至少追踪原始 FR、G2-FR、用户故事、AC，并预留设计、实现、测试和结果列。任何编号、范围或验收语义差异均阻断 M2 准出。</w:t>
      </w:r>
    </w:p>
    <w:p>
      <w:pPr>
        <w:pStyle w:val="2"/>
      </w:pPr>
      <w: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 xml:space="preserve">29 条 G2-FR 均有至少一个 </w:t>
      </w:r>
      <w:r>
        <w:t>AC-G2-FR-nnn-xx</w:t>
      </w:r>
      <w:r>
        <w:t xml:space="preserve">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</w:pPr>
      <w:r>
        <w:t>9 变更控制与待澄清事项</w:t>
      </w:r>
    </w:p>
    <w:p>
      <w:pPr/>
      <w:r>
        <w:t>功能、★属性、数字、责任、期次或验收强度发生变化时，必须先登记 Issue、分析影响并取得授权确认，再同步更新 SRS、</w:t>
      </w:r>
      <w:r>
        <w:t>spec.md</w:t>
      </w:r>
      <w:r>
        <w:t xml:space="preserve">、RTM 和版本记录。G2-05 将基于本 SRS 与 </w:t>
      </w:r>
      <w:r>
        <w:t>spec.md</w:t>
      </w:r>
      <w:r>
        <w:t xml:space="preserve"> 提出不少于 10 条反向澄清；未获人工裁决的内容不得静默写入需求。</w:t>
      </w:r>
    </w:p>
    <w:p>
      <w:pPr/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sectPr w:rsidR="0077579D" w:rsidRPr="0041599B" w:rsidSect="0041599B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4</cp:revision>
  <dcterms:created xsi:type="dcterms:W3CDTF">2026-08-29T14:22:00Z</dcterms:created>
  <dcterms:modified xsi:type="dcterms:W3CDTF">2026-09-06T14:25:00Z</dcterms:modified>
</cp:coreProperties>
</file>