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28FA7">
      <w:pPr>
        <w:spacing w:after="80"/>
        <w:jc w:val="righ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文档编号：YJGL-G3-12-QMP　　版本号：V0.1</w:t>
      </w:r>
    </w:p>
    <w:p w14:paraId="380DEF9B">
      <w:pPr>
        <w:spacing w:before="1200" w:after="360"/>
        <w:jc w:val="right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密　　级：内部 · 教学用</w:t>
      </w:r>
    </w:p>
    <w:p w14:paraId="09ADE38E">
      <w:pPr>
        <w:spacing w:before="2000" w:after="480"/>
        <w:jc w:val="center"/>
      </w:pPr>
    </w:p>
    <w:p w14:paraId="6EFF74AE">
      <w:pPr>
        <w:pBdr>
          <w:bottom w:val="single" w:color="000000" w:sz="12" w:space="8"/>
        </w:pBdr>
        <w:spacing w:before="240" w:after="36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某自然博物馆智能运营中心建设项目——应急管理子系统</w:t>
      </w:r>
    </w:p>
    <w:p w14:paraId="592C3CF5">
      <w:pPr>
        <w:spacing w:before="520" w:after="200"/>
        <w:jc w:val="center"/>
        <w:rPr>
          <w:rFonts w:hint="eastAsia" w:ascii="黑体" w:hAnsi="黑体" w:eastAsia="黑体" w:cs="黑体"/>
          <w:sz w:val="56"/>
          <w:szCs w:val="56"/>
        </w:rPr>
      </w:pPr>
      <w:r>
        <w:rPr>
          <w:rFonts w:hint="eastAsia" w:ascii="黑体" w:hAnsi="黑体" w:eastAsia="黑体" w:cs="黑体"/>
          <w:sz w:val="56"/>
          <w:szCs w:val="56"/>
        </w:rPr>
        <w:t>质量管理计划</w:t>
      </w:r>
    </w:p>
    <w:p w14:paraId="112B65B0">
      <w:pPr>
        <w:spacing w:after="80"/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（G3-12 评审候选）</w:t>
      </w:r>
    </w:p>
    <w:p w14:paraId="48E8CCE1">
      <w:pPr>
        <w:spacing w:before="1600" w:after="80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2608B991">
      <w:pPr>
        <w:spacing w:after="200"/>
        <w:ind w:left="2268" w:leftChars="1134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编制单位：020202项目组</w:t>
      </w:r>
    </w:p>
    <w:p w14:paraId="37C3C3BF">
      <w:pPr>
        <w:spacing w:after="200"/>
        <w:ind w:left="2268" w:leftChars="1134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编　　制：任俊强（需求与质量负责人）</w:t>
      </w:r>
    </w:p>
    <w:p w14:paraId="6C394895">
      <w:pPr>
        <w:spacing w:after="200"/>
        <w:ind w:left="2268" w:leftChars="1134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审　　核：严宇（技术负责人）</w:t>
      </w:r>
    </w:p>
    <w:p w14:paraId="6CA25FEE">
      <w:pPr>
        <w:spacing w:after="200"/>
        <w:ind w:left="2268" w:leftChars="1134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批　　准：【待人工确认】</w:t>
      </w:r>
    </w:p>
    <w:p w14:paraId="2C472B91">
      <w:pPr>
        <w:spacing w:before="200" w:after="80"/>
        <w:ind w:left="2268" w:leftChars="1134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编制日期：2026 年 9 月 20 日</w:t>
      </w:r>
    </w:p>
    <w:p w14:paraId="415F2820">
      <w:r>
        <w:br w:type="page"/>
      </w:r>
    </w:p>
    <w:p w14:paraId="7A933447">
      <w:pPr>
        <w:spacing w:before="120" w:after="120"/>
        <w:jc w:val="center"/>
      </w:pPr>
      <w:r>
        <w:rPr>
          <w:rFonts w:ascii="Times New Roman" w:hAnsi="Times New Roman" w:eastAsia="宋体"/>
        </w:rPr>
        <w:t>修订记录</w:t>
      </w:r>
    </w:p>
    <w:tbl>
      <w:tblPr>
        <w:tblStyle w:val="15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"/>
        <w:gridCol w:w="1360"/>
        <w:gridCol w:w="3265"/>
        <w:gridCol w:w="1360"/>
        <w:gridCol w:w="1995"/>
      </w:tblGrid>
      <w:tr w14:paraId="76439E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88" w:type="dxa"/>
            <w:shd w:val="clear" w:color="auto" w:fill="D9E2EC"/>
            <w:vAlign w:val="center"/>
          </w:tcPr>
          <w:p w14:paraId="3D2B47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版本</w:t>
            </w:r>
          </w:p>
        </w:tc>
        <w:tc>
          <w:tcPr>
            <w:tcW w:w="1360" w:type="dxa"/>
            <w:shd w:val="clear" w:color="auto" w:fill="D9E2EC"/>
            <w:vAlign w:val="center"/>
          </w:tcPr>
          <w:p w14:paraId="71DA8F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日期</w:t>
            </w:r>
          </w:p>
        </w:tc>
        <w:tc>
          <w:tcPr>
            <w:tcW w:w="3265" w:type="dxa"/>
            <w:shd w:val="clear" w:color="auto" w:fill="D9E2EC"/>
            <w:vAlign w:val="center"/>
          </w:tcPr>
          <w:p w14:paraId="18B11C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修订章节</w:t>
            </w:r>
          </w:p>
        </w:tc>
        <w:tc>
          <w:tcPr>
            <w:tcW w:w="1360" w:type="dxa"/>
            <w:shd w:val="clear" w:color="auto" w:fill="D9E2EC"/>
            <w:vAlign w:val="center"/>
          </w:tcPr>
          <w:p w14:paraId="11AFEE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修订说明</w:t>
            </w:r>
          </w:p>
        </w:tc>
        <w:tc>
          <w:tcPr>
            <w:tcW w:w="1995" w:type="dxa"/>
            <w:shd w:val="clear" w:color="auto" w:fill="D9E2EC"/>
            <w:vAlign w:val="center"/>
          </w:tcPr>
          <w:p w14:paraId="0DCDF4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编制/修订人</w:t>
            </w:r>
          </w:p>
        </w:tc>
      </w:tr>
      <w:tr w14:paraId="7899CD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88" w:type="dxa"/>
            <w:vAlign w:val="center"/>
          </w:tcPr>
          <w:p w14:paraId="1289C1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V0.1</w:t>
            </w:r>
          </w:p>
        </w:tc>
        <w:tc>
          <w:tcPr>
            <w:tcW w:w="1360" w:type="dxa"/>
            <w:vAlign w:val="center"/>
          </w:tcPr>
          <w:p w14:paraId="309C28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2026-09-20</w:t>
            </w:r>
          </w:p>
        </w:tc>
        <w:tc>
          <w:tcPr>
            <w:tcW w:w="3265" w:type="dxa"/>
            <w:vAlign w:val="center"/>
          </w:tcPr>
          <w:p w14:paraId="1DF46A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全文</w:t>
            </w:r>
          </w:p>
        </w:tc>
        <w:tc>
          <w:tcPr>
            <w:tcW w:w="1360" w:type="dxa"/>
            <w:vAlign w:val="center"/>
          </w:tcPr>
          <w:p w14:paraId="1EFEA0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建立 G3-12 质量管理计划评审候选，规定评审、缺陷、度量、门禁及 PE-01—PE-12 证据口径。</w:t>
            </w:r>
          </w:p>
        </w:tc>
        <w:tc>
          <w:tcPr>
            <w:tcW w:w="1995" w:type="dxa"/>
            <w:vAlign w:val="center"/>
          </w:tcPr>
          <w:p w14:paraId="5992BF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任俊强</w:t>
            </w:r>
          </w:p>
        </w:tc>
      </w:tr>
    </w:tbl>
    <w:p w14:paraId="71533900">
      <w:pPr>
        <w:spacing w:before="160" w:after="120"/>
        <w:jc w:val="left"/>
      </w:pPr>
      <w:r>
        <w:rPr>
          <w:rFonts w:ascii="Times New Roman" w:hAnsi="Times New Roman" w:eastAsia="宋体"/>
        </w:rPr>
        <w:t>注：本表只记录可核验的版本事件；B 独立复核通过前，本文件保持评审候选。</w:t>
      </w:r>
    </w:p>
    <w:p w14:paraId="20BEB3EE">
      <w:r>
        <w:br w:type="page"/>
      </w:r>
    </w:p>
    <w:p w14:paraId="076621EC">
      <w:p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7A30E694">
      <w:pPr>
        <w:pageBreakBefore/>
      </w:pPr>
    </w:p>
    <w:p w14:paraId="410AA903">
      <w:pPr>
        <w:spacing w:after="240"/>
        <w:jc w:val="center"/>
      </w:pPr>
      <w:r>
        <w:rPr>
          <w:rFonts w:eastAsia="黑体"/>
          <w:b/>
          <w:bCs/>
          <w:sz w:val="32"/>
          <w:szCs w:val="32"/>
        </w:rPr>
        <w:t>目　　录</w:t>
      </w:r>
    </w:p>
    <w:p w14:paraId="24DCEEE1">
      <w:pPr>
        <w:pStyle w:val="11"/>
        <w:tabs>
          <w:tab w:val="right" w:leader="dot" w:pos="8500"/>
        </w:tabs>
      </w:pPr>
      <w:r>
        <w:t>1 引言</w:t>
      </w:r>
      <w:r>
        <w:tab/>
      </w:r>
      <w:r>
        <w:t>1</w:t>
      </w:r>
    </w:p>
    <w:p w14:paraId="1BB5FBC4">
      <w:pPr>
        <w:pStyle w:val="13"/>
        <w:tabs>
          <w:tab w:val="right" w:leader="dot" w:pos="8500"/>
        </w:tabs>
      </w:pPr>
      <w:r>
        <w:t>1.1 编写目的</w:t>
      </w:r>
      <w:r>
        <w:tab/>
      </w:r>
      <w:r>
        <w:t>1</w:t>
      </w:r>
    </w:p>
    <w:p w14:paraId="354DD7C2">
      <w:pPr>
        <w:pStyle w:val="13"/>
        <w:tabs>
          <w:tab w:val="right" w:leader="dot" w:pos="8500"/>
        </w:tabs>
      </w:pPr>
      <w:r>
        <w:t>1.2 适用范围</w:t>
      </w:r>
      <w:r>
        <w:tab/>
      </w:r>
      <w:r>
        <w:t>1</w:t>
      </w:r>
    </w:p>
    <w:p w14:paraId="416E9FE7">
      <w:pPr>
        <w:pStyle w:val="13"/>
        <w:tabs>
          <w:tab w:val="right" w:leader="dot" w:pos="8500"/>
        </w:tabs>
      </w:pPr>
      <w:r>
        <w:t>1.3 依据与优先级</w:t>
      </w:r>
      <w:r>
        <w:tab/>
      </w:r>
      <w:r>
        <w:t>1</w:t>
      </w:r>
    </w:p>
    <w:p w14:paraId="1DA2BC48">
      <w:pPr>
        <w:pStyle w:val="11"/>
        <w:tabs>
          <w:tab w:val="right" w:leader="dot" w:pos="8500"/>
        </w:tabs>
      </w:pPr>
      <w:r>
        <w:t>2 质量目标与受控对象</w:t>
      </w:r>
      <w:r>
        <w:tab/>
      </w:r>
      <w:r>
        <w:t>1</w:t>
      </w:r>
    </w:p>
    <w:p w14:paraId="2DB09F7D">
      <w:pPr>
        <w:pStyle w:val="11"/>
        <w:tabs>
          <w:tab w:val="right" w:leader="dot" w:pos="8500"/>
        </w:tabs>
      </w:pPr>
      <w:r>
        <w:t>3 质量组织与职责</w:t>
      </w:r>
      <w:r>
        <w:tab/>
      </w:r>
      <w:r>
        <w:t>2</w:t>
      </w:r>
    </w:p>
    <w:p w14:paraId="43D20CCA">
      <w:pPr>
        <w:pStyle w:val="11"/>
        <w:tabs>
          <w:tab w:val="right" w:leader="dot" w:pos="8500"/>
        </w:tabs>
      </w:pPr>
      <w:r>
        <w:t>4 质量保证活动（QA）</w:t>
      </w:r>
      <w:r>
        <w:tab/>
      </w:r>
      <w:r>
        <w:t>2</w:t>
      </w:r>
    </w:p>
    <w:p w14:paraId="4CC12788">
      <w:pPr>
        <w:pStyle w:val="11"/>
        <w:tabs>
          <w:tab w:val="right" w:leader="dot" w:pos="8500"/>
        </w:tabs>
      </w:pPr>
      <w:r>
        <w:t>5 质量控制与缺陷管理（QC）</w:t>
      </w:r>
      <w:r>
        <w:tab/>
      </w:r>
      <w:r>
        <w:t>2</w:t>
      </w:r>
    </w:p>
    <w:p w14:paraId="50B7CBC9">
      <w:pPr>
        <w:pStyle w:val="13"/>
        <w:tabs>
          <w:tab w:val="right" w:leader="dot" w:pos="8500"/>
        </w:tabs>
      </w:pPr>
      <w:r>
        <w:t>5.1 检查与测试控制</w:t>
      </w:r>
      <w:r>
        <w:tab/>
      </w:r>
      <w:r>
        <w:t>2</w:t>
      </w:r>
    </w:p>
    <w:p w14:paraId="7CC2A8A5">
      <w:pPr>
        <w:pStyle w:val="13"/>
        <w:tabs>
          <w:tab w:val="right" w:leader="dot" w:pos="8500"/>
        </w:tabs>
      </w:pPr>
      <w:r>
        <w:t>5.2 缺陷分级</w:t>
      </w:r>
      <w:r>
        <w:tab/>
      </w:r>
      <w:r>
        <w:t>2</w:t>
      </w:r>
    </w:p>
    <w:p w14:paraId="2823DAE0">
      <w:pPr>
        <w:pStyle w:val="13"/>
        <w:tabs>
          <w:tab w:val="right" w:leader="dot" w:pos="8500"/>
        </w:tabs>
      </w:pPr>
      <w:r>
        <w:t>5.3 缺陷生命周期</w:t>
      </w:r>
      <w:r>
        <w:tab/>
      </w:r>
      <w:r>
        <w:t>2</w:t>
      </w:r>
    </w:p>
    <w:p w14:paraId="5B1EA678">
      <w:pPr>
        <w:pStyle w:val="11"/>
        <w:tabs>
          <w:tab w:val="right" w:leader="dot" w:pos="8500"/>
        </w:tabs>
      </w:pPr>
      <w:r>
        <w:t>6 评审与质量门禁</w:t>
      </w:r>
      <w:r>
        <w:tab/>
      </w:r>
      <w:r>
        <w:t>3</w:t>
      </w:r>
    </w:p>
    <w:p w14:paraId="094D2804">
      <w:pPr>
        <w:pStyle w:val="11"/>
        <w:tabs>
          <w:tab w:val="right" w:leader="dot" w:pos="8500"/>
        </w:tabs>
      </w:pPr>
      <w:r>
        <w:t>7 质量度量与报告</w:t>
      </w:r>
      <w:r>
        <w:tab/>
      </w:r>
      <w:r>
        <w:t>3</w:t>
      </w:r>
    </w:p>
    <w:p w14:paraId="72C46050">
      <w:pPr>
        <w:pStyle w:val="11"/>
        <w:tabs>
          <w:tab w:val="right" w:leader="dot" w:pos="8500"/>
        </w:tabs>
      </w:pPr>
      <w:r>
        <w:t>8 PE-01—PE-12 质量证据控制</w:t>
      </w:r>
      <w:r>
        <w:tab/>
      </w:r>
      <w:r>
        <w:t>3</w:t>
      </w:r>
    </w:p>
    <w:p w14:paraId="7D46C286">
      <w:pPr>
        <w:pStyle w:val="11"/>
        <w:tabs>
          <w:tab w:val="right" w:leader="dot" w:pos="8500"/>
        </w:tabs>
      </w:pPr>
      <w:r>
        <w:t>9 文档、AI 与证据质量</w:t>
      </w:r>
      <w:r>
        <w:tab/>
      </w:r>
      <w:r>
        <w:t>4</w:t>
      </w:r>
    </w:p>
    <w:p w14:paraId="0880B6DC">
      <w:pPr>
        <w:pStyle w:val="13"/>
        <w:tabs>
          <w:tab w:val="right" w:leader="dot" w:pos="8500"/>
        </w:tabs>
      </w:pPr>
      <w:r>
        <w:t>9.1 正式文档质量</w:t>
      </w:r>
      <w:r>
        <w:tab/>
      </w:r>
      <w:r>
        <w:t>4</w:t>
      </w:r>
    </w:p>
    <w:p w14:paraId="4C15C298">
      <w:pPr>
        <w:pStyle w:val="13"/>
        <w:tabs>
          <w:tab w:val="right" w:leader="dot" w:pos="8500"/>
        </w:tabs>
      </w:pPr>
      <w:r>
        <w:t>9.2 AI 辅助质量</w:t>
      </w:r>
      <w:r>
        <w:tab/>
      </w:r>
      <w:r>
        <w:t>4</w:t>
      </w:r>
    </w:p>
    <w:p w14:paraId="30D94C70">
      <w:pPr>
        <w:pStyle w:val="13"/>
        <w:tabs>
          <w:tab w:val="right" w:leader="dot" w:pos="8500"/>
        </w:tabs>
      </w:pPr>
      <w:r>
        <w:t>9.3 证据最小字段</w:t>
      </w:r>
      <w:r>
        <w:tab/>
      </w:r>
      <w:r>
        <w:t>4</w:t>
      </w:r>
    </w:p>
    <w:p w14:paraId="0E3CA881">
      <w:pPr>
        <w:pStyle w:val="11"/>
        <w:tabs>
          <w:tab w:val="right" w:leader="dot" w:pos="8500"/>
        </w:tabs>
      </w:pPr>
      <w:r>
        <w:t>10 不符合、纠正与持续改进</w:t>
      </w:r>
      <w:r>
        <w:tab/>
      </w:r>
      <w:r>
        <w:t>4</w:t>
      </w:r>
    </w:p>
    <w:p w14:paraId="794D7643">
      <w:pPr>
        <w:pStyle w:val="11"/>
        <w:tabs>
          <w:tab w:val="right" w:leader="dot" w:pos="8500"/>
        </w:tabs>
      </w:pPr>
      <w:r>
        <w:t>11 开放事项与本计划准出</w:t>
      </w:r>
      <w:r>
        <w:tab/>
      </w:r>
      <w:r>
        <w:t>4</w:t>
      </w:r>
    </w:p>
    <w:p w14:paraId="097BE3F3">
      <w:pPr>
        <w:pStyle w:val="2"/>
        <w:pageBreakBefore/>
        <w:spacing w:before="240" w:after="160"/>
        <w:rPr>
          <w:rFonts w:eastAsia="黑体"/>
          <w:b/>
          <w:bCs/>
          <w:color w:val="auto"/>
        </w:rPr>
        <w:sectPr>
          <w:pgSz w:w="11906" w:h="16838"/>
          <w:pgMar w:top="1440" w:right="1440" w:bottom="1440" w:left="1440" w:header="708" w:footer="708" w:gutter="0"/>
          <w:pgNumType w:fmt="upperRoman" w:start="1"/>
          <w:cols w:space="720" w:num="1"/>
          <w:titlePg/>
          <w:docGrid w:linePitch="360" w:charSpace="0"/>
        </w:sectPr>
      </w:pPr>
    </w:p>
    <w:p w14:paraId="3BA9AEE0">
      <w:pPr>
        <w:pStyle w:val="2"/>
        <w:keepNext/>
      </w:pPr>
      <w:r>
        <w:rPr>
          <w:rFonts w:ascii="Times New Roman" w:hAnsi="Times New Roman" w:eastAsia="黑体"/>
          <w:b/>
        </w:rPr>
        <w:t>1 引言</w:t>
      </w:r>
    </w:p>
    <w:p w14:paraId="0138A8BB">
      <w:pPr>
        <w:pStyle w:val="3"/>
        <w:keepNext/>
      </w:pPr>
      <w:r>
        <w:rPr>
          <w:rFonts w:ascii="Times New Roman" w:hAnsi="Times New Roman" w:eastAsia="黑体"/>
          <w:b/>
        </w:rPr>
        <w:t>1.1 编写目的</w:t>
      </w:r>
    </w:p>
    <w:p w14:paraId="422989E4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本计划规定第三关及后续实现、测试、部署和验收活动的质量目标、职责、评审、缺陷、度量、门禁和证据规则，使 39 条 FR、34 条★、117 条 AC、PE-01—PE-12 以及外部责任边界始终可追踪、可验证、可复核。本文是质量管理规则，不把设计评审、Mock、静态检查或计划完成写成实现、真实联调、目标环境性能或甲方验收通过。</w:t>
      </w:r>
    </w:p>
    <w:p w14:paraId="7B47BE54">
      <w:pPr>
        <w:pStyle w:val="3"/>
        <w:keepNext/>
      </w:pPr>
      <w:r>
        <w:rPr>
          <w:rFonts w:ascii="Times New Roman" w:hAnsi="Times New Roman" w:eastAsia="黑体"/>
          <w:b/>
        </w:rPr>
        <w:t>1.2 适用范围</w:t>
      </w:r>
    </w:p>
    <w:p w14:paraId="6570FF9F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适用于需求与变更、设计、代码与配置、数据库迁移、OpenAPI、测试、正式文档、部署制品、外部接口联调、缺陷闭环和里程碑准出。甲方既有视频、消息、定位、门禁、消防、物联网、中台、地图和服务器本体不因本计划转为乙方建设责任；本项目只对已约定的软件适配、异常处理、联调、验证与证据负责。</w:t>
      </w:r>
    </w:p>
    <w:p w14:paraId="1505D9E3">
      <w:pPr>
        <w:pStyle w:val="3"/>
        <w:keepNext/>
      </w:pPr>
      <w:r>
        <w:rPr>
          <w:rFonts w:ascii="Times New Roman" w:hAnsi="Times New Roman" w:eastAsia="黑体"/>
          <w:b/>
        </w:rPr>
        <w:t>1.3 依据与优先级</w:t>
      </w:r>
    </w:p>
    <w:p w14:paraId="10CA6A41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质量判断按 P0 当前授权、P1 真实需求、冻结 Baseline、受控事实/数字/Issue、已通过设计与测试计划的顺序取证。教学样例只提供版式结构，不提供项目事实。出现需求、数字、责任、验收或★属性冲突时，必须登记 Issue/Change，不能由质量检查人员静默选择口径。</w:t>
      </w:r>
    </w:p>
    <w:p w14:paraId="539BA2F6">
      <w:pPr>
        <w:pStyle w:val="2"/>
        <w:keepNext/>
      </w:pPr>
      <w:r>
        <w:rPr>
          <w:rFonts w:ascii="Times New Roman" w:hAnsi="Times New Roman" w:eastAsia="黑体"/>
          <w:b/>
        </w:rPr>
        <w:t>2 质量目标与受控对象</w:t>
      </w:r>
    </w:p>
    <w:p w14:paraId="045432B0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2-1 质量目标与判定口径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350ECBFE">
        <w:trPr>
          <w:tblHeader/>
        </w:trPr>
        <w:tc>
          <w:tcPr>
            <w:tcW w:w="1327" w:type="dxa"/>
            <w:vAlign w:val="center"/>
          </w:tcPr>
          <w:p w14:paraId="1418EE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质量对象</w:t>
            </w:r>
          </w:p>
        </w:tc>
        <w:tc>
          <w:tcPr>
            <w:tcW w:w="2433" w:type="dxa"/>
            <w:vAlign w:val="center"/>
          </w:tcPr>
          <w:p w14:paraId="351136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目标或门禁</w:t>
            </w:r>
          </w:p>
        </w:tc>
        <w:tc>
          <w:tcPr>
            <w:tcW w:w="2765" w:type="dxa"/>
            <w:vAlign w:val="center"/>
          </w:tcPr>
          <w:p w14:paraId="0E83481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判定证据</w:t>
            </w:r>
          </w:p>
        </w:tc>
        <w:tc>
          <w:tcPr>
            <w:tcW w:w="2544" w:type="dxa"/>
            <w:vAlign w:val="center"/>
          </w:tcPr>
          <w:p w14:paraId="47A88A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当前状态</w:t>
            </w:r>
          </w:p>
        </w:tc>
      </w:tr>
      <w:tr w14:paraId="42293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963E7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功能范围</w:t>
            </w:r>
          </w:p>
        </w:tc>
        <w:tc>
          <w:tcPr>
            <w:tcW w:w="2433" w:type="dxa"/>
            <w:vAlign w:val="center"/>
          </w:tcPr>
          <w:p w14:paraId="28B991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39 FR、117 AC 全量可追踪；功能验收用例通过率 100%</w:t>
            </w:r>
          </w:p>
        </w:tc>
        <w:tc>
          <w:tcPr>
            <w:tcW w:w="2765" w:type="dxa"/>
            <w:vAlign w:val="center"/>
          </w:tcPr>
          <w:p w14:paraId="436EBB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RTM、测试结果、缺陷与签认</w:t>
            </w:r>
          </w:p>
        </w:tc>
        <w:tc>
          <w:tcPr>
            <w:tcW w:w="2544" w:type="dxa"/>
            <w:vAlign w:val="center"/>
          </w:tcPr>
          <w:p w14:paraId="69B166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设计与测试编号齐备，待实现/执行</w:t>
            </w:r>
          </w:p>
        </w:tc>
      </w:tr>
      <w:tr w14:paraId="59FD2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C2924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★条款</w:t>
            </w:r>
          </w:p>
        </w:tc>
        <w:tc>
          <w:tcPr>
            <w:tcW w:w="2433" w:type="dxa"/>
            <w:vAlign w:val="center"/>
          </w:tcPr>
          <w:p w14:paraId="291F10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34 条★零遗漏、零负偏离；相关 AC 缺证据即不准出</w:t>
            </w:r>
          </w:p>
        </w:tc>
        <w:tc>
          <w:tcPr>
            <w:tcW w:w="2765" w:type="dxa"/>
            <w:vAlign w:val="center"/>
          </w:tcPr>
          <w:p w14:paraId="469822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compliance matrix、RTM、测试/验收证据</w:t>
            </w:r>
          </w:p>
        </w:tc>
        <w:tc>
          <w:tcPr>
            <w:tcW w:w="2544" w:type="dxa"/>
            <w:vAlign w:val="center"/>
          </w:tcPr>
          <w:p w14:paraId="59E0E9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设计挂接完成，待执行验证</w:t>
            </w:r>
          </w:p>
        </w:tc>
      </w:tr>
      <w:tr w14:paraId="26FB2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3F3CD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性能效率</w:t>
            </w:r>
          </w:p>
        </w:tc>
        <w:tc>
          <w:tcPr>
            <w:tcW w:w="2433" w:type="dxa"/>
            <w:vAlign w:val="center"/>
          </w:tcPr>
          <w:p w14:paraId="7EF54A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PE-01—PE-12 按受控单位、环境、样本和统计口径逐项实测</w:t>
            </w:r>
          </w:p>
        </w:tc>
        <w:tc>
          <w:tcPr>
            <w:tcW w:w="2765" w:type="dxa"/>
            <w:vAlign w:val="center"/>
          </w:tcPr>
          <w:p w14:paraId="1487FB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原始数据、脚本、分位值、错误率、资源曲线</w:t>
            </w:r>
          </w:p>
        </w:tc>
        <w:tc>
          <w:tcPr>
            <w:tcW w:w="2544" w:type="dxa"/>
            <w:vAlign w:val="center"/>
          </w:tcPr>
          <w:p w14:paraId="28827E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待目标环境实测</w:t>
            </w:r>
          </w:p>
        </w:tc>
      </w:tr>
      <w:tr w14:paraId="77D9A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D2446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安全</w:t>
            </w:r>
          </w:p>
        </w:tc>
        <w:tc>
          <w:tcPr>
            <w:tcW w:w="2433" w:type="dxa"/>
            <w:vAlign w:val="center"/>
          </w:tcPr>
          <w:p w14:paraId="3DD0B1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应用侧不低于等保二级相关条款；交付前高危漏洞为 0</w:t>
            </w:r>
          </w:p>
        </w:tc>
        <w:tc>
          <w:tcPr>
            <w:tcW w:w="2765" w:type="dxa"/>
            <w:vAlign w:val="center"/>
          </w:tcPr>
          <w:p w14:paraId="63C66D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SCA、扫描、渗透、复测与审计记录</w:t>
            </w:r>
          </w:p>
        </w:tc>
        <w:tc>
          <w:tcPr>
            <w:tcW w:w="2544" w:type="dxa"/>
            <w:vAlign w:val="center"/>
          </w:tcPr>
          <w:p w14:paraId="6DB6D2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待实施/测试；正式测评责任边界不变</w:t>
            </w:r>
          </w:p>
        </w:tc>
      </w:tr>
      <w:tr w14:paraId="2FCB5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C762D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可靠性</w:t>
            </w:r>
          </w:p>
        </w:tc>
        <w:tc>
          <w:tcPr>
            <w:tcW w:w="2433" w:type="dxa"/>
            <w:vAlign w:val="center"/>
          </w:tcPr>
          <w:p w14:paraId="1198C9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7×24；试运行可用率≥99.5%；单点故障 MTTR≤2小时</w:t>
            </w:r>
          </w:p>
        </w:tc>
        <w:tc>
          <w:tcPr>
            <w:tcW w:w="2765" w:type="dxa"/>
            <w:vAlign w:val="center"/>
          </w:tcPr>
          <w:p w14:paraId="59C6F5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监控、维护窗口、故障/恢复演练</w:t>
            </w:r>
          </w:p>
        </w:tc>
        <w:tc>
          <w:tcPr>
            <w:tcW w:w="2544" w:type="dxa"/>
            <w:vAlign w:val="center"/>
          </w:tcPr>
          <w:p w14:paraId="74092D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待试运行和演练</w:t>
            </w:r>
          </w:p>
        </w:tc>
      </w:tr>
      <w:tr w14:paraId="43892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C66FC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可维护性</w:t>
            </w:r>
          </w:p>
        </w:tc>
        <w:tc>
          <w:tcPr>
            <w:tcW w:w="2433" w:type="dxa"/>
            <w:vAlign w:val="center"/>
          </w:tcPr>
          <w:p w14:paraId="42CC68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核心模块单元测试覆盖率≥70%；RTM 无断链</w:t>
            </w:r>
          </w:p>
        </w:tc>
        <w:tc>
          <w:tcPr>
            <w:tcW w:w="2765" w:type="dxa"/>
            <w:vAlign w:val="center"/>
          </w:tcPr>
          <w:p w14:paraId="207799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CI、覆盖率、追踪审计</w:t>
            </w:r>
          </w:p>
        </w:tc>
        <w:tc>
          <w:tcPr>
            <w:tcW w:w="2544" w:type="dxa"/>
            <w:vAlign w:val="center"/>
          </w:tcPr>
          <w:p w14:paraId="3FDD4A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待实现/执行</w:t>
            </w:r>
          </w:p>
        </w:tc>
      </w:tr>
      <w:tr w14:paraId="668BC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5C6FA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可移植性</w:t>
            </w:r>
          </w:p>
        </w:tc>
        <w:tc>
          <w:tcPr>
            <w:tcW w:w="2433" w:type="dxa"/>
            <w:vAlign w:val="center"/>
          </w:tcPr>
          <w:p w14:paraId="6E36DF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非乙方人员在干净环境一次部署成功且≤2小时</w:t>
            </w:r>
          </w:p>
        </w:tc>
        <w:tc>
          <w:tcPr>
            <w:tcW w:w="2765" w:type="dxa"/>
            <w:vAlign w:val="center"/>
          </w:tcPr>
          <w:p w14:paraId="7E7E26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镜像/配置、部署计时、问题与回滚记录</w:t>
            </w:r>
          </w:p>
        </w:tc>
        <w:tc>
          <w:tcPr>
            <w:tcW w:w="2544" w:type="dxa"/>
            <w:vAlign w:val="center"/>
          </w:tcPr>
          <w:p w14:paraId="5998CF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待部署验证</w:t>
            </w:r>
          </w:p>
        </w:tc>
      </w:tr>
      <w:tr w14:paraId="500EA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C7B8E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文档与证据</w:t>
            </w:r>
          </w:p>
        </w:tc>
        <w:tc>
          <w:tcPr>
            <w:tcW w:w="2433" w:type="dxa"/>
            <w:vAlign w:val="center"/>
          </w:tcPr>
          <w:p w14:paraId="5612E7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工作稿—正式件—Review—Git 可回指；正式件全页渲染无缺陷</w:t>
            </w:r>
          </w:p>
        </w:tc>
        <w:tc>
          <w:tcPr>
            <w:tcW w:w="2765" w:type="dxa"/>
            <w:vAlign w:val="center"/>
          </w:tcPr>
          <w:p w14:paraId="3B6C21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内容镜像、渲染 QA、Prompt/Review/commit</w:t>
            </w:r>
          </w:p>
        </w:tc>
        <w:tc>
          <w:tcPr>
            <w:tcW w:w="2544" w:type="dxa"/>
            <w:vAlign w:val="center"/>
          </w:tcPr>
          <w:p w14:paraId="5CC33F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随任务持续检查</w:t>
            </w:r>
          </w:p>
        </w:tc>
      </w:tr>
    </w:tbl>
    <w:p w14:paraId="13F36B0E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2-2 质量配置项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24"/>
        <w:gridCol w:w="4536"/>
      </w:tblGrid>
      <w:tr w14:paraId="436B6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12" w:type="dxa"/>
            <w:vAlign w:val="center"/>
          </w:tcPr>
          <w:p w14:paraId="09C201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w="3024" w:type="dxa"/>
            <w:vAlign w:val="center"/>
          </w:tcPr>
          <w:p w14:paraId="48103C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受控对象</w:t>
            </w:r>
          </w:p>
        </w:tc>
        <w:tc>
          <w:tcPr>
            <w:tcW w:w="4536" w:type="dxa"/>
            <w:vAlign w:val="center"/>
          </w:tcPr>
          <w:p w14:paraId="11047E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版本与变更要求</w:t>
            </w:r>
          </w:p>
        </w:tc>
      </w:tr>
      <w:tr w14:paraId="7C775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5D9591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需求与追踪</w:t>
            </w:r>
          </w:p>
        </w:tc>
        <w:tc>
          <w:tcPr>
            <w:tcW w:w="3024" w:type="dxa"/>
            <w:vAlign w:val="center"/>
          </w:tcPr>
          <w:p w14:paraId="3F7378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Baseline、SRS、spec、RTM、澄清、facts、key_numbers</w:t>
            </w:r>
          </w:p>
        </w:tc>
        <w:tc>
          <w:tcPr>
            <w:tcW w:w="4536" w:type="dxa"/>
            <w:vAlign w:val="center"/>
          </w:tcPr>
          <w:p w14:paraId="7768F9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冻结后变更必须有 Change/Issue 与影响分析</w:t>
            </w:r>
          </w:p>
        </w:tc>
      </w:tr>
      <w:tr w14:paraId="16CAB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1D598B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设计与契约</w:t>
            </w:r>
          </w:p>
        </w:tc>
        <w:tc>
          <w:tcPr>
            <w:tcW w:w="3024" w:type="dxa"/>
            <w:vAlign w:val="center"/>
          </w:tcPr>
          <w:p w14:paraId="59A243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HLD、DBD、DLD、OpenAPI、ADR、NFR/ENG</w:t>
            </w:r>
          </w:p>
        </w:tc>
        <w:tc>
          <w:tcPr>
            <w:tcW w:w="4536" w:type="dxa"/>
            <w:vAlign w:val="center"/>
          </w:tcPr>
          <w:p w14:paraId="6B245C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需求、设计、接口和测试同步更新，不允许孤儿项</w:t>
            </w:r>
          </w:p>
        </w:tc>
      </w:tr>
      <w:tr w14:paraId="202F8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093C57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实现与数据</w:t>
            </w:r>
          </w:p>
        </w:tc>
        <w:tc>
          <w:tcPr>
            <w:tcW w:w="3024" w:type="dxa"/>
            <w:vAlign w:val="center"/>
          </w:tcPr>
          <w:p w14:paraId="30FEF8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代码、依赖、迁移、初始化、配置、镜像</w:t>
            </w:r>
          </w:p>
        </w:tc>
        <w:tc>
          <w:tcPr>
            <w:tcW w:w="4536" w:type="dxa"/>
            <w:vAlign w:val="center"/>
          </w:tcPr>
          <w:p w14:paraId="5E319E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commit/构建可定位；密钥与环境配置不得入库</w:t>
            </w:r>
          </w:p>
        </w:tc>
      </w:tr>
      <w:tr w14:paraId="13F68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679256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测试与缺陷</w:t>
            </w:r>
          </w:p>
        </w:tc>
        <w:tc>
          <w:tcPr>
            <w:tcW w:w="3024" w:type="dxa"/>
            <w:vAlign w:val="center"/>
          </w:tcPr>
          <w:p w14:paraId="3C00AB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测试计划、用例、数据、脚本、原始结果、缺陷、复测</w:t>
            </w:r>
          </w:p>
        </w:tc>
        <w:tc>
          <w:tcPr>
            <w:tcW w:w="4536" w:type="dxa"/>
            <w:vAlign w:val="center"/>
          </w:tcPr>
          <w:p w14:paraId="5335C0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记录执行版本、环境、操作者、时间和结论</w:t>
            </w:r>
          </w:p>
        </w:tc>
      </w:tr>
      <w:tr w14:paraId="4C169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4BC3C0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正式交付</w:t>
            </w:r>
          </w:p>
        </w:tc>
        <w:tc>
          <w:tcPr>
            <w:tcW w:w="3024" w:type="dxa"/>
            <w:vAlign w:val="center"/>
          </w:tcPr>
          <w:p w14:paraId="72212F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工作稿、Reference Pair、DOCX/PDF、图源、渲染与审计记录</w:t>
            </w:r>
          </w:p>
        </w:tc>
        <w:tc>
          <w:tcPr>
            <w:tcW w:w="4536" w:type="dxa"/>
            <w:vAlign w:val="center"/>
          </w:tcPr>
          <w:p w14:paraId="567C87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内容与格式分别验证，保留修订证据</w:t>
            </w:r>
          </w:p>
        </w:tc>
      </w:tr>
    </w:tbl>
    <w:p w14:paraId="2EB0294C">
      <w:pPr>
        <w:pStyle w:val="2"/>
        <w:keepNext/>
      </w:pPr>
      <w:r>
        <w:rPr>
          <w:rFonts w:ascii="Times New Roman" w:hAnsi="Times New Roman" w:eastAsia="黑体"/>
          <w:b/>
        </w:rPr>
        <w:t>3 质量组织与职责</w:t>
      </w:r>
    </w:p>
    <w:p w14:paraId="7383B823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3-1 质量职责与独立复核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24"/>
        <w:gridCol w:w="4536"/>
      </w:tblGrid>
      <w:tr w14:paraId="0C10C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12" w:type="dxa"/>
            <w:vAlign w:val="center"/>
          </w:tcPr>
          <w:p w14:paraId="640761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主体</w:t>
            </w:r>
          </w:p>
        </w:tc>
        <w:tc>
          <w:tcPr>
            <w:tcW w:w="3024" w:type="dxa"/>
            <w:vAlign w:val="center"/>
          </w:tcPr>
          <w:p w14:paraId="090A59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质量职责</w:t>
            </w:r>
          </w:p>
        </w:tc>
        <w:tc>
          <w:tcPr>
            <w:tcW w:w="4536" w:type="dxa"/>
            <w:vAlign w:val="center"/>
          </w:tcPr>
          <w:p w14:paraId="69E67F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独立性要求</w:t>
            </w:r>
          </w:p>
        </w:tc>
      </w:tr>
      <w:tr w14:paraId="30788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75E917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A（项目经理/总编）</w:t>
            </w:r>
          </w:p>
        </w:tc>
        <w:tc>
          <w:tcPr>
            <w:tcW w:w="3024" w:type="dxa"/>
            <w:vAlign w:val="center"/>
          </w:tcPr>
          <w:p w14:paraId="24FFAD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组织里程碑、资源和跨文档一致性；批准纠正安排；汇总交付包</w:t>
            </w:r>
          </w:p>
        </w:tc>
        <w:tc>
          <w:tcPr>
            <w:tcW w:w="4536" w:type="dxa"/>
            <w:vAlign w:val="center"/>
          </w:tcPr>
          <w:p w14:paraId="69E1AF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不替代 B 的技术结论或 C 的符合性结论</w:t>
            </w:r>
          </w:p>
        </w:tc>
      </w:tr>
      <w:tr w14:paraId="7EA2B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4A4899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B（技术负责人）</w:t>
            </w:r>
          </w:p>
        </w:tc>
        <w:tc>
          <w:tcPr>
            <w:tcW w:w="3024" w:type="dxa"/>
            <w:vAlign w:val="center"/>
          </w:tcPr>
          <w:p w14:paraId="01679B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技术正确性、可实施性、架构/接口/NFR 证据和技术缺陷复核</w:t>
            </w:r>
          </w:p>
        </w:tc>
        <w:tc>
          <w:tcPr>
            <w:tcW w:w="4536" w:type="dxa"/>
            <w:vAlign w:val="center"/>
          </w:tcPr>
          <w:p w14:paraId="02EA6B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 C 主责的 G3-12 执行独立复核</w:t>
            </w:r>
          </w:p>
        </w:tc>
      </w:tr>
      <w:tr w14:paraId="5C6A7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7FF7EE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C（需求与质量负责人）</w:t>
            </w:r>
          </w:p>
        </w:tc>
        <w:tc>
          <w:tcPr>
            <w:tcW w:w="3024" w:type="dxa"/>
            <w:vAlign w:val="center"/>
          </w:tcPr>
          <w:p w14:paraId="4130B4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基线符合性、★/数字/责任边界、RTM、测试与质量证据、Issue 留痕</w:t>
            </w:r>
          </w:p>
        </w:tc>
        <w:tc>
          <w:tcPr>
            <w:tcW w:w="4536" w:type="dxa"/>
            <w:vAlign w:val="center"/>
          </w:tcPr>
          <w:p w14:paraId="133452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不把主责自检冒充 B 的复核结论</w:t>
            </w:r>
          </w:p>
        </w:tc>
      </w:tr>
      <w:tr w14:paraId="4F130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357DBC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产物主责人</w:t>
            </w:r>
          </w:p>
        </w:tc>
        <w:tc>
          <w:tcPr>
            <w:tcW w:w="3024" w:type="dxa"/>
            <w:vAlign w:val="center"/>
          </w:tcPr>
          <w:p w14:paraId="5DDC4A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编制、更新、自检、修正并提供可复现证据</w:t>
            </w:r>
          </w:p>
        </w:tc>
        <w:tc>
          <w:tcPr>
            <w:tcW w:w="4536" w:type="dxa"/>
            <w:vAlign w:val="center"/>
          </w:tcPr>
          <w:p w14:paraId="72E64B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不自行关闭需复核人验证的问题</w:t>
            </w:r>
          </w:p>
        </w:tc>
      </w:tr>
      <w:tr w14:paraId="60610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0CA2B6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复核人</w:t>
            </w:r>
          </w:p>
        </w:tc>
        <w:tc>
          <w:tcPr>
            <w:tcW w:w="3024" w:type="dxa"/>
            <w:vAlign w:val="center"/>
          </w:tcPr>
          <w:p w14:paraId="2DD5EC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 Issue 关闭条件、修改结果和准出证据独立验证</w:t>
            </w:r>
          </w:p>
        </w:tc>
        <w:tc>
          <w:tcPr>
            <w:tcW w:w="4536" w:type="dxa"/>
            <w:vAlign w:val="center"/>
          </w:tcPr>
          <w:p w14:paraId="42C7CB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Review/Issue → 主责修改 → 复核人关闭</w:t>
            </w:r>
          </w:p>
        </w:tc>
      </w:tr>
      <w:tr w14:paraId="21C66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3E1524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甲方/教师模拟角色</w:t>
            </w:r>
          </w:p>
        </w:tc>
        <w:tc>
          <w:tcPr>
            <w:tcW w:w="3024" w:type="dxa"/>
            <w:vAlign w:val="center"/>
          </w:tcPr>
          <w:p w14:paraId="5A1192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提供或确认外部环境、账号、数据、矩阵、窗口和验收裁决</w:t>
            </w:r>
          </w:p>
        </w:tc>
        <w:tc>
          <w:tcPr>
            <w:tcW w:w="4536" w:type="dxa"/>
            <w:vAlign w:val="center"/>
          </w:tcPr>
          <w:p w14:paraId="2D7317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项目组不得虚构现实签章、真实联调或甲方验收证据</w:t>
            </w:r>
          </w:p>
        </w:tc>
      </w:tr>
    </w:tbl>
    <w:p w14:paraId="7F496E66">
      <w:pPr>
        <w:pStyle w:val="2"/>
        <w:keepNext/>
      </w:pPr>
      <w:r>
        <w:rPr>
          <w:rFonts w:ascii="Times New Roman" w:hAnsi="Times New Roman" w:eastAsia="黑体"/>
          <w:b/>
        </w:rPr>
        <w:t>4 质量保证活动（QA）</w:t>
      </w:r>
    </w:p>
    <w:p w14:paraId="3BAE099F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4-1 生命周期质量保证活动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1CE5C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42288D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阶段</w:t>
            </w:r>
          </w:p>
        </w:tc>
        <w:tc>
          <w:tcPr>
            <w:tcW w:w="2433" w:type="dxa"/>
            <w:vAlign w:val="center"/>
          </w:tcPr>
          <w:p w14:paraId="0CDF3A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预防性活动</w:t>
            </w:r>
          </w:p>
        </w:tc>
        <w:tc>
          <w:tcPr>
            <w:tcW w:w="2765" w:type="dxa"/>
            <w:vAlign w:val="center"/>
          </w:tcPr>
          <w:p w14:paraId="19B4A3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审查重点</w:t>
            </w:r>
          </w:p>
        </w:tc>
        <w:tc>
          <w:tcPr>
            <w:tcW w:w="2544" w:type="dxa"/>
            <w:vAlign w:val="center"/>
          </w:tcPr>
          <w:p w14:paraId="2AD828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输出证据</w:t>
            </w:r>
          </w:p>
        </w:tc>
      </w:tr>
      <w:tr w14:paraId="0813D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4B1673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需求与变更</w:t>
            </w:r>
          </w:p>
        </w:tc>
        <w:tc>
          <w:tcPr>
            <w:tcW w:w="2433" w:type="dxa"/>
            <w:vAlign w:val="center"/>
          </w:tcPr>
          <w:p w14:paraId="01A66F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Baseline、facts/key_numbers、★与澄清先行</w:t>
            </w:r>
          </w:p>
        </w:tc>
        <w:tc>
          <w:tcPr>
            <w:tcW w:w="2765" w:type="dxa"/>
            <w:vAlign w:val="center"/>
          </w:tcPr>
          <w:p w14:paraId="7E1153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范围、数字、责任、验收、Change 完整性</w:t>
            </w:r>
          </w:p>
        </w:tc>
        <w:tc>
          <w:tcPr>
            <w:tcW w:w="2544" w:type="dxa"/>
            <w:vAlign w:val="center"/>
          </w:tcPr>
          <w:p w14:paraId="79E03B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条款/RTM/Issue/Change</w:t>
            </w:r>
          </w:p>
        </w:tc>
      </w:tr>
      <w:tr w14:paraId="26E23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586A2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</w:t>
            </w:r>
          </w:p>
        </w:tc>
        <w:tc>
          <w:tcPr>
            <w:tcW w:w="2433" w:type="dxa"/>
            <w:vAlign w:val="center"/>
          </w:tcPr>
          <w:p w14:paraId="5E609F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AC 可测试性、设计 ID、ADR 与外部边界挂接</w:t>
            </w:r>
          </w:p>
        </w:tc>
        <w:tc>
          <w:tcPr>
            <w:tcW w:w="2765" w:type="dxa"/>
            <w:vAlign w:val="center"/>
          </w:tcPr>
          <w:p w14:paraId="112193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39/39 设计追踪、失败语义、待确认项</w:t>
            </w:r>
          </w:p>
        </w:tc>
        <w:tc>
          <w:tcPr>
            <w:tcW w:w="2544" w:type="dxa"/>
            <w:vAlign w:val="center"/>
          </w:tcPr>
          <w:p w14:paraId="1806A2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 Review、机械审计</w:t>
            </w:r>
          </w:p>
        </w:tc>
      </w:tr>
      <w:tr w14:paraId="7F6A0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3A483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实现</w:t>
            </w:r>
          </w:p>
        </w:tc>
        <w:tc>
          <w:tcPr>
            <w:tcW w:w="2433" w:type="dxa"/>
            <w:vAlign w:val="center"/>
          </w:tcPr>
          <w:p w14:paraId="7B66F4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分支/提交纪律、静态检查、代码评审、迁移审查</w:t>
            </w:r>
          </w:p>
        </w:tc>
        <w:tc>
          <w:tcPr>
            <w:tcW w:w="2765" w:type="dxa"/>
            <w:vAlign w:val="center"/>
          </w:tcPr>
          <w:p w14:paraId="3A00A6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权限、幂等、状态机、审计、密钥与依赖</w:t>
            </w:r>
          </w:p>
        </w:tc>
        <w:tc>
          <w:tcPr>
            <w:tcW w:w="2544" w:type="dxa"/>
            <w:vAlign w:val="center"/>
          </w:tcPr>
          <w:p w14:paraId="64FB0B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CI、Review、扫描、迁移记录</w:t>
            </w:r>
          </w:p>
        </w:tc>
      </w:tr>
      <w:tr w14:paraId="555E3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15ADD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</w:t>
            </w:r>
          </w:p>
        </w:tc>
        <w:tc>
          <w:tcPr>
            <w:tcW w:w="2433" w:type="dxa"/>
            <w:vAlign w:val="center"/>
          </w:tcPr>
          <w:p w14:paraId="495D49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数据/环境/脚本版本化，先定义期望与证据</w:t>
            </w:r>
          </w:p>
        </w:tc>
        <w:tc>
          <w:tcPr>
            <w:tcW w:w="2765" w:type="dxa"/>
            <w:vAlign w:val="center"/>
          </w:tcPr>
          <w:p w14:paraId="21F937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117 AC、34★、PE/NFR、P0、失败与降级</w:t>
            </w:r>
          </w:p>
        </w:tc>
        <w:tc>
          <w:tcPr>
            <w:tcW w:w="2544" w:type="dxa"/>
            <w:vAlign w:val="center"/>
          </w:tcPr>
          <w:p w14:paraId="3D83D0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原始结果、缺陷、复测、RTM</w:t>
            </w:r>
          </w:p>
        </w:tc>
      </w:tr>
      <w:tr w14:paraId="0368F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E2A77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</w:t>
            </w:r>
          </w:p>
        </w:tc>
        <w:tc>
          <w:tcPr>
            <w:tcW w:w="2433" w:type="dxa"/>
            <w:vAlign w:val="center"/>
          </w:tcPr>
          <w:p w14:paraId="504ACF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工作稿先行、Reference 物理继承、内容镜像</w:t>
            </w:r>
          </w:p>
        </w:tc>
        <w:tc>
          <w:tcPr>
            <w:tcW w:w="2765" w:type="dxa"/>
            <w:vAlign w:val="center"/>
          </w:tcPr>
          <w:p w14:paraId="00D087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标题/编号/题注/目录/页码/案例污染</w:t>
            </w:r>
          </w:p>
        </w:tc>
        <w:tc>
          <w:tcPr>
            <w:tcW w:w="2544" w:type="dxa"/>
            <w:vAlign w:val="center"/>
          </w:tcPr>
          <w:p w14:paraId="1458E4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Pair manifest、渲染 QA</w:t>
            </w:r>
          </w:p>
        </w:tc>
      </w:tr>
      <w:tr w14:paraId="57730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C7A7F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部署与验收</w:t>
            </w:r>
          </w:p>
        </w:tc>
        <w:tc>
          <w:tcPr>
            <w:tcW w:w="2433" w:type="dxa"/>
            <w:vAlign w:val="center"/>
          </w:tcPr>
          <w:p w14:paraId="10EC4D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干净环境演练、清单/摘要、回滚与交付核对</w:t>
            </w:r>
          </w:p>
        </w:tc>
        <w:tc>
          <w:tcPr>
            <w:tcW w:w="2765" w:type="dxa"/>
            <w:vAlign w:val="center"/>
          </w:tcPr>
          <w:p w14:paraId="25C85A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外部前置、安装计时、安全、完整性</w:t>
            </w:r>
          </w:p>
        </w:tc>
        <w:tc>
          <w:tcPr>
            <w:tcW w:w="2544" w:type="dxa"/>
            <w:vAlign w:val="center"/>
          </w:tcPr>
          <w:p w14:paraId="7EF706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部署/回滚/签认/交付清单</w:t>
            </w:r>
          </w:p>
        </w:tc>
      </w:tr>
    </w:tbl>
    <w:p w14:paraId="3E085959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评审结论只能为 PASS、ISSUE 或 BLOCKED。自动检查可支持判断，但不能冒充人工复核。所有未验证结果保留“待实现/待测/待现场确认”，禁止使用“已达标”“已验收”等完成态措辞。</w:t>
      </w:r>
    </w:p>
    <w:p w14:paraId="02AC2A3F">
      <w:pPr>
        <w:pStyle w:val="2"/>
        <w:keepNext/>
      </w:pPr>
      <w:r>
        <w:rPr>
          <w:rFonts w:ascii="Times New Roman" w:hAnsi="Times New Roman" w:eastAsia="黑体"/>
          <w:b/>
        </w:rPr>
        <w:t>5 质量控制与缺陷管理（QC）</w:t>
      </w:r>
    </w:p>
    <w:p w14:paraId="31164BEE">
      <w:pPr>
        <w:pStyle w:val="3"/>
        <w:keepNext/>
      </w:pPr>
      <w:r>
        <w:rPr>
          <w:rFonts w:ascii="Times New Roman" w:hAnsi="Times New Roman" w:eastAsia="黑体"/>
          <w:b/>
        </w:rPr>
        <w:t>5.1 检查与测试控制</w:t>
      </w:r>
    </w:p>
    <w:p w14:paraId="4760647C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质量控制采用静态检查、同行评审、单元/契约/集成/系统测试、性能与安全专项、恢复演练、正式件渲染和验收支持的分层证据。较低层证据只能证明相应范围：Mock 或桩可验证内部逻辑，不能替代真实视频/消息连通；文档一致性不能替代软件实现；内部安全扫描不能替代正式第三方等保测评。</w:t>
      </w:r>
    </w:p>
    <w:p w14:paraId="1AC1D5C2">
      <w:pPr>
        <w:pStyle w:val="3"/>
        <w:keepNext/>
      </w:pPr>
      <w:r>
        <w:rPr>
          <w:rFonts w:ascii="Times New Roman" w:hAnsi="Times New Roman" w:eastAsia="黑体"/>
          <w:b/>
        </w:rPr>
        <w:t>5.2 缺陷分级</w:t>
      </w:r>
    </w:p>
    <w:p w14:paraId="02264F46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5-1 缺陷分级与质量处置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24"/>
        <w:gridCol w:w="4536"/>
      </w:tblGrid>
      <w:tr w14:paraId="40986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12" w:type="dxa"/>
            <w:vAlign w:val="center"/>
          </w:tcPr>
          <w:p w14:paraId="675397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级别</w:t>
            </w:r>
          </w:p>
        </w:tc>
        <w:tc>
          <w:tcPr>
            <w:tcW w:w="3024" w:type="dxa"/>
            <w:vAlign w:val="center"/>
          </w:tcPr>
          <w:p w14:paraId="40A1BA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判定示例</w:t>
            </w:r>
          </w:p>
        </w:tc>
        <w:tc>
          <w:tcPr>
            <w:tcW w:w="4536" w:type="dxa"/>
            <w:vAlign w:val="center"/>
          </w:tcPr>
          <w:p w14:paraId="303D8C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处置与准出</w:t>
            </w:r>
          </w:p>
        </w:tc>
      </w:tr>
      <w:tr w14:paraId="60543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226256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BLOCKER</w:t>
            </w:r>
          </w:p>
        </w:tc>
        <w:tc>
          <w:tcPr>
            <w:tcW w:w="3024" w:type="dxa"/>
            <w:vAlign w:val="center"/>
          </w:tcPr>
          <w:p w14:paraId="0E0DB2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基线冲突、★负偏离、数据/安全灾难性风险、关键证据造假或不可恢复</w:t>
            </w:r>
          </w:p>
        </w:tc>
        <w:tc>
          <w:tcPr>
            <w:tcW w:w="4536" w:type="dxa"/>
            <w:vAlign w:val="center"/>
          </w:tcPr>
          <w:p w14:paraId="2AAF1C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立即停止受影响准出；登记 Issue/Change；仅在授权裁决和复核后恢复</w:t>
            </w:r>
          </w:p>
        </w:tc>
      </w:tr>
      <w:tr w14:paraId="5ECC7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5774CA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MAJOR</w:t>
            </w:r>
          </w:p>
        </w:tc>
        <w:tc>
          <w:tcPr>
            <w:tcW w:w="3024" w:type="dxa"/>
            <w:vAlign w:val="center"/>
          </w:tcPr>
          <w:p w14:paraId="7473F0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关键功能/AC 失败、严重缺陷、核心追踪断链、关键文档导航或证据不可用</w:t>
            </w:r>
          </w:p>
        </w:tc>
        <w:tc>
          <w:tcPr>
            <w:tcW w:w="4536" w:type="dxa"/>
            <w:vAlign w:val="center"/>
          </w:tcPr>
          <w:p w14:paraId="3DEC56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主责修正并执行影响集回归；复核人验证关闭前保持 REVIEW/BLOCKED</w:t>
            </w:r>
          </w:p>
        </w:tc>
      </w:tr>
      <w:tr w14:paraId="092C8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44F6C1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MINOR</w:t>
            </w:r>
          </w:p>
        </w:tc>
        <w:tc>
          <w:tcPr>
            <w:tcW w:w="3024" w:type="dxa"/>
            <w:vAlign w:val="center"/>
          </w:tcPr>
          <w:p w14:paraId="2027D6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不改变需求语义的局部一致性、可读性或非关键错误</w:t>
            </w:r>
          </w:p>
        </w:tc>
        <w:tc>
          <w:tcPr>
            <w:tcW w:w="4536" w:type="dxa"/>
            <w:vAlign w:val="center"/>
          </w:tcPr>
          <w:p w14:paraId="59AC82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纳入修订和回归；若延期须记录影响、责任人与后续门禁</w:t>
            </w:r>
          </w:p>
        </w:tc>
      </w:tr>
      <w:tr w14:paraId="4C740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 w14:paraId="44913A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OBSERVATION</w:t>
            </w:r>
          </w:p>
        </w:tc>
        <w:tc>
          <w:tcPr>
            <w:tcW w:w="3024" w:type="dxa"/>
            <w:vAlign w:val="center"/>
          </w:tcPr>
          <w:p w14:paraId="0F0A05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暂不构成不符合但可能复现或恶化的维护风险</w:t>
            </w:r>
          </w:p>
        </w:tc>
        <w:tc>
          <w:tcPr>
            <w:tcW w:w="4536" w:type="dxa"/>
            <w:vAlign w:val="center"/>
          </w:tcPr>
          <w:p w14:paraId="134D81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保留观察项和触发条件；不得伪装为已关闭缺陷</w:t>
            </w:r>
          </w:p>
        </w:tc>
      </w:tr>
    </w:tbl>
    <w:p w14:paraId="6DEA7162">
      <w:pPr>
        <w:pStyle w:val="3"/>
        <w:keepNext/>
      </w:pPr>
      <w:r>
        <w:rPr>
          <w:rFonts w:ascii="Times New Roman" w:hAnsi="Times New Roman" w:eastAsia="黑体"/>
          <w:b/>
        </w:rPr>
        <w:t>5.3 缺陷生命周期</w:t>
      </w:r>
    </w:p>
    <w:p w14:paraId="0AC17C01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缺陷状态采用 OPEN → IN_REMEDIATION → RESOLVED → CLOSED。RESOLVED 仅表示主责已完成处置并提交证据；CLOSED 必须由指定复核人验证关闭条件。缺陷至少包含位置、环境/版本、复现步骤、期望、实际、影响的 FR/AC/PE/设计 ID、严重度、责任人、证据和复测结论。修复后必须回归直接失败项、同模块关联项、接口契约和受影响的★/关键数字。</w:t>
      </w:r>
    </w:p>
    <w:p w14:paraId="424C95A9">
      <w:pPr>
        <w:pStyle w:val="2"/>
        <w:keepNext/>
      </w:pPr>
      <w:r>
        <w:rPr>
          <w:rFonts w:ascii="Times New Roman" w:hAnsi="Times New Roman" w:eastAsia="黑体"/>
          <w:b/>
        </w:rPr>
        <w:t>6 评审与质量门禁</w:t>
      </w:r>
    </w:p>
    <w:p w14:paraId="3B42A839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6-1 阶段质量门禁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45117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49EF29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门禁</w:t>
            </w:r>
          </w:p>
        </w:tc>
        <w:tc>
          <w:tcPr>
            <w:tcW w:w="2433" w:type="dxa"/>
            <w:vAlign w:val="center"/>
          </w:tcPr>
          <w:p w14:paraId="694AA4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准入</w:t>
            </w:r>
          </w:p>
        </w:tc>
        <w:tc>
          <w:tcPr>
            <w:tcW w:w="2765" w:type="dxa"/>
            <w:vAlign w:val="center"/>
          </w:tcPr>
          <w:p w14:paraId="2E5DCC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准出</w:t>
            </w:r>
          </w:p>
        </w:tc>
        <w:tc>
          <w:tcPr>
            <w:tcW w:w="2544" w:type="dxa"/>
            <w:vAlign w:val="center"/>
          </w:tcPr>
          <w:p w14:paraId="7B9B45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阻断规则</w:t>
            </w:r>
          </w:p>
        </w:tc>
      </w:tr>
      <w:tr w14:paraId="7964C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1F744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需求/基线</w:t>
            </w:r>
          </w:p>
        </w:tc>
        <w:tc>
          <w:tcPr>
            <w:tcW w:w="2433" w:type="dxa"/>
            <w:vAlign w:val="center"/>
          </w:tcPr>
          <w:p w14:paraId="7FCA6C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权威来源、澄清和控制条目可定位</w:t>
            </w:r>
          </w:p>
        </w:tc>
        <w:tc>
          <w:tcPr>
            <w:tcW w:w="2765" w:type="dxa"/>
            <w:vAlign w:val="center"/>
          </w:tcPr>
          <w:p w14:paraId="280F3A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FR/AC/★/数字/责任一致，冲突已登记</w:t>
            </w:r>
          </w:p>
        </w:tc>
        <w:tc>
          <w:tcPr>
            <w:tcW w:w="2544" w:type="dxa"/>
            <w:vAlign w:val="center"/>
          </w:tcPr>
          <w:p w14:paraId="1B56BA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真实语义冲突或来源缺失</w:t>
            </w:r>
          </w:p>
        </w:tc>
      </w:tr>
      <w:tr w14:paraId="5CBF7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71CAE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</w:t>
            </w:r>
          </w:p>
        </w:tc>
        <w:tc>
          <w:tcPr>
            <w:tcW w:w="2433" w:type="dxa"/>
            <w:vAlign w:val="center"/>
          </w:tcPr>
          <w:p w14:paraId="3C8586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前置需求冻结，设计输入明确</w:t>
            </w:r>
          </w:p>
        </w:tc>
        <w:tc>
          <w:tcPr>
            <w:tcW w:w="2765" w:type="dxa"/>
            <w:vAlign w:val="center"/>
          </w:tcPr>
          <w:p w14:paraId="14D907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39 FR 均有 DBD/DLD/API 追踪；ADR/NFR/ENG 一致</w:t>
            </w:r>
          </w:p>
        </w:tc>
        <w:tc>
          <w:tcPr>
            <w:tcW w:w="2544" w:type="dxa"/>
            <w:vAlign w:val="center"/>
          </w:tcPr>
          <w:p w14:paraId="081185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设计断链、外部责任漂移、待确认项被错误冻结</w:t>
            </w:r>
          </w:p>
        </w:tc>
      </w:tr>
      <w:tr w14:paraId="1FCCF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DB942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合并请求</w:t>
            </w:r>
          </w:p>
        </w:tc>
        <w:tc>
          <w:tcPr>
            <w:tcW w:w="2433" w:type="dxa"/>
            <w:vAlign w:val="center"/>
          </w:tcPr>
          <w:p w14:paraId="534D3D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变更范围、影响和复核人明确</w:t>
            </w:r>
          </w:p>
        </w:tc>
        <w:tc>
          <w:tcPr>
            <w:tcW w:w="2765" w:type="dxa"/>
            <w:vAlign w:val="center"/>
          </w:tcPr>
          <w:p w14:paraId="60F218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静态检查、单元/契约、迁移和安全检查通过</w:t>
            </w:r>
          </w:p>
        </w:tc>
        <w:tc>
          <w:tcPr>
            <w:tcW w:w="2544" w:type="dxa"/>
            <w:vAlign w:val="center"/>
          </w:tcPr>
          <w:p w14:paraId="36CE56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核心失败、破坏性契约未走 Change、密钥泄露</w:t>
            </w:r>
          </w:p>
        </w:tc>
      </w:tr>
      <w:tr w14:paraId="1DCA5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50246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系统测试</w:t>
            </w:r>
          </w:p>
        </w:tc>
        <w:tc>
          <w:tcPr>
            <w:tcW w:w="2433" w:type="dxa"/>
            <w:vAlign w:val="center"/>
          </w:tcPr>
          <w:p w14:paraId="234432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候选可部署，39 FR/117 AC 数据就绪</w:t>
            </w:r>
          </w:p>
        </w:tc>
        <w:tc>
          <w:tcPr>
            <w:tcW w:w="2765" w:type="dxa"/>
            <w:vAlign w:val="center"/>
          </w:tcPr>
          <w:p w14:paraId="732931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117 AC 均有结果；34★全部通过；阻断缺陷清零</w:t>
            </w:r>
          </w:p>
        </w:tc>
        <w:tc>
          <w:tcPr>
            <w:tcW w:w="2544" w:type="dxa"/>
            <w:vAlign w:val="center"/>
          </w:tcPr>
          <w:p w14:paraId="2F8BDF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缺证据、★失败、严重缺陷未关闭</w:t>
            </w:r>
          </w:p>
        </w:tc>
      </w:tr>
      <w:tr w14:paraId="39529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FA290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专项测试</w:t>
            </w:r>
          </w:p>
        </w:tc>
        <w:tc>
          <w:tcPr>
            <w:tcW w:w="2433" w:type="dxa"/>
            <w:vAlign w:val="center"/>
          </w:tcPr>
          <w:p w14:paraId="198C72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环境、数据规模、矩阵和监控已确认</w:t>
            </w:r>
          </w:p>
        </w:tc>
        <w:tc>
          <w:tcPr>
            <w:tcW w:w="2765" w:type="dxa"/>
            <w:vAlign w:val="center"/>
          </w:tcPr>
          <w:p w14:paraId="28C7EE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PE/NFR 逐项证据完整；高危漏洞为0；恢复通过</w:t>
            </w:r>
          </w:p>
        </w:tc>
        <w:tc>
          <w:tcPr>
            <w:tcW w:w="2544" w:type="dxa"/>
            <w:vAlign w:val="center"/>
          </w:tcPr>
          <w:p w14:paraId="5B12BE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环境不等价、指标失败、高危未清零、恢复失败</w:t>
            </w:r>
          </w:p>
        </w:tc>
      </w:tr>
      <w:tr w14:paraId="33FF0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2895A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发布/验收</w:t>
            </w:r>
          </w:p>
        </w:tc>
        <w:tc>
          <w:tcPr>
            <w:tcW w:w="2433" w:type="dxa"/>
            <w:vAlign w:val="center"/>
          </w:tcPr>
          <w:p w14:paraId="6439DD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RTM、测试、缺陷、部署和交付物版本一致</w:t>
            </w:r>
          </w:p>
        </w:tc>
        <w:tc>
          <w:tcPr>
            <w:tcW w:w="2765" w:type="dxa"/>
            <w:vAlign w:val="center"/>
          </w:tcPr>
          <w:p w14:paraId="3395F2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甲方签认或明确遗留/偏差，无静默豁免</w:t>
            </w:r>
          </w:p>
        </w:tc>
        <w:tc>
          <w:tcPr>
            <w:tcW w:w="2544" w:type="dxa"/>
            <w:vAlign w:val="center"/>
          </w:tcPr>
          <w:p w14:paraId="0C54C0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OPEN 阻断、交付不全、真实联调/验收证据缺失</w:t>
            </w:r>
          </w:p>
        </w:tc>
      </w:tr>
    </w:tbl>
    <w:p w14:paraId="5B3D4C19">
      <w:pPr>
        <w:pStyle w:val="2"/>
        <w:keepNext/>
      </w:pPr>
      <w:r>
        <w:rPr>
          <w:rFonts w:ascii="Times New Roman" w:hAnsi="Times New Roman" w:eastAsia="黑体"/>
          <w:b/>
        </w:rPr>
        <w:t>7 质量度量与报告</w:t>
      </w:r>
    </w:p>
    <w:p w14:paraId="7A41BA5C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7-1 质量度量字典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63F3F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503357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度量</w:t>
            </w:r>
          </w:p>
        </w:tc>
        <w:tc>
          <w:tcPr>
            <w:tcW w:w="2433" w:type="dxa"/>
            <w:vAlign w:val="center"/>
          </w:tcPr>
          <w:p w14:paraId="0E1F55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计算/统计口径</w:t>
            </w:r>
          </w:p>
        </w:tc>
        <w:tc>
          <w:tcPr>
            <w:tcW w:w="2765" w:type="dxa"/>
            <w:vAlign w:val="center"/>
          </w:tcPr>
          <w:p w14:paraId="1F1F48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目标或触发器</w:t>
            </w:r>
          </w:p>
        </w:tc>
        <w:tc>
          <w:tcPr>
            <w:tcW w:w="2544" w:type="dxa"/>
            <w:vAlign w:val="center"/>
          </w:tcPr>
          <w:p w14:paraId="19606F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数据源与责任</w:t>
            </w:r>
          </w:p>
        </w:tc>
      </w:tr>
      <w:tr w14:paraId="71A9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F48FD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 追踪覆盖</w:t>
            </w:r>
          </w:p>
        </w:tc>
        <w:tc>
          <w:tcPr>
            <w:tcW w:w="2433" w:type="dxa"/>
            <w:vAlign w:val="center"/>
          </w:tcPr>
          <w:p w14:paraId="167DF4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已有完整正反向链的 FR / 39</w:t>
            </w:r>
          </w:p>
        </w:tc>
        <w:tc>
          <w:tcPr>
            <w:tcW w:w="2765" w:type="dxa"/>
            <w:vAlign w:val="center"/>
          </w:tcPr>
          <w:p w14:paraId="252A4D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39/39；缺 1 条即阻断</w:t>
            </w:r>
          </w:p>
        </w:tc>
        <w:tc>
          <w:tcPr>
            <w:tcW w:w="2544" w:type="dxa"/>
            <w:vAlign w:val="center"/>
          </w:tcPr>
          <w:p w14:paraId="667090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RTM；C</w:t>
            </w:r>
          </w:p>
        </w:tc>
      </w:tr>
      <w:tr w14:paraId="5E3E7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962F8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AC 结果覆盖</w:t>
            </w:r>
          </w:p>
        </w:tc>
        <w:tc>
          <w:tcPr>
            <w:tcW w:w="2433" w:type="dxa"/>
            <w:vAlign w:val="center"/>
          </w:tcPr>
          <w:p w14:paraId="634F57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有 PASS/FAIL/BLOCKED/NOT_RUN 结果的 AC / 117</w:t>
            </w:r>
          </w:p>
        </w:tc>
        <w:tc>
          <w:tcPr>
            <w:tcW w:w="2765" w:type="dxa"/>
            <w:vAlign w:val="center"/>
          </w:tcPr>
          <w:p w14:paraId="6FE598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系统准出时 117/117 有结果</w:t>
            </w:r>
          </w:p>
        </w:tc>
        <w:tc>
          <w:tcPr>
            <w:tcW w:w="2544" w:type="dxa"/>
            <w:vAlign w:val="center"/>
          </w:tcPr>
          <w:p w14:paraId="41A8A2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测试结果；C</w:t>
            </w:r>
          </w:p>
        </w:tc>
      </w:tr>
      <w:tr w14:paraId="1D22B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98A87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★通过</w:t>
            </w:r>
          </w:p>
        </w:tc>
        <w:tc>
          <w:tcPr>
            <w:tcW w:w="2433" w:type="dxa"/>
            <w:vAlign w:val="center"/>
          </w:tcPr>
          <w:p w14:paraId="6EBAF1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已通过且有证据的★AC / 102</w:t>
            </w:r>
          </w:p>
        </w:tc>
        <w:tc>
          <w:tcPr>
            <w:tcW w:w="2765" w:type="dxa"/>
            <w:vAlign w:val="center"/>
          </w:tcPr>
          <w:p w14:paraId="1DE4A3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发布/验收候选须 102/102</w:t>
            </w:r>
          </w:p>
        </w:tc>
        <w:tc>
          <w:tcPr>
            <w:tcW w:w="2544" w:type="dxa"/>
            <w:vAlign w:val="center"/>
          </w:tcPr>
          <w:p w14:paraId="7CE3BC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RTM/测试；C、复核人</w:t>
            </w:r>
          </w:p>
        </w:tc>
      </w:tr>
      <w:tr w14:paraId="0D8C9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F7D2B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功能验收通过率</w:t>
            </w:r>
          </w:p>
        </w:tc>
        <w:tc>
          <w:tcPr>
            <w:tcW w:w="2433" w:type="dxa"/>
            <w:vAlign w:val="center"/>
          </w:tcPr>
          <w:p w14:paraId="7C0A19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通过的功能验收用例 / 应执行用例</w:t>
            </w:r>
          </w:p>
        </w:tc>
        <w:tc>
          <w:tcPr>
            <w:tcW w:w="2765" w:type="dxa"/>
            <w:vAlign w:val="center"/>
          </w:tcPr>
          <w:p w14:paraId="16E0CC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w="2544" w:type="dxa"/>
            <w:vAlign w:val="center"/>
          </w:tcPr>
          <w:p w14:paraId="46E260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验收测试；A 组织</w:t>
            </w:r>
          </w:p>
        </w:tc>
      </w:tr>
      <w:tr w14:paraId="540EE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09373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核心单测覆盖率</w:t>
            </w:r>
          </w:p>
        </w:tc>
        <w:tc>
          <w:tcPr>
            <w:tcW w:w="2433" w:type="dxa"/>
            <w:vAlign w:val="center"/>
          </w:tcPr>
          <w:p w14:paraId="5C851C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核心模块覆盖行/分支按工具原始口径分别报告</w:t>
            </w:r>
          </w:p>
        </w:tc>
        <w:tc>
          <w:tcPr>
            <w:tcW w:w="2765" w:type="dxa"/>
            <w:vAlign w:val="center"/>
          </w:tcPr>
          <w:p w14:paraId="1380B6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不低于70%，不得混合口径</w:t>
            </w:r>
          </w:p>
        </w:tc>
        <w:tc>
          <w:tcPr>
            <w:tcW w:w="2544" w:type="dxa"/>
            <w:vAlign w:val="center"/>
          </w:tcPr>
          <w:p w14:paraId="0AA789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CI；B</w:t>
            </w:r>
          </w:p>
        </w:tc>
      </w:tr>
      <w:tr w14:paraId="79B0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9C075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缺陷状态</w:t>
            </w:r>
          </w:p>
        </w:tc>
        <w:tc>
          <w:tcPr>
            <w:tcW w:w="2433" w:type="dxa"/>
            <w:vAlign w:val="center"/>
          </w:tcPr>
          <w:p w14:paraId="49FEF7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按严重度统计 OPEN/RESOLVED/CLOSED，不以总数掩盖高等级项</w:t>
            </w:r>
          </w:p>
        </w:tc>
        <w:tc>
          <w:tcPr>
            <w:tcW w:w="2765" w:type="dxa"/>
            <w:vAlign w:val="center"/>
          </w:tcPr>
          <w:p w14:paraId="62B830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阻断和严重项未关闭则不准出</w:t>
            </w:r>
          </w:p>
        </w:tc>
        <w:tc>
          <w:tcPr>
            <w:tcW w:w="2544" w:type="dxa"/>
            <w:vAlign w:val="center"/>
          </w:tcPr>
          <w:p w14:paraId="19C6F2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Issue/缺陷库；主责与复核人</w:t>
            </w:r>
          </w:p>
        </w:tc>
      </w:tr>
      <w:tr w14:paraId="0B08A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342CF9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PE/NFR 达标</w:t>
            </w:r>
          </w:p>
        </w:tc>
        <w:tc>
          <w:tcPr>
            <w:tcW w:w="2433" w:type="dxa"/>
            <w:vAlign w:val="center"/>
          </w:tcPr>
          <w:p w14:paraId="33C7E3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每项分别报告目标、样本、环境、实际与结论</w:t>
            </w:r>
          </w:p>
        </w:tc>
        <w:tc>
          <w:tcPr>
            <w:tcW w:w="2765" w:type="dxa"/>
            <w:vAlign w:val="center"/>
          </w:tcPr>
          <w:p w14:paraId="4D0C3A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PE-01—12 不做平均替代</w:t>
            </w:r>
          </w:p>
        </w:tc>
        <w:tc>
          <w:tcPr>
            <w:tcW w:w="2544" w:type="dxa"/>
            <w:vAlign w:val="center"/>
          </w:tcPr>
          <w:p w14:paraId="08889C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性能/专项原始数据；B/C</w:t>
            </w:r>
          </w:p>
        </w:tc>
      </w:tr>
      <w:tr w14:paraId="35C89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52904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安全高危</w:t>
            </w:r>
          </w:p>
        </w:tc>
        <w:tc>
          <w:tcPr>
            <w:tcW w:w="2433" w:type="dxa"/>
            <w:vAlign w:val="center"/>
          </w:tcPr>
          <w:p w14:paraId="52732A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尚未关闭的高危漏洞数量</w:t>
            </w:r>
          </w:p>
        </w:tc>
        <w:tc>
          <w:tcPr>
            <w:tcW w:w="2765" w:type="dxa"/>
            <w:vAlign w:val="center"/>
          </w:tcPr>
          <w:p w14:paraId="6577C9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交付前为0</w:t>
            </w:r>
          </w:p>
        </w:tc>
        <w:tc>
          <w:tcPr>
            <w:tcW w:w="2544" w:type="dxa"/>
            <w:vAlign w:val="center"/>
          </w:tcPr>
          <w:p w14:paraId="227DF7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扫描/渗透/复测；B</w:t>
            </w:r>
          </w:p>
        </w:tc>
      </w:tr>
      <w:tr w14:paraId="700AA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6E6CD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文档合格</w:t>
            </w:r>
          </w:p>
        </w:tc>
        <w:tc>
          <w:tcPr>
            <w:tcW w:w="2433" w:type="dxa"/>
            <w:vAlign w:val="center"/>
          </w:tcPr>
          <w:p w14:paraId="621D03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内容镜像、编号/引用、全页渲染、案例隔离检查</w:t>
            </w:r>
          </w:p>
        </w:tc>
        <w:tc>
          <w:tcPr>
            <w:tcW w:w="2765" w:type="dxa"/>
            <w:vAlign w:val="center"/>
          </w:tcPr>
          <w:p w14:paraId="13EA99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任一正式件准出前全部 PASS</w:t>
            </w:r>
          </w:p>
        </w:tc>
        <w:tc>
          <w:tcPr>
            <w:tcW w:w="2544" w:type="dxa"/>
            <w:vAlign w:val="center"/>
          </w:tcPr>
          <w:p w14:paraId="500E0E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Review/QA；各主责与复核人</w:t>
            </w:r>
          </w:p>
        </w:tc>
      </w:tr>
    </w:tbl>
    <w:p w14:paraId="36E2E5D6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质量报告按版本和阶段汇总 PASS、FAIL、BLOCKED、NOT_RUN，不只报告平均通过率。★失败、开放阻断、PE 未测、外部接口缺证据和安全高危必须单列。度量用于发现问题，不能通过删样本、改分母或隐藏失败使结果“变好”。</w:t>
      </w:r>
    </w:p>
    <w:p w14:paraId="5C511354">
      <w:pPr>
        <w:pStyle w:val="2"/>
        <w:keepNext/>
      </w:pPr>
      <w:r>
        <w:rPr>
          <w:rFonts w:ascii="Times New Roman" w:hAnsi="Times New Roman" w:eastAsia="黑体"/>
          <w:b/>
        </w:rPr>
        <w:t>8 PE-01—PE-12 质量证据控制</w:t>
      </w:r>
    </w:p>
    <w:p w14:paraId="0871F7A2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8-1 PE 指标、证据与质量判定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70246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3E64F5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w="2433" w:type="dxa"/>
            <w:vAlign w:val="center"/>
          </w:tcPr>
          <w:p w14:paraId="4D077F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受控目标</w:t>
            </w:r>
          </w:p>
        </w:tc>
        <w:tc>
          <w:tcPr>
            <w:tcW w:w="2765" w:type="dxa"/>
            <w:vAlign w:val="center"/>
          </w:tcPr>
          <w:p w14:paraId="0DCD85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必要证据</w:t>
            </w:r>
          </w:p>
        </w:tc>
        <w:tc>
          <w:tcPr>
            <w:tcW w:w="2544" w:type="dxa"/>
            <w:vAlign w:val="center"/>
          </w:tcPr>
          <w:p w14:paraId="00B690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当前质量状态</w:t>
            </w:r>
          </w:p>
        </w:tc>
      </w:tr>
      <w:tr w14:paraId="2484E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9BADB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PE-01</w:t>
            </w:r>
          </w:p>
        </w:tc>
        <w:tc>
          <w:tcPr>
            <w:tcW w:w="2433" w:type="dxa"/>
            <w:vAlign w:val="center"/>
          </w:tcPr>
          <w:p w14:paraId="453DDB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预案启动通知与任务下发≤3秒</w:t>
            </w:r>
          </w:p>
        </w:tc>
        <w:tc>
          <w:tcPr>
            <w:tcW w:w="2765" w:type="dxa"/>
            <w:vAlign w:val="center"/>
          </w:tcPr>
          <w:p w14:paraId="566E5A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同一 traceId 起止时间、环境、失败样本</w:t>
            </w:r>
          </w:p>
        </w:tc>
        <w:tc>
          <w:tcPr>
            <w:tcW w:w="2544" w:type="dxa"/>
            <w:vAlign w:val="center"/>
          </w:tcPr>
          <w:p w14:paraId="69DDAC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待实现/待测</w:t>
            </w:r>
          </w:p>
        </w:tc>
      </w:tr>
      <w:tr w14:paraId="73EC2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17164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PE-02</w:t>
            </w:r>
          </w:p>
        </w:tc>
        <w:tc>
          <w:tcPr>
            <w:tcW w:w="2433" w:type="dxa"/>
            <w:vAlign w:val="center"/>
          </w:tcPr>
          <w:p w14:paraId="63A6A1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告警接入响应≤2秒</w:t>
            </w:r>
          </w:p>
        </w:tc>
        <w:tc>
          <w:tcPr>
            <w:tcW w:w="2765" w:type="dxa"/>
            <w:vAlign w:val="center"/>
          </w:tcPr>
          <w:p w14:paraId="4D2B71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源产生/接收/持久化时间与异常率</w:t>
            </w:r>
          </w:p>
        </w:tc>
        <w:tc>
          <w:tcPr>
            <w:tcW w:w="2544" w:type="dxa"/>
            <w:vAlign w:val="center"/>
          </w:tcPr>
          <w:p w14:paraId="7072B2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待目标环境实测</w:t>
            </w:r>
          </w:p>
        </w:tc>
      </w:tr>
      <w:tr w14:paraId="372D3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46AA8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PE-03</w:t>
            </w:r>
          </w:p>
        </w:tc>
        <w:tc>
          <w:tcPr>
            <w:tcW w:w="2433" w:type="dxa"/>
            <w:vAlign w:val="center"/>
          </w:tcPr>
          <w:p w14:paraId="2154A9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事件确认至任务下达≤3分钟</w:t>
            </w:r>
          </w:p>
        </w:tc>
        <w:tc>
          <w:tcPr>
            <w:tcW w:w="2765" w:type="dxa"/>
            <w:vAlign w:val="center"/>
          </w:tcPr>
          <w:p w14:paraId="438906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核实通过至下发记录，含失败样本</w:t>
            </w:r>
          </w:p>
        </w:tc>
        <w:tc>
          <w:tcPr>
            <w:tcW w:w="2544" w:type="dxa"/>
            <w:vAlign w:val="center"/>
          </w:tcPr>
          <w:p w14:paraId="64110E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待实现/待测</w:t>
            </w:r>
          </w:p>
        </w:tc>
      </w:tr>
      <w:tr w14:paraId="34921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B1AAB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PE-04</w:t>
            </w:r>
          </w:p>
        </w:tc>
        <w:tc>
          <w:tcPr>
            <w:tcW w:w="2433" w:type="dxa"/>
            <w:vAlign w:val="center"/>
          </w:tcPr>
          <w:p w14:paraId="0D2B30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消息并行≥20路且到达率≥99%</w:t>
            </w:r>
          </w:p>
        </w:tc>
        <w:tc>
          <w:tcPr>
            <w:tcW w:w="2765" w:type="dxa"/>
            <w:vAlign w:val="center"/>
          </w:tcPr>
          <w:p w14:paraId="68F5BB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批量请求、尝试、回执、迟到/重复/失败分类</w:t>
            </w:r>
          </w:p>
        </w:tc>
        <w:tc>
          <w:tcPr>
            <w:tcW w:w="2544" w:type="dxa"/>
            <w:vAlign w:val="center"/>
          </w:tcPr>
          <w:p w14:paraId="4E6983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ISSUE-G3-01-001 阻断真实结论</w:t>
            </w:r>
          </w:p>
        </w:tc>
      </w:tr>
      <w:tr w14:paraId="08B93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B807F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PE-05</w:t>
            </w:r>
          </w:p>
        </w:tc>
        <w:tc>
          <w:tcPr>
            <w:tcW w:w="2433" w:type="dxa"/>
            <w:vAlign w:val="center"/>
          </w:tcPr>
          <w:p w14:paraId="7B9288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定位刷新≤2秒且不降低亚米级源精度</w:t>
            </w:r>
          </w:p>
        </w:tc>
        <w:tc>
          <w:tcPr>
            <w:tcW w:w="2765" w:type="dxa"/>
            <w:vAlign w:val="center"/>
          </w:tcPr>
          <w:p w14:paraId="5ED762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源/接收/投影/展示时间及精度</w:t>
            </w:r>
          </w:p>
        </w:tc>
        <w:tc>
          <w:tcPr>
            <w:tcW w:w="2544" w:type="dxa"/>
            <w:vAlign w:val="center"/>
          </w:tcPr>
          <w:p w14:paraId="153267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待甲方定位源实测</w:t>
            </w:r>
          </w:p>
        </w:tc>
      </w:tr>
      <w:tr w14:paraId="1A3F4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56C21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PE-06</w:t>
            </w:r>
          </w:p>
        </w:tc>
        <w:tc>
          <w:tcPr>
            <w:tcW w:w="2433" w:type="dxa"/>
            <w:vAlign w:val="center"/>
          </w:tcPr>
          <w:p w14:paraId="552C97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视频首帧≤3秒；既有保存≥30天</w:t>
            </w:r>
          </w:p>
        </w:tc>
        <w:tc>
          <w:tcPr>
            <w:tcW w:w="2765" w:type="dxa"/>
            <w:vAlign w:val="center"/>
          </w:tcPr>
          <w:p w14:paraId="2DBD24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授权调阅计时与甲方既有保存证据</w:t>
            </w:r>
          </w:p>
        </w:tc>
        <w:tc>
          <w:tcPr>
            <w:tcW w:w="2544" w:type="dxa"/>
            <w:vAlign w:val="center"/>
          </w:tcPr>
          <w:p w14:paraId="014BD6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ISSUE-G3-01-001 阻断真实结论</w:t>
            </w:r>
          </w:p>
        </w:tc>
      </w:tr>
      <w:tr w14:paraId="50AC0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108C7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PE-07</w:t>
            </w:r>
          </w:p>
        </w:tc>
        <w:tc>
          <w:tcPr>
            <w:tcW w:w="2433" w:type="dxa"/>
            <w:vAlign w:val="center"/>
          </w:tcPr>
          <w:p w14:paraId="7776BD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 普通页面95%请求≤3秒</w:t>
            </w:r>
          </w:p>
        </w:tc>
        <w:tc>
          <w:tcPr>
            <w:tcW w:w="2765" w:type="dxa"/>
            <w:vAlign w:val="center"/>
          </w:tcPr>
          <w:p w14:paraId="29A66C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目标规模 P50/P95/P99、错误率和资源</w:t>
            </w:r>
          </w:p>
        </w:tc>
        <w:tc>
          <w:tcPr>
            <w:tcW w:w="2544" w:type="dxa"/>
            <w:vAlign w:val="center"/>
          </w:tcPr>
          <w:p w14:paraId="444CD1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  <w:tr w14:paraId="72C57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5EFB15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PE-08</w:t>
            </w:r>
          </w:p>
        </w:tc>
        <w:tc>
          <w:tcPr>
            <w:tcW w:w="2433" w:type="dxa"/>
            <w:vAlign w:val="center"/>
          </w:tcPr>
          <w:p w14:paraId="519B52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地图常规操作≤2秒</w:t>
            </w:r>
          </w:p>
        </w:tc>
        <w:tc>
          <w:tcPr>
            <w:tcW w:w="2765" w:type="dxa"/>
            <w:vAlign w:val="center"/>
          </w:tcPr>
          <w:p w14:paraId="64C137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合法地图服务下缩放/平移/点选计时</w:t>
            </w:r>
          </w:p>
        </w:tc>
        <w:tc>
          <w:tcPr>
            <w:tcW w:w="2544" w:type="dxa"/>
            <w:vAlign w:val="center"/>
          </w:tcPr>
          <w:p w14:paraId="32E584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待甲方地图服务实测</w:t>
            </w:r>
          </w:p>
        </w:tc>
      </w:tr>
      <w:tr w14:paraId="2DE59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588DB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PE-09</w:t>
            </w:r>
          </w:p>
        </w:tc>
        <w:tc>
          <w:tcPr>
            <w:tcW w:w="2433" w:type="dxa"/>
            <w:vAlign w:val="center"/>
          </w:tcPr>
          <w:p w14:paraId="5026AF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扫码打卡写入/回传≤1秒</w:t>
            </w:r>
          </w:p>
        </w:tc>
        <w:tc>
          <w:tcPr>
            <w:tcW w:w="2765" w:type="dxa"/>
            <w:vAlign w:val="center"/>
          </w:tcPr>
          <w:p w14:paraId="558E50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有效、过期、越界、重复样本计时</w:t>
            </w:r>
          </w:p>
        </w:tc>
        <w:tc>
          <w:tcPr>
            <w:tcW w:w="2544" w:type="dxa"/>
            <w:vAlign w:val="center"/>
          </w:tcPr>
          <w:p w14:paraId="2B1CA5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  <w:tr w14:paraId="222CF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276525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PE-10</w:t>
            </w:r>
          </w:p>
        </w:tc>
        <w:tc>
          <w:tcPr>
            <w:tcW w:w="2433" w:type="dxa"/>
            <w:vAlign w:val="center"/>
          </w:tcPr>
          <w:p w14:paraId="538DA2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安防刷新≤30秒；应急信息默认刷新≤60秒</w:t>
            </w:r>
          </w:p>
        </w:tc>
        <w:tc>
          <w:tcPr>
            <w:tcW w:w="2765" w:type="dxa"/>
            <w:vAlign w:val="center"/>
          </w:tcPr>
          <w:p w14:paraId="084F6D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源事件至投影时间、配置及失败样本</w:t>
            </w:r>
          </w:p>
        </w:tc>
        <w:tc>
          <w:tcPr>
            <w:tcW w:w="2544" w:type="dxa"/>
            <w:vAlign w:val="center"/>
          </w:tcPr>
          <w:p w14:paraId="1DBFBD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待联调/待测</w:t>
            </w:r>
          </w:p>
        </w:tc>
      </w:tr>
      <w:tr w14:paraId="19536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D9ABC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PE-11</w:t>
            </w:r>
          </w:p>
        </w:tc>
        <w:tc>
          <w:tcPr>
            <w:tcW w:w="2433" w:type="dxa"/>
            <w:vAlign w:val="center"/>
          </w:tcPr>
          <w:p w14:paraId="7CF1CA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峰值在线用户≥100</w:t>
            </w:r>
          </w:p>
        </w:tc>
        <w:tc>
          <w:tcPr>
            <w:tcW w:w="2765" w:type="dxa"/>
            <w:vAlign w:val="center"/>
          </w:tcPr>
          <w:p w14:paraId="1148E4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≥100用户成功率、P95/P99、错误与资源</w:t>
            </w:r>
          </w:p>
        </w:tc>
        <w:tc>
          <w:tcPr>
            <w:tcW w:w="2544" w:type="dxa"/>
            <w:vAlign w:val="center"/>
          </w:tcPr>
          <w:p w14:paraId="0A0CD0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  <w:tr w14:paraId="22AAC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51B03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PE-12</w:t>
            </w:r>
          </w:p>
        </w:tc>
        <w:tc>
          <w:tcPr>
            <w:tcW w:w="2433" w:type="dxa"/>
            <w:vAlign w:val="center"/>
          </w:tcPr>
          <w:p w14:paraId="2467AD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一年期统计报表≤5秒</w:t>
            </w:r>
          </w:p>
        </w:tc>
        <w:tc>
          <w:tcPr>
            <w:tcW w:w="2765" w:type="dxa"/>
            <w:vAlign w:val="center"/>
          </w:tcPr>
          <w:p w14:paraId="2BACFF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一年期受控数据、授权过滤与一致性</w:t>
            </w:r>
          </w:p>
        </w:tc>
        <w:tc>
          <w:tcPr>
            <w:tcW w:w="2544" w:type="dxa"/>
            <w:vAlign w:val="center"/>
          </w:tcPr>
          <w:p w14:paraId="368D19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待压测</w:t>
            </w:r>
          </w:p>
        </w:tc>
      </w:tr>
    </w:tbl>
    <w:p w14:paraId="29F7A7F7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任何 PE 结论必须记录版本、环境、数据规模、脚本、轮次、时间同步、原始输出、分位值、错误率和资源使用。环境或数据规模不等价时只能给出参考结果；不得把平均值、单次成功、桩测或文档检查写成达标。</w:t>
      </w:r>
    </w:p>
    <w:p w14:paraId="0BC85448">
      <w:pPr>
        <w:pStyle w:val="2"/>
        <w:keepNext/>
      </w:pPr>
      <w:r>
        <w:rPr>
          <w:rFonts w:ascii="Times New Roman" w:hAnsi="Times New Roman" w:eastAsia="黑体"/>
          <w:b/>
        </w:rPr>
        <w:t>9 文档、AI 与证据质量</w:t>
      </w:r>
    </w:p>
    <w:p w14:paraId="5F8050F5">
      <w:pPr>
        <w:pStyle w:val="3"/>
        <w:keepNext/>
      </w:pPr>
      <w:r>
        <w:rPr>
          <w:rFonts w:ascii="Times New Roman" w:hAnsi="Times New Roman" w:eastAsia="黑体"/>
          <w:b/>
        </w:rPr>
        <w:t>9.1 正式文档质量</w:t>
      </w:r>
    </w:p>
    <w:p w14:paraId="204CF354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正式文档遵循“工作稿 → 唯一 Reference 物理副本 → 内容映射 → 编号/题注/引用检查 → 全页渲染 → Review”。每个业务表/图有唯一题注；目录页码按最终渲染核对；不得残留教学案例事实。渲染缓存完成 QA 后删除，只保留方法、页数、缺陷与修复结论。</w:t>
      </w:r>
    </w:p>
    <w:p w14:paraId="460D8FFF">
      <w:pPr>
        <w:pStyle w:val="3"/>
        <w:keepNext/>
      </w:pPr>
      <w:r>
        <w:rPr>
          <w:rFonts w:ascii="Times New Roman" w:hAnsi="Times New Roman" w:eastAsia="黑体"/>
          <w:b/>
        </w:rPr>
        <w:t>9.2 AI 辅助质量</w:t>
      </w:r>
    </w:p>
    <w:p w14:paraId="71C8D841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AI 输出必须回指受控来源并经人类主责/复核流程验证；Prompt 与最终输出按角色日志留痕。不得记录隐藏推理，不得把自动检查写成人工结论，不得用 AI 补造自然人、签章、真实接口、测试或验收证据。AI 生成或修改的代码、文档、图和测试均按同一门禁接受检查。</w:t>
      </w:r>
    </w:p>
    <w:p w14:paraId="71CE35B3">
      <w:pPr>
        <w:pStyle w:val="3"/>
        <w:keepNext/>
      </w:pPr>
      <w:r>
        <w:rPr>
          <w:rFonts w:ascii="Times New Roman" w:hAnsi="Times New Roman" w:eastAsia="黑体"/>
          <w:b/>
        </w:rPr>
        <w:t>9.3 证据最小字段</w:t>
      </w:r>
    </w:p>
    <w:p w14:paraId="3A5E2BFB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9-1 单项质量证据最小字段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4820B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vAlign w:val="center"/>
          </w:tcPr>
          <w:p w14:paraId="3CB15B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tcW w:w="6804" w:type="dxa"/>
            <w:vAlign w:val="center"/>
          </w:tcPr>
          <w:p w14:paraId="3AEC29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要求</w:t>
            </w:r>
          </w:p>
        </w:tc>
      </w:tr>
      <w:tr w14:paraId="74B21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A79CC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标识</w:t>
            </w:r>
          </w:p>
        </w:tc>
        <w:tc>
          <w:tcPr>
            <w:tcW w:w="6804" w:type="dxa"/>
            <w:vAlign w:val="center"/>
          </w:tcPr>
          <w:p w14:paraId="25C4C5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Task、FR/AC/PE/设计/测试/缺陷 ID 可回指</w:t>
            </w:r>
          </w:p>
        </w:tc>
      </w:tr>
      <w:tr w14:paraId="002D7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4C86A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版本</w:t>
            </w:r>
          </w:p>
        </w:tc>
        <w:tc>
          <w:tcPr>
            <w:tcW w:w="6804" w:type="dxa"/>
            <w:vAlign w:val="center"/>
          </w:tcPr>
          <w:p w14:paraId="150DBD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commit、构建、迁移、OpenAPI、配置与文档版本</w:t>
            </w:r>
          </w:p>
        </w:tc>
      </w:tr>
      <w:tr w14:paraId="03D29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AD8C1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环境与数据</w:t>
            </w:r>
          </w:p>
        </w:tc>
        <w:tc>
          <w:tcPr>
            <w:tcW w:w="6804" w:type="dxa"/>
            <w:vAlign w:val="center"/>
          </w:tcPr>
          <w:p w14:paraId="12B0BD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主机/容器、浏览器/H5、外部版本、账号角色、数据集规模和脱敏方式</w:t>
            </w:r>
          </w:p>
        </w:tc>
      </w:tr>
      <w:tr w14:paraId="6AD84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C2970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执行</w:t>
            </w:r>
          </w:p>
        </w:tc>
        <w:tc>
          <w:tcPr>
            <w:tcW w:w="6804" w:type="dxa"/>
            <w:vAlign w:val="center"/>
          </w:tcPr>
          <w:p w14:paraId="4E14AD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操作者、时间、步骤/脚本、轮次和工具</w:t>
            </w:r>
          </w:p>
        </w:tc>
      </w:tr>
      <w:tr w14:paraId="61A93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AB583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</w:t>
            </w:r>
          </w:p>
        </w:tc>
        <w:tc>
          <w:tcPr>
            <w:tcW w:w="6804" w:type="dxa"/>
            <w:vAlign w:val="center"/>
          </w:tcPr>
          <w:p w14:paraId="52D74B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期望、实际、原始输出、截图/日志/回执索引和统计口径</w:t>
            </w:r>
          </w:p>
        </w:tc>
      </w:tr>
      <w:tr w14:paraId="0D16D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D7562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结论</w:t>
            </w:r>
          </w:p>
        </w:tc>
        <w:tc>
          <w:tcPr>
            <w:tcW w:w="6804" w:type="dxa"/>
            <w:vAlign w:val="center"/>
          </w:tcPr>
          <w:p w14:paraId="3E63A6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PASS/FAIL/BLOCKED/NOT_RUN；失败关联缺陷，关闭关联复测</w:t>
            </w:r>
          </w:p>
        </w:tc>
      </w:tr>
    </w:tbl>
    <w:p w14:paraId="27ABF8B2">
      <w:pPr>
        <w:pStyle w:val="2"/>
        <w:keepNext/>
      </w:pPr>
      <w:r>
        <w:rPr>
          <w:rFonts w:ascii="Times New Roman" w:hAnsi="Times New Roman" w:eastAsia="黑体"/>
          <w:b/>
        </w:rPr>
        <w:t>10 不符合、纠正与持续改进</w:t>
      </w:r>
    </w:p>
    <w:p w14:paraId="6F92E81C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发现不符合后先隔离受影响制品和准出结论，再登记 Issue/缺陷、分析直接原因与系统原因、确定责任人和影响集、实施纠正、回归验证并由复核人关闭。涉及冻结需求、范围、数字、责任或验收强度的纠正必须进入 Change；不得借“质量改进”新增需求外承诺。</w:t>
      </w:r>
    </w:p>
    <w:p w14:paraId="12E47E99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每个里程碑复盘至少检查：重复缺陷、遗漏来源、晚发现问题、不可复现证据、门禁误判和工具失败。改进动作必须具有责任人、触发条件、验证方式和适用任务；没有验证结果的动作保持 OPEN，不写成已经生效。</w:t>
      </w:r>
    </w:p>
    <w:p w14:paraId="786B55C4">
      <w:pPr>
        <w:pStyle w:val="2"/>
        <w:keepNext/>
      </w:pPr>
      <w:r>
        <w:rPr>
          <w:rFonts w:ascii="Times New Roman" w:hAnsi="Times New Roman" w:eastAsia="黑体"/>
          <w:b/>
        </w:rPr>
        <w:t>11 开放事项与本计划准出</w:t>
      </w:r>
    </w:p>
    <w:p w14:paraId="33121FB1"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11-1 开放事项与影响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2433"/>
        <w:gridCol w:w="2765"/>
        <w:gridCol w:w="2544"/>
      </w:tblGrid>
      <w:tr w14:paraId="79615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7" w:type="dxa"/>
            <w:vAlign w:val="center"/>
          </w:tcPr>
          <w:p w14:paraId="14EEC2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事项</w:t>
            </w:r>
          </w:p>
        </w:tc>
        <w:tc>
          <w:tcPr>
            <w:tcW w:w="2433" w:type="dxa"/>
            <w:vAlign w:val="center"/>
          </w:tcPr>
          <w:p w14:paraId="1EB507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当前状态</w:t>
            </w:r>
          </w:p>
        </w:tc>
        <w:tc>
          <w:tcPr>
            <w:tcW w:w="2765" w:type="dxa"/>
            <w:vAlign w:val="center"/>
          </w:tcPr>
          <w:p w14:paraId="2F312B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对 G3-12 的影响</w:t>
            </w:r>
          </w:p>
        </w:tc>
        <w:tc>
          <w:tcPr>
            <w:tcW w:w="2544" w:type="dxa"/>
            <w:vAlign w:val="center"/>
          </w:tcPr>
          <w:p w14:paraId="778DDB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对后续门禁的影响</w:t>
            </w:r>
          </w:p>
        </w:tc>
      </w:tr>
      <w:tr w14:paraId="1A72C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79CB9A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ISSUE-G3-01-001</w:t>
            </w:r>
          </w:p>
        </w:tc>
        <w:tc>
          <w:tcPr>
            <w:tcW w:w="2433" w:type="dxa"/>
            <w:vAlign w:val="center"/>
          </w:tcPr>
          <w:p w14:paraId="084767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OPEN</w:t>
            </w:r>
          </w:p>
        </w:tc>
        <w:tc>
          <w:tcPr>
            <w:tcW w:w="2765" w:type="dxa"/>
            <w:vAlign w:val="center"/>
          </w:tcPr>
          <w:p w14:paraId="5FAA39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不阻断质量规则成稿</w:t>
            </w:r>
          </w:p>
        </w:tc>
        <w:tc>
          <w:tcPr>
            <w:tcW w:w="2544" w:type="dxa"/>
            <w:vAlign w:val="center"/>
          </w:tcPr>
          <w:p w14:paraId="60E2CA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阻断视频/消息真实联调、PE-04/06结论和 M3 冻结</w:t>
            </w:r>
          </w:p>
        </w:tc>
      </w:tr>
      <w:tr w14:paraId="75DBD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666E90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ISSUE-G3-10-001</w:t>
            </w:r>
          </w:p>
        </w:tc>
        <w:tc>
          <w:tcPr>
            <w:tcW w:w="2433" w:type="dxa"/>
            <w:vAlign w:val="center"/>
          </w:tcPr>
          <w:p w14:paraId="572130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OPEN / BLOCKING</w:t>
            </w:r>
          </w:p>
        </w:tc>
        <w:tc>
          <w:tcPr>
            <w:tcW w:w="2765" w:type="dxa"/>
            <w:vAlign w:val="center"/>
          </w:tcPr>
          <w:p w14:paraId="05FF2E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本计划可进入 REVIEW</w:t>
            </w:r>
          </w:p>
        </w:tc>
        <w:tc>
          <w:tcPr>
            <w:tcW w:w="2544" w:type="dxa"/>
            <w:vAlign w:val="center"/>
          </w:tcPr>
          <w:p w14:paraId="371722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在外部证据与 G3-11—14 门禁满足前不得冻结 M3</w:t>
            </w:r>
          </w:p>
        </w:tc>
      </w:tr>
      <w:tr w14:paraId="7023C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1BD591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地图坐标系、H5宿主矩阵、RPO</w:t>
            </w:r>
          </w:p>
        </w:tc>
        <w:tc>
          <w:tcPr>
            <w:tcW w:w="2433" w:type="dxa"/>
            <w:vAlign w:val="center"/>
          </w:tcPr>
          <w:p w14:paraId="0B6B8C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【待人工确认】</w:t>
            </w:r>
          </w:p>
        </w:tc>
        <w:tc>
          <w:tcPr>
            <w:tcW w:w="2765" w:type="dxa"/>
            <w:vAlign w:val="center"/>
          </w:tcPr>
          <w:p w14:paraId="4AAF86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在本计划保留证据要求</w:t>
            </w:r>
          </w:p>
        </w:tc>
        <w:tc>
          <w:tcPr>
            <w:tcW w:w="2544" w:type="dxa"/>
            <w:vAlign w:val="center"/>
          </w:tcPr>
          <w:p w14:paraId="188723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阻断对应物理配置或验收组合冻结</w:t>
            </w:r>
          </w:p>
        </w:tc>
      </w:tr>
      <w:tr w14:paraId="28E9F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vAlign w:val="center"/>
          </w:tcPr>
          <w:p w14:paraId="04C115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G3-12 B 复核</w:t>
            </w:r>
          </w:p>
        </w:tc>
        <w:tc>
          <w:tcPr>
            <w:tcW w:w="2433" w:type="dxa"/>
            <w:vAlign w:val="center"/>
          </w:tcPr>
          <w:p w14:paraId="4E65D7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PENDING</w:t>
            </w:r>
          </w:p>
        </w:tc>
        <w:tc>
          <w:tcPr>
            <w:tcW w:w="2765" w:type="dxa"/>
            <w:vAlign w:val="center"/>
          </w:tcPr>
          <w:p w14:paraId="35342F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G3-12 只能进入 REVIEW</w:t>
            </w:r>
          </w:p>
        </w:tc>
        <w:tc>
          <w:tcPr>
            <w:tcW w:w="2544" w:type="dxa"/>
            <w:vAlign w:val="center"/>
          </w:tcPr>
          <w:p w14:paraId="03DBAF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 通过并关闭问题后方可置 DONE</w:t>
            </w:r>
          </w:p>
        </w:tc>
      </w:tr>
    </w:tbl>
    <w:p w14:paraId="7B98851E"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本计划已覆盖评审、缺陷、度量、阶段门禁、PE-01—PE-12、正式文档、AI 与证据纪律，可提交 B 独立复核。当前结论仅表示质量管理计划候选形成，不表示实现、测试、真实联调、部署、试运行或验收已经完成；也不解除 ISSUE-G3-01-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001、ISSUE-G3-10-001，不冻结 M3。</w:t>
      </w:r>
    </w:p>
    <w:sectPr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376C6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 xml:space="preserve">PAGE</w:instrText>
    </w:r>
    <w:r>
      <w:rPr>
        <w:rFonts w:eastAsia="宋体"/>
        <w:color w:val="000000"/>
        <w:sz w:val="18"/>
        <w:szCs w:val="18"/>
      </w:rPr>
      <w:fldChar w:fldCharType="separate"/>
    </w:r>
    <w:r>
      <w:rPr>
        <w:rFonts w:eastAsia="宋体"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0518314"/>
      <w:docPartObj>
        <w:docPartGallery w:val="AutoText"/>
      </w:docPartObj>
    </w:sdtPr>
    <w:sdtContent>
      <w:p w14:paraId="4D20B4FA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BD2860A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2F9A9">
    <w:pPr>
      <w:spacing w:after="60"/>
      <w:jc w:val="center"/>
    </w:pPr>
    <w:r>
      <w:rPr>
        <w:rFonts w:ascii="Times New Roman" w:hAnsi="Times New Roman" w:eastAsia="宋体"/>
        <w:sz w:val="18"/>
      </w:rPr>
      <w:t>某自然博物馆智能运营中心建设项目——应急管理子系统 · 质量管理计划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D1733">
    <w:r>
      <w:rPr>
        <w:rFonts w:ascii="Times New Roman" w:hAnsi="Times New Roman" w:eastAsia="宋体"/>
        <w:sz w:val="18"/>
      </w:rPr>
      <w:t>某自然博物馆智能运营中心建设项目——应急管理子系统 · 质量管理计划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F2212">
    <w:r>
      <w:rPr>
        <w:rFonts w:ascii="Times New Roman" w:hAnsi="Times New Roman" w:eastAsia="宋体"/>
        <w:sz w:val="18"/>
      </w:rPr>
      <w:t>某自然博物馆智能运营中心建设项目——应急管理子系统 · 质量管理计划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322"/>
    <w:rsid w:val="00BB2E90"/>
    <w:rsid w:val="00C93322"/>
    <w:rsid w:val="00ED4417"/>
    <w:rsid w:val="2150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cs="Times New Roman" w:eastAsiaTheme="minorEastAsia"/>
      <w:color w:val="000000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cs="Times New Roman" w:eastAsiaTheme="minorEastAsia"/>
      <w:color w:val="000000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000000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3"/>
    <w:semiHidden/>
    <w:unhideWhenUsed/>
    <w:qFormat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footnote text"/>
    <w:link w:val="22"/>
    <w:semiHidden/>
    <w:unhideWhenUsed/>
    <w:qFormat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Title"/>
    <w:qFormat/>
    <w:uiPriority w:val="10"/>
    <w:rPr>
      <w:rFonts w:ascii="Times New Roman" w:hAnsi="Times New Roman" w:cs="Times New Roman" w:eastAsiaTheme="minorEastAsia"/>
      <w:color w:val="000000"/>
      <w:sz w:val="56"/>
      <w:szCs w:val="56"/>
      <w:lang w:val="en-US" w:eastAsia="zh-CN" w:bidi="ar-SA"/>
    </w:rPr>
  </w:style>
  <w:style w:type="character" w:styleId="17">
    <w:name w:val="endnote reference"/>
    <w:semiHidden/>
    <w:unhideWhenUsed/>
    <w:uiPriority w:val="99"/>
    <w:rPr>
      <w:color w:val="000000"/>
      <w:vertAlign w:val="superscript"/>
    </w:rPr>
  </w:style>
  <w:style w:type="character" w:styleId="18">
    <w:name w:val="Hyperlink"/>
    <w:unhideWhenUsed/>
    <w:uiPriority w:val="99"/>
    <w:rPr>
      <w:color w:val="000000"/>
      <w:u w:val="single"/>
    </w:rPr>
  </w:style>
  <w:style w:type="character" w:styleId="19">
    <w:name w:val="footnote reference"/>
    <w:semiHidden/>
    <w:unhideWhenUsed/>
    <w:uiPriority w:val="99"/>
    <w:rPr>
      <w:color w:val="000000"/>
      <w:vertAlign w:val="superscript"/>
    </w:rPr>
  </w:style>
  <w:style w:type="paragraph" w:customStyle="1" w:styleId="20">
    <w:name w:val="要点1"/>
    <w:qFormat/>
    <w:uiPriority w:val="0"/>
    <w:rPr>
      <w:rFonts w:ascii="Times New Roman" w:hAnsi="Times New Roman" w:cs="Times New Roman" w:eastAsiaTheme="minorEastAsia"/>
      <w:b/>
      <w:bCs/>
      <w:color w:val="000000"/>
      <w:lang w:val="en-US" w:eastAsia="zh-CN" w:bidi="ar-SA"/>
    </w:rPr>
  </w:style>
  <w:style w:type="paragraph" w:styleId="21">
    <w:name w:val="List Paragraph"/>
    <w:qFormat/>
    <w:uiPriority w:val="0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customStyle="1" w:styleId="22">
    <w:name w:val="脚注文本 字符"/>
    <w:link w:val="12"/>
    <w:semiHidden/>
    <w:unhideWhenUsed/>
    <w:uiPriority w:val="99"/>
    <w:rPr>
      <w:color w:val="000000"/>
      <w:sz w:val="20"/>
      <w:szCs w:val="20"/>
    </w:rPr>
  </w:style>
  <w:style w:type="character" w:customStyle="1" w:styleId="23">
    <w:name w:val="尾注文本 字符"/>
    <w:link w:val="8"/>
    <w:semiHidden/>
    <w:unhideWhenUsed/>
    <w:qFormat/>
    <w:uiPriority w:val="99"/>
    <w:rPr>
      <w:color w:val="000000"/>
      <w:sz w:val="20"/>
      <w:szCs w:val="20"/>
    </w:rPr>
  </w:style>
  <w:style w:type="character" w:customStyle="1" w:styleId="24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5">
    <w:name w:val="页脚 字符"/>
    <w:basedOn w:val="16"/>
    <w:link w:val="9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403</Words>
  <Characters>493</Characters>
  <Lines>20</Lines>
  <Paragraphs>5</Paragraphs>
  <TotalTime>16</TotalTime>
  <ScaleCrop>false</ScaleCrop>
  <LinksUpToDate>false</LinksUpToDate>
  <CharactersWithSpaces>562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2026-08-26T11:48:00Z</dcterms:created>
  <dc:creator>020202项目组</dc:creator>
  <cp:lastModifiedBy>任俊强</cp:lastModifiedBy>
  <dcterms:modified xsi:type="dcterms:W3CDTF">2026-09-20T02:52:29Z</dcterms:modified>
  <dc:subject>某自然博物馆智能运营中心建设项目——应急管理子系统 G3-12</dc:subject>
  <dc:title>质量管理计划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eyJoZGlkIjoiZDAxNWUzZDUwYTM4NzA3NGMyZDFiMmY2YWVkYzQ0MzkiLCJ1c2VySWQiOiIxNzgzMjc2NDkxIn0=</vt:lpwstr>
  </property>
  <property fmtid="{D5CDD505-2E9C-101B-9397-08002B2CF9AE}" pid="3" name="KSOProductBuildVer">
    <vt:lpwstr>2052-12.1.0.28505</vt:lpwstr>
  </property>
  <property fmtid="{D5CDD505-2E9C-101B-9397-08002B2CF9AE}" pid="4" name="ICV">
    <vt:lpwstr>A3D907459D894BD8A8097AEC3A9B06CE_12</vt:lpwstr>
  </property>
</Properties>
</file>