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FD44C7" w14:textId="77777777" w:rsidR="00E579DC" w:rsidRDefault="00CA04C0">
      <w:pPr>
        <w:spacing w:after="80"/>
        <w:jc w:val="right"/>
      </w:pPr>
      <w:r>
        <w:rPr>
          <w:rFonts w:eastAsia="宋体"/>
          <w:color w:val="000000"/>
          <w:sz w:val="24"/>
        </w:rPr>
        <w:t>文档编号：YJGL-G3-05　　版本号：V0.1（评审稿）</w:t>
      </w:r>
    </w:p>
    <w:p w14:paraId="7F4449E0" w14:textId="77777777" w:rsidR="00E579DC" w:rsidRDefault="00CA04C0">
      <w:pPr>
        <w:spacing w:before="1200" w:after="360"/>
        <w:jc w:val="right"/>
      </w:pPr>
      <w:r>
        <w:rPr>
          <w:rFonts w:eastAsia="宋体"/>
          <w:color w:val="000000"/>
          <w:sz w:val="24"/>
        </w:rPr>
        <w:t>密　　级：内部 · 评审用</w:t>
      </w:r>
    </w:p>
    <w:p w14:paraId="79D3106E" w14:textId="77777777" w:rsidR="00E579DC" w:rsidRDefault="00E579DC">
      <w:pPr>
        <w:spacing w:before="2000" w:after="480"/>
        <w:jc w:val="center"/>
      </w:pPr>
    </w:p>
    <w:p w14:paraId="312A481E" w14:textId="77777777" w:rsidR="00E579DC" w:rsidRDefault="00CA04C0">
      <w:pPr>
        <w:pBdr>
          <w:bottom w:val="single" w:sz="12" w:space="8" w:color="000000"/>
        </w:pBdr>
        <w:spacing w:before="240" w:after="360"/>
        <w:jc w:val="center"/>
      </w:pPr>
      <w:r>
        <w:rPr>
          <w:rFonts w:eastAsia="黑体"/>
          <w:b/>
          <w:color w:val="000000"/>
          <w:sz w:val="44"/>
        </w:rPr>
        <w:t>某自然博物馆智能运营中心建设项目——应急管理子系统</w:t>
      </w:r>
    </w:p>
    <w:p w14:paraId="3E1D7FFD" w14:textId="77777777" w:rsidR="00E579DC" w:rsidRDefault="00CA04C0">
      <w:pPr>
        <w:spacing w:before="520" w:after="200"/>
        <w:jc w:val="center"/>
      </w:pPr>
      <w:r>
        <w:rPr>
          <w:rFonts w:eastAsia="黑体"/>
          <w:b/>
          <w:color w:val="000000"/>
          <w:sz w:val="56"/>
        </w:rPr>
        <w:t>详细设计说明书</w:t>
      </w:r>
    </w:p>
    <w:p w14:paraId="0CC3E5A1" w14:textId="77777777" w:rsidR="00E579DC" w:rsidRDefault="00CA04C0">
      <w:pPr>
        <w:spacing w:after="80"/>
        <w:jc w:val="center"/>
      </w:pPr>
      <w:r>
        <w:rPr>
          <w:rFonts w:eastAsia="楷体"/>
          <w:color w:val="000000"/>
          <w:sz w:val="28"/>
        </w:rPr>
        <w:t>（G3-05 评审稿）</w:t>
      </w:r>
    </w:p>
    <w:p w14:paraId="524D075C" w14:textId="77777777" w:rsidR="00E579DC" w:rsidRDefault="00E579DC">
      <w:pPr>
        <w:spacing w:before="1600" w:after="80"/>
        <w:jc w:val="center"/>
      </w:pPr>
    </w:p>
    <w:p w14:paraId="70204543" w14:textId="77777777" w:rsidR="00E579DC" w:rsidRDefault="00CA04C0" w:rsidP="00E34EE9">
      <w:pPr>
        <w:spacing w:after="200"/>
        <w:ind w:leftChars="1134" w:left="2268"/>
        <w:jc w:val="left"/>
      </w:pPr>
      <w:r>
        <w:t>编制单位：020202项目组</w:t>
      </w:r>
    </w:p>
    <w:p w14:paraId="210E0A50" w14:textId="77777777" w:rsidR="00E579DC" w:rsidRDefault="00CA04C0" w:rsidP="00E34EE9">
      <w:pPr>
        <w:spacing w:after="200"/>
        <w:ind w:leftChars="1134" w:left="2268"/>
        <w:jc w:val="left"/>
      </w:pPr>
      <w:r>
        <w:t>编　　制：严宇（技术负责人）</w:t>
      </w:r>
    </w:p>
    <w:p w14:paraId="32AE52FD" w14:textId="77777777" w:rsidR="00E579DC" w:rsidRDefault="00CA04C0" w:rsidP="00E34EE9">
      <w:pPr>
        <w:spacing w:after="200"/>
        <w:ind w:leftChars="1134" w:left="2268"/>
        <w:jc w:val="left"/>
      </w:pPr>
      <w:r>
        <w:rPr>
          <w:rFonts w:eastAsia="仿宋"/>
          <w:color w:val="000000"/>
          <w:sz w:val="32"/>
        </w:rPr>
        <w:t>审　　核：A、C【待复核】</w:t>
      </w:r>
    </w:p>
    <w:p w14:paraId="64B28907" w14:textId="77777777" w:rsidR="00E579DC" w:rsidRDefault="00CA04C0" w:rsidP="00E34EE9">
      <w:pPr>
        <w:spacing w:after="200"/>
        <w:ind w:leftChars="1134" w:left="2268"/>
        <w:jc w:val="left"/>
      </w:pPr>
      <w:r>
        <w:t>批　　准：李晓雷　签章日期：2026.09.26</w:t>
      </w:r>
    </w:p>
    <w:p w14:paraId="303FB892" w14:textId="77777777" w:rsidR="00E579DC" w:rsidRDefault="00CA04C0" w:rsidP="00E34EE9">
      <w:pPr>
        <w:spacing w:before="200" w:after="80"/>
        <w:ind w:leftChars="1134" w:left="2268"/>
        <w:jc w:val="left"/>
      </w:pPr>
      <w:r>
        <w:rPr>
          <w:rFonts w:eastAsia="仿宋"/>
          <w:color w:val="000000"/>
          <w:sz w:val="32"/>
        </w:rPr>
        <w:t>编制日期：2026 年 9 月 17 日</w:t>
      </w:r>
    </w:p>
    <w:p w14:paraId="17988984" w14:textId="77777777" w:rsidR="00E579DC" w:rsidRDefault="00CA04C0">
      <w:r>
        <w:rPr>
          <w:color w:val="000000"/>
        </w:rPr>
        <w:br w:type="page"/>
      </w:r>
    </w:p>
    <w:p w14:paraId="51E04393" w14:textId="77777777" w:rsidR="00E579DC" w:rsidRDefault="00CA04C0">
      <w:pPr>
        <w:spacing w:before="120" w:after="120"/>
        <w:jc w:val="center"/>
      </w:pPr>
      <w:r>
        <w:rPr>
          <w:rFonts w:eastAsia="黑体"/>
          <w:b/>
          <w:color w:val="000000"/>
          <w:sz w:val="24"/>
        </w:rPr>
        <w:lastRenderedPageBreak/>
        <w:t>修订记录</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1507"/>
        <w:gridCol w:w="1522"/>
        <w:gridCol w:w="1469"/>
        <w:gridCol w:w="3011"/>
        <w:gridCol w:w="1507"/>
      </w:tblGrid>
      <w:tr w:rsidR="00E579DC" w14:paraId="0E2FED21" w14:textId="77777777" w:rsidTr="00E34EE9">
        <w:trPr>
          <w:jc w:val="center"/>
        </w:trPr>
        <w:tc>
          <w:tcPr>
            <w:tcW w:w="1507" w:type="dxa"/>
            <w:shd w:val="clear" w:color="auto" w:fill="D9E2EC"/>
          </w:tcPr>
          <w:p w14:paraId="238D4834" w14:textId="77777777" w:rsidR="00E579DC" w:rsidRDefault="00CA04C0">
            <w:pPr>
              <w:jc w:val="center"/>
            </w:pPr>
            <w:r>
              <w:rPr>
                <w:rFonts w:eastAsia="黑体"/>
                <w:b/>
                <w:color w:val="000000"/>
                <w:sz w:val="21"/>
              </w:rPr>
              <w:t>版本</w:t>
            </w:r>
          </w:p>
        </w:tc>
        <w:tc>
          <w:tcPr>
            <w:tcW w:w="1522" w:type="dxa"/>
            <w:shd w:val="clear" w:color="auto" w:fill="D9E2EC"/>
          </w:tcPr>
          <w:p w14:paraId="7E17B8A5" w14:textId="77777777" w:rsidR="00E579DC" w:rsidRDefault="00CA04C0">
            <w:pPr>
              <w:jc w:val="center"/>
            </w:pPr>
            <w:r>
              <w:rPr>
                <w:rFonts w:eastAsia="黑体"/>
                <w:b/>
                <w:color w:val="000000"/>
                <w:sz w:val="21"/>
              </w:rPr>
              <w:t>日期</w:t>
            </w:r>
          </w:p>
        </w:tc>
        <w:tc>
          <w:tcPr>
            <w:tcW w:w="1469" w:type="dxa"/>
            <w:shd w:val="clear" w:color="auto" w:fill="D9E2EC"/>
          </w:tcPr>
          <w:p w14:paraId="6F139643" w14:textId="77777777" w:rsidR="00E579DC" w:rsidRDefault="00CA04C0">
            <w:pPr>
              <w:jc w:val="center"/>
            </w:pPr>
            <w:r>
              <w:rPr>
                <w:rFonts w:eastAsia="黑体"/>
                <w:b/>
                <w:color w:val="000000"/>
                <w:sz w:val="21"/>
              </w:rPr>
              <w:t>修订章节</w:t>
            </w:r>
          </w:p>
        </w:tc>
        <w:tc>
          <w:tcPr>
            <w:tcW w:w="3011" w:type="dxa"/>
            <w:shd w:val="clear" w:color="auto" w:fill="D9E2EC"/>
          </w:tcPr>
          <w:p w14:paraId="5D788026" w14:textId="77777777" w:rsidR="00E579DC" w:rsidRDefault="00CA04C0">
            <w:pPr>
              <w:jc w:val="center"/>
            </w:pPr>
            <w:r>
              <w:rPr>
                <w:rFonts w:eastAsia="黑体"/>
                <w:b/>
                <w:color w:val="000000"/>
                <w:sz w:val="21"/>
              </w:rPr>
              <w:t>修订说明</w:t>
            </w:r>
          </w:p>
        </w:tc>
        <w:tc>
          <w:tcPr>
            <w:tcW w:w="1507" w:type="dxa"/>
            <w:shd w:val="clear" w:color="auto" w:fill="D9E2EC"/>
          </w:tcPr>
          <w:p w14:paraId="72D91CB9" w14:textId="77777777" w:rsidR="00E579DC" w:rsidRDefault="00CA04C0">
            <w:pPr>
              <w:jc w:val="center"/>
            </w:pPr>
            <w:r>
              <w:rPr>
                <w:rFonts w:eastAsia="黑体"/>
                <w:b/>
                <w:color w:val="000000"/>
                <w:sz w:val="21"/>
              </w:rPr>
              <w:t>编制</w:t>
            </w:r>
            <w:r>
              <w:rPr>
                <w:rFonts w:eastAsia="黑体"/>
                <w:b/>
                <w:color w:val="000000"/>
                <w:sz w:val="21"/>
              </w:rPr>
              <w:t>/</w:t>
            </w:r>
            <w:r>
              <w:rPr>
                <w:rFonts w:eastAsia="黑体"/>
                <w:b/>
                <w:color w:val="000000"/>
                <w:sz w:val="21"/>
              </w:rPr>
              <w:t>修订人</w:t>
            </w:r>
          </w:p>
        </w:tc>
      </w:tr>
      <w:tr w:rsidR="00E579DC" w14:paraId="6A989538" w14:textId="77777777" w:rsidTr="00E34EE9">
        <w:trPr>
          <w:jc w:val="center"/>
        </w:trPr>
        <w:tc>
          <w:tcPr>
            <w:tcW w:w="1507" w:type="dxa"/>
          </w:tcPr>
          <w:p w14:paraId="5FA8D1A5" w14:textId="77777777" w:rsidR="00E579DC" w:rsidRDefault="00CA04C0">
            <w:pPr>
              <w:jc w:val="center"/>
            </w:pPr>
            <w:r>
              <w:rPr>
                <w:rFonts w:eastAsia="宋体"/>
                <w:color w:val="000000"/>
                <w:sz w:val="21"/>
              </w:rPr>
              <w:t>V0.1</w:t>
            </w:r>
          </w:p>
        </w:tc>
        <w:tc>
          <w:tcPr>
            <w:tcW w:w="1522" w:type="dxa"/>
          </w:tcPr>
          <w:p w14:paraId="6A7F8BCB" w14:textId="77777777" w:rsidR="00E579DC" w:rsidRDefault="00CA04C0">
            <w:pPr>
              <w:jc w:val="center"/>
            </w:pPr>
            <w:r>
              <w:rPr>
                <w:rFonts w:eastAsia="宋体"/>
                <w:color w:val="000000"/>
                <w:sz w:val="21"/>
              </w:rPr>
              <w:t>2026-09-17</w:t>
            </w:r>
          </w:p>
        </w:tc>
        <w:tc>
          <w:tcPr>
            <w:tcW w:w="1469" w:type="dxa"/>
          </w:tcPr>
          <w:p w14:paraId="3A22D751" w14:textId="77777777" w:rsidR="00E579DC" w:rsidRDefault="00CA04C0">
            <w:r>
              <w:rPr>
                <w:rFonts w:eastAsia="宋体"/>
                <w:color w:val="000000"/>
                <w:sz w:val="21"/>
              </w:rPr>
              <w:t>全部</w:t>
            </w:r>
          </w:p>
        </w:tc>
        <w:tc>
          <w:tcPr>
            <w:tcW w:w="3011" w:type="dxa"/>
          </w:tcPr>
          <w:p w14:paraId="65AB1FD5" w14:textId="77777777" w:rsidR="00E579DC" w:rsidRDefault="00CA04C0">
            <w:r>
              <w:rPr>
                <w:rFonts w:eastAsia="宋体"/>
                <w:color w:val="000000"/>
                <w:sz w:val="21"/>
              </w:rPr>
              <w:t>形成模块职责、逻辑类、关键流程、异常与追踪评审稿</w:t>
            </w:r>
          </w:p>
        </w:tc>
        <w:tc>
          <w:tcPr>
            <w:tcW w:w="1507" w:type="dxa"/>
          </w:tcPr>
          <w:p w14:paraId="70F10D4F" w14:textId="77777777" w:rsidR="00E579DC" w:rsidRDefault="00CA04C0">
            <w:pPr>
              <w:jc w:val="center"/>
            </w:pPr>
            <w:r>
              <w:t>严宇</w:t>
            </w:r>
          </w:p>
        </w:tc>
      </w:tr>
    </w:tbl>
    <w:p w14:paraId="4E8AE626" w14:textId="77777777" w:rsidR="00E579DC" w:rsidRDefault="00CA04C0">
      <w:pPr>
        <w:spacing w:before="160" w:after="120"/>
        <w:jc w:val="left"/>
      </w:pPr>
      <w:r>
        <w:rPr>
          <w:rFonts w:eastAsia="宋体"/>
          <w:color w:val="000000"/>
          <w:sz w:val="18"/>
        </w:rPr>
        <w:t>注：本表记录详细设计受控版本沿革；本版进入 A/C 复核，不代表编码、联调、压测或验收已通过。</w:t>
      </w:r>
    </w:p>
    <w:p w14:paraId="41AC3033" w14:textId="77777777" w:rsidR="00E579DC" w:rsidRDefault="00CA04C0">
      <w:r>
        <w:rPr>
          <w:color w:val="000000"/>
        </w:rPr>
        <w:br w:type="page"/>
      </w:r>
    </w:p>
    <w:p>
      <w:pPr>
        <w:pStyle w:val="1"/>
        <w:spacing w:before="240" w:after="160"/>
      </w:pPr>
      <w:r>
        <w:rPr>
          <w:rFonts w:eastAsia="黑体"/>
          <w:b/>
          <w:bCs/>
        </w:rPr>
        <w:t>1 引言</w:t>
      </w:r>
    </w:p>
    <w:p>
      <w:pPr>
        <w:pStyle w:val="2"/>
        <w:spacing w:before="240" w:after="160"/>
      </w:pPr>
      <w:r>
        <w:rPr>
          <w:rFonts w:eastAsia="黑体"/>
          <w:b/>
          <w:bCs/>
          <w:sz w:val="28"/>
          <w:szCs w:val="28"/>
        </w:rPr>
        <w:t>1.1 编写目的</w:t>
      </w:r>
    </w:p>
    <w:p>
      <w:pPr>
        <w:spacing w:after="100" w:line="360" w:lineRule="auto"/>
        <w:ind w:firstLine="475"/>
      </w:pPr>
      <w:r>
        <w:rPr>
          <w:rFonts w:eastAsia="宋体"/>
          <w:color w:val="000000"/>
          <w:sz w:val="24"/>
          <w:szCs w:val="24"/>
        </w:rPr>
        <w:t>本文把已准出的概要设计和数据库设计细化为可进入接口设计与编码的逻辑组件、职责、协作流程、状态迁移、事务边界、异常分支和验证入口。类名与方法名是技术无关的设计标识，用于统一实现语义；具体编程语言、物理包路径、框架注解和 OpenAPI 签名由 ADR 与 G3-06 固化。</w:t>
      </w:r>
    </w:p>
    <w:p>
      <w:pPr>
        <w:pStyle w:val="2"/>
        <w:spacing w:before="240" w:after="160"/>
      </w:pPr>
      <w:r>
        <w:rPr>
          <w:rFonts w:eastAsia="黑体"/>
          <w:b/>
          <w:bCs/>
          <w:sz w:val="28"/>
          <w:szCs w:val="28"/>
        </w:rPr>
        <w:t>1.2 范围和效力边界</w:t>
      </w:r>
    </w:p>
    <w:p>
      <w:pPr>
        <w:spacing w:after="100" w:line="360" w:lineRule="auto"/>
        <w:ind w:firstLine="475"/>
      </w:pPr>
      <w:r>
        <w:rPr>
          <w:rFonts w:eastAsia="宋体"/>
          <w:color w:val="000000"/>
          <w:sz w:val="24"/>
          <w:szCs w:val="24"/>
        </w:rPr>
        <w:t>设计覆盖 Web、大屏和嵌入既有智慧管理 APP 的 H5 渠道，以及预案、事件、任务、态势、资源、值班、演练、知识、集成和平台横切能力。统一中台继续提供身份、组织、权限、消息、工作流、文件、门户和数据汇聚；录像、定位、门禁、消防、信息发布、入侵与 IoT 均通过既有系统适配。本文不重复建设这些通用能力。</w:t>
      </w:r>
    </w:p>
    <w:p>
      <w:pPr>
        <w:spacing w:after="100" w:line="360" w:lineRule="auto"/>
        <w:ind w:firstLine="475"/>
      </w:pPr>
      <w:r>
        <w:rPr>
          <w:rFonts w:eastAsia="宋体" w:ascii="Consolas" w:hAnsi="Consolas"/>
          <w:color w:val="000000"/>
          <w:sz w:val="21"/>
          <w:szCs w:val="24"/>
        </w:rPr>
        <w:t>ISSUE-G3-01-001</w:t>
      </w:r>
      <w:r>
        <w:rPr>
          <w:rFonts w:eastAsia="宋体"/>
          <w:color w:val="000000"/>
          <w:sz w:val="24"/>
          <w:szCs w:val="24"/>
        </w:rPr>
        <w:t xml:space="preserve"> 保持 OPEN：视频与统一消息的真实字段、认证方式、回执语义和性能证据尚待甲方资料及现场联调。本文只定义内部端口、归一化对象与失败语义，不宣称接口已连通或指标已实测通过。</w:t>
      </w:r>
    </w:p>
    <w:p>
      <w:pPr>
        <w:pStyle w:val="2"/>
        <w:spacing w:before="240" w:after="160"/>
      </w:pPr>
      <w:r>
        <w:rPr>
          <w:rFonts w:eastAsia="黑体"/>
          <w:b/>
          <w:bCs/>
          <w:sz w:val="28"/>
          <w:szCs w:val="28"/>
        </w:rPr>
        <w:t>1.3 设计约定</w:t>
      </w:r>
    </w:p>
    <w:p>
      <w:pPr>
        <w:spacing w:after="100" w:line="360" w:lineRule="auto"/>
        <w:ind w:firstLine="475"/>
      </w:pPr>
      <w:r>
        <w:rPr>
          <w:rFonts w:eastAsia="宋体"/>
          <w:color w:val="000000"/>
          <w:sz w:val="24"/>
          <w:szCs w:val="24"/>
        </w:rPr>
        <w:t>领域对象拥有状态和业务不变量；应用服务编排用例；仓储负责本领域持久化；端口隔离外部系统；适配器实现协议转换。一次业务提交只跨越一个领域写事务。通知、外部调用与态势投影由 Outbox 事件派生；控制类指令只允许授权人员确认后单次下发，失败后进入人工处置，禁止自动重放。</w:t>
      </w:r>
    </w:p>
    <w:p>
      <w:pPr>
        <w:pStyle w:val="1"/>
        <w:spacing w:before="240" w:after="160"/>
      </w:pPr>
      <w:r>
        <w:rPr>
          <w:rFonts w:eastAsia="黑体"/>
          <w:b/>
          <w:bCs/>
        </w:rPr>
        <w:t>2 程序系统结构</w:t>
      </w:r>
    </w:p>
    <w:p>
      <w:pPr>
        <w:pStyle w:val="2"/>
        <w:spacing w:before="240" w:after="160"/>
      </w:pPr>
      <w:r>
        <w:rPr>
          <w:rFonts w:eastAsia="黑体"/>
          <w:b/>
          <w:bCs/>
          <w:sz w:val="28"/>
          <w:szCs w:val="28"/>
        </w:rPr>
        <w:t>2.1 逻辑分层和依赖方向</w:t>
      </w:r>
    </w:p>
    <w:p>
      <w:pPr>
        <w:jc w:val="center"/>
      </w:pPr>
      <w:r>
        <w:rPr>
          <w:noProof/>
          <w:color w:val="000000"/>
        </w:rPr>
        <w:drawing>
          <wp:inline xmlns:a="http://schemas.openxmlformats.org/drawingml/2006/main" xmlns:pic="http://schemas.openxmlformats.org/drawingml/2006/picture">
            <wp:extent cx="5580000" cy="2728000"/>
            <wp:docPr id="1" name="Picture 1"/>
            <wp:cNvGraphicFramePr>
              <a:graphicFrameLocks noChangeAspect="1"/>
            </wp:cNvGraphicFramePr>
            <a:graphic>
              <a:graphicData uri="http://schemas.openxmlformats.org/drawingml/2006/picture">
                <pic:pic>
                  <pic:nvPicPr>
                    <pic:cNvPr id="0" name="12-图2-1-详细设计组件结构.png"/>
                    <pic:cNvPicPr/>
                  </pic:nvPicPr>
                  <pic:blipFill>
                    <a:blip r:embed="rId12"/>
                    <a:stretch>
                      <a:fillRect/>
                    </a:stretch>
                  </pic:blipFill>
                  <pic:spPr>
                    <a:xfrm>
                      <a:off x="0" y="0"/>
                      <a:ext cx="5580000" cy="2728000"/>
                    </a:xfrm>
                    <a:prstGeom prst="rect"/>
                  </pic:spPr>
                </pic:pic>
              </a:graphicData>
            </a:graphic>
          </wp:inline>
        </w:drawing>
      </w:r>
    </w:p>
    <w:p>
      <w:pPr>
        <w:jc w:val="center"/>
      </w:pPr>
      <w:r>
        <w:rPr>
          <w:rFonts w:eastAsia="宋体"/>
          <w:b/>
          <w:color w:val="000000"/>
          <w:sz w:val="18"/>
        </w:rPr>
        <w:t>图 2-1 详细设计组件结构</w:t>
      </w:r>
    </w:p>
    <w:p>
      <w:pPr>
        <w:keepNext/>
        <w:jc w:val="center"/>
      </w:pPr>
      <w:r>
        <w:rPr>
          <w:rFonts w:eastAsia="黑体"/>
          <w:b/>
          <w:color w:val="000000"/>
          <w:sz w:val="18"/>
        </w:rPr>
        <w:t>表 2-1 逻辑分层和依赖方向</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4A0" w:firstRow="1" w:lastRow="0" w:firstColumn="1" w:lastColumn="0" w:noHBand="0" w:noVBand="1"/>
      </w:tblPr>
      <w:tblGrid>
        <w:gridCol w:w="2256"/>
        <w:gridCol w:w="2256"/>
        <w:gridCol w:w="2256"/>
        <w:gridCol w:w="2256"/>
      </w:tblGrid>
      <w:tr>
        <w:trPr>
          <w:tblHeader/>
          <w:cantSplit/>
        </w:trPr>
        <w:tc>
          <w:tcPr>
            <w:tcW w:type="dxa" w:w="1531"/>
            <w:shd w:val="clear" w:color="auto" w:fill="DCE6F1"/>
            <w:tcMar>
              <w:top w:w="80" w:type="dxa"/>
              <w:left w:w="100" w:type="dxa"/>
              <w:bottom w:w="80" w:type="dxa"/>
              <w:right w:w="100" w:type="dxa"/>
            </w:tcMar>
          </w:tcPr>
          <w:p>
            <w:pPr>
              <w:spacing w:line="300" w:lineRule="auto"/>
            </w:pPr>
            <w:r>
              <w:rPr>
                <w:rFonts w:eastAsia="宋体"/>
                <w:b/>
                <w:bCs/>
                <w:color w:val="000000"/>
                <w:sz w:val="24"/>
                <w:szCs w:val="24"/>
              </w:rPr>
              <w:t>层</w:t>
            </w:r>
          </w:p>
        </w:tc>
        <w:tc>
          <w:tcPr>
            <w:tcW w:type="dxa" w:w="2268"/>
            <w:shd w:val="clear" w:color="auto" w:fill="DCE6F1"/>
            <w:tcMar>
              <w:top w:w="80" w:type="dxa"/>
              <w:left w:w="100" w:type="dxa"/>
              <w:bottom w:w="80" w:type="dxa"/>
              <w:right w:w="100" w:type="dxa"/>
            </w:tcMar>
          </w:tcPr>
          <w:p>
            <w:pPr>
              <w:spacing w:line="300" w:lineRule="auto"/>
            </w:pPr>
            <w:r>
              <w:rPr>
                <w:rFonts w:eastAsia="宋体"/>
                <w:b/>
                <w:bCs/>
                <w:color w:val="000000"/>
                <w:sz w:val="24"/>
                <w:szCs w:val="24"/>
              </w:rPr>
              <w:t>组件</w:t>
            </w:r>
          </w:p>
        </w:tc>
        <w:tc>
          <w:tcPr>
            <w:tcW w:type="dxa" w:w="2438"/>
            <w:shd w:val="clear" w:color="auto" w:fill="DCE6F1"/>
            <w:tcMar>
              <w:top w:w="80" w:type="dxa"/>
              <w:left w:w="100" w:type="dxa"/>
              <w:bottom w:w="80" w:type="dxa"/>
              <w:right w:w="100" w:type="dxa"/>
            </w:tcMar>
          </w:tcPr>
          <w:p>
            <w:pPr>
              <w:spacing w:line="300" w:lineRule="auto"/>
            </w:pPr>
            <w:r>
              <w:rPr>
                <w:rFonts w:eastAsia="宋体"/>
                <w:b/>
                <w:bCs/>
                <w:color w:val="000000"/>
                <w:sz w:val="24"/>
                <w:szCs w:val="24"/>
              </w:rPr>
              <w:t>允许依赖</w:t>
            </w:r>
          </w:p>
        </w:tc>
        <w:tc>
          <w:tcPr>
            <w:tcW w:type="dxa" w:w="2381"/>
            <w:shd w:val="clear" w:color="auto" w:fill="DCE6F1"/>
            <w:tcMar>
              <w:top w:w="80" w:type="dxa"/>
              <w:left w:w="100" w:type="dxa"/>
              <w:bottom w:w="80" w:type="dxa"/>
              <w:right w:w="100" w:type="dxa"/>
            </w:tcMar>
          </w:tcPr>
          <w:p>
            <w:pPr>
              <w:spacing w:line="300" w:lineRule="auto"/>
            </w:pPr>
            <w:r>
              <w:rPr>
                <w:rFonts w:eastAsia="宋体"/>
                <w:b/>
                <w:bCs/>
                <w:color w:val="000000"/>
                <w:sz w:val="24"/>
                <w:szCs w:val="24"/>
              </w:rPr>
              <w:t>禁止事项</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渠道层</w:t>
            </w:r>
          </w:p>
        </w:tc>
        <w:tc>
          <w:tcPr>
            <w:tcW w:type="dxa" w:w="2268"/>
            <w:tcMar>
              <w:top w:w="80" w:type="dxa"/>
              <w:left w:w="100" w:type="dxa"/>
              <w:bottom w:w="80" w:type="dxa"/>
              <w:right w:w="100" w:type="dxa"/>
            </w:tcMar>
          </w:tcPr>
          <w:p>
            <w:pPr>
              <w:spacing w:line="300" w:lineRule="auto"/>
            </w:pPr>
            <w:r>
              <w:rPr>
                <w:rFonts w:eastAsia="宋体"/>
                <w:color w:val="000000"/>
                <w:sz w:val="22"/>
                <w:szCs w:val="22"/>
              </w:rPr>
              <w:t>Web、大屏、H5</w:t>
            </w:r>
          </w:p>
        </w:tc>
        <w:tc>
          <w:tcPr>
            <w:tcW w:type="dxa" w:w="2438"/>
            <w:tcMar>
              <w:top w:w="80" w:type="dxa"/>
              <w:left w:w="100" w:type="dxa"/>
              <w:bottom w:w="80" w:type="dxa"/>
              <w:right w:w="100" w:type="dxa"/>
            </w:tcMar>
          </w:tcPr>
          <w:p>
            <w:pPr>
              <w:spacing w:line="300" w:lineRule="auto"/>
            </w:pPr>
            <w:r>
              <w:rPr>
                <w:rFonts w:eastAsia="宋体"/>
                <w:color w:val="000000"/>
                <w:sz w:val="22"/>
                <w:szCs w:val="22"/>
              </w:rPr>
              <w:t>应用门面、查询端口</w:t>
            </w:r>
          </w:p>
        </w:tc>
        <w:tc>
          <w:tcPr>
            <w:tcW w:type="dxa" w:w="2381"/>
            <w:tcMar>
              <w:top w:w="80" w:type="dxa"/>
              <w:left w:w="100" w:type="dxa"/>
              <w:bottom w:w="80" w:type="dxa"/>
              <w:right w:w="100" w:type="dxa"/>
            </w:tcMar>
          </w:tcPr>
          <w:p>
            <w:pPr>
              <w:spacing w:line="300" w:lineRule="auto"/>
            </w:pPr>
            <w:r>
              <w:rPr>
                <w:rFonts w:eastAsia="宋体"/>
                <w:color w:val="000000"/>
                <w:sz w:val="22"/>
                <w:szCs w:val="22"/>
              </w:rPr>
              <w:t>直接访问数据库或外部系统</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应用层</w:t>
            </w:r>
          </w:p>
        </w:tc>
        <w:tc>
          <w:tcPr>
            <w:tcW w:type="dxa" w:w="2268"/>
            <w:tcMar>
              <w:top w:w="80" w:type="dxa"/>
              <w:left w:w="100" w:type="dxa"/>
              <w:bottom w:w="80" w:type="dxa"/>
              <w:right w:w="100" w:type="dxa"/>
            </w:tcMar>
          </w:tcPr>
          <w:p>
            <w:pPr>
              <w:spacing w:line="300" w:lineRule="auto"/>
            </w:pPr>
            <w:r>
              <w:rPr>
                <w:rFonts w:eastAsia="宋体"/>
                <w:color w:val="000000"/>
                <w:sz w:val="22"/>
                <w:szCs w:val="22"/>
              </w:rPr>
              <w:t>用例服务、命令/查询对象、事务协调器</w:t>
            </w:r>
          </w:p>
        </w:tc>
        <w:tc>
          <w:tcPr>
            <w:tcW w:type="dxa" w:w="2438"/>
            <w:tcMar>
              <w:top w:w="80" w:type="dxa"/>
              <w:left w:w="100" w:type="dxa"/>
              <w:bottom w:w="80" w:type="dxa"/>
              <w:right w:w="100" w:type="dxa"/>
            </w:tcMar>
          </w:tcPr>
          <w:p>
            <w:pPr>
              <w:spacing w:line="300" w:lineRule="auto"/>
            </w:pPr>
            <w:r>
              <w:rPr>
                <w:rFonts w:eastAsia="宋体"/>
                <w:color w:val="000000"/>
                <w:sz w:val="22"/>
                <w:szCs w:val="22"/>
              </w:rPr>
              <w:t>领域层、端口接口</w:t>
            </w:r>
          </w:p>
        </w:tc>
        <w:tc>
          <w:tcPr>
            <w:tcW w:type="dxa" w:w="2381"/>
            <w:tcMar>
              <w:top w:w="80" w:type="dxa"/>
              <w:left w:w="100" w:type="dxa"/>
              <w:bottom w:w="80" w:type="dxa"/>
              <w:right w:w="100" w:type="dxa"/>
            </w:tcMar>
          </w:tcPr>
          <w:p>
            <w:pPr>
              <w:spacing w:line="300" w:lineRule="auto"/>
            </w:pPr>
            <w:r>
              <w:rPr>
                <w:rFonts w:eastAsia="宋体"/>
                <w:color w:val="000000"/>
                <w:sz w:val="22"/>
                <w:szCs w:val="22"/>
              </w:rPr>
              <w:t>内嵌厂商协议和凭据</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领域层</w:t>
            </w:r>
          </w:p>
        </w:tc>
        <w:tc>
          <w:tcPr>
            <w:tcW w:type="dxa" w:w="2268"/>
            <w:tcMar>
              <w:top w:w="80" w:type="dxa"/>
              <w:left w:w="100" w:type="dxa"/>
              <w:bottom w:w="80" w:type="dxa"/>
              <w:right w:w="100" w:type="dxa"/>
            </w:tcMar>
          </w:tcPr>
          <w:p>
            <w:pPr>
              <w:spacing w:line="300" w:lineRule="auto"/>
            </w:pPr>
            <w:r>
              <w:rPr>
                <w:rFonts w:eastAsia="宋体"/>
                <w:color w:val="000000"/>
                <w:sz w:val="22"/>
                <w:szCs w:val="22"/>
              </w:rPr>
              <w:t>聚合、实体、值对象、策略、状态机</w:t>
            </w:r>
          </w:p>
        </w:tc>
        <w:tc>
          <w:tcPr>
            <w:tcW w:type="dxa" w:w="2438"/>
            <w:tcMar>
              <w:top w:w="80" w:type="dxa"/>
              <w:left w:w="100" w:type="dxa"/>
              <w:bottom w:w="80" w:type="dxa"/>
              <w:right w:w="100" w:type="dxa"/>
            </w:tcMar>
          </w:tcPr>
          <w:p>
            <w:pPr>
              <w:spacing w:line="300" w:lineRule="auto"/>
            </w:pPr>
            <w:r>
              <w:rPr>
                <w:rFonts w:eastAsia="宋体"/>
                <w:color w:val="000000"/>
                <w:sz w:val="22"/>
                <w:szCs w:val="22"/>
              </w:rPr>
              <w:t>领域内部抽象</w:t>
            </w:r>
          </w:p>
        </w:tc>
        <w:tc>
          <w:tcPr>
            <w:tcW w:type="dxa" w:w="2381"/>
            <w:tcMar>
              <w:top w:w="80" w:type="dxa"/>
              <w:left w:w="100" w:type="dxa"/>
              <w:bottom w:w="80" w:type="dxa"/>
              <w:right w:w="100" w:type="dxa"/>
            </w:tcMar>
          </w:tcPr>
          <w:p>
            <w:pPr>
              <w:spacing w:line="300" w:lineRule="auto"/>
            </w:pPr>
            <w:r>
              <w:rPr>
                <w:rFonts w:eastAsia="宋体"/>
                <w:color w:val="000000"/>
                <w:sz w:val="22"/>
                <w:szCs w:val="22"/>
              </w:rPr>
              <w:t>依赖 UI、数据库驱动或 HTTP 客户端</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基础设施层</w:t>
            </w:r>
          </w:p>
        </w:tc>
        <w:tc>
          <w:tcPr>
            <w:tcW w:type="dxa" w:w="2268"/>
            <w:tcMar>
              <w:top w:w="80" w:type="dxa"/>
              <w:left w:w="100" w:type="dxa"/>
              <w:bottom w:w="80" w:type="dxa"/>
              <w:right w:w="100" w:type="dxa"/>
            </w:tcMar>
          </w:tcPr>
          <w:p>
            <w:pPr>
              <w:spacing w:line="300" w:lineRule="auto"/>
            </w:pPr>
            <w:r>
              <w:rPr>
                <w:rFonts w:eastAsia="宋体"/>
                <w:color w:val="000000"/>
                <w:sz w:val="22"/>
                <w:szCs w:val="22"/>
              </w:rPr>
              <w:t>仓储、Outbox、缓存、适配器、审计</w:t>
            </w:r>
          </w:p>
        </w:tc>
        <w:tc>
          <w:tcPr>
            <w:tcW w:type="dxa" w:w="2438"/>
            <w:tcMar>
              <w:top w:w="80" w:type="dxa"/>
              <w:left w:w="100" w:type="dxa"/>
              <w:bottom w:w="80" w:type="dxa"/>
              <w:right w:w="100" w:type="dxa"/>
            </w:tcMar>
          </w:tcPr>
          <w:p>
            <w:pPr>
              <w:spacing w:line="300" w:lineRule="auto"/>
            </w:pPr>
            <w:r>
              <w:rPr>
                <w:rFonts w:eastAsia="宋体"/>
                <w:color w:val="000000"/>
                <w:sz w:val="22"/>
                <w:szCs w:val="22"/>
              </w:rPr>
              <w:t>领域/应用定义的端口</w:t>
            </w:r>
          </w:p>
        </w:tc>
        <w:tc>
          <w:tcPr>
            <w:tcW w:type="dxa" w:w="2381"/>
            <w:tcMar>
              <w:top w:w="80" w:type="dxa"/>
              <w:left w:w="100" w:type="dxa"/>
              <w:bottom w:w="80" w:type="dxa"/>
              <w:right w:w="100" w:type="dxa"/>
            </w:tcMar>
          </w:tcPr>
          <w:p>
            <w:pPr>
              <w:spacing w:line="300" w:lineRule="auto"/>
            </w:pPr>
            <w:r>
              <w:rPr>
                <w:rFonts w:eastAsia="宋体"/>
                <w:color w:val="000000"/>
                <w:sz w:val="22"/>
                <w:szCs w:val="22"/>
              </w:rPr>
              <w:t>绕过授权或修改他域事实</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投影层</w:t>
            </w:r>
          </w:p>
        </w:tc>
        <w:tc>
          <w:tcPr>
            <w:tcW w:type="dxa" w:w="2268"/>
            <w:tcMar>
              <w:top w:w="80" w:type="dxa"/>
              <w:left w:w="100" w:type="dxa"/>
              <w:bottom w:w="80" w:type="dxa"/>
              <w:right w:w="100" w:type="dxa"/>
            </w:tcMar>
          </w:tcPr>
          <w:p>
            <w:pPr>
              <w:spacing w:line="300" w:lineRule="auto"/>
            </w:pPr>
            <w:r>
              <w:rPr>
                <w:rFonts w:eastAsia="宋体"/>
                <w:color w:val="000000"/>
                <w:sz w:val="22"/>
                <w:szCs w:val="22"/>
              </w:rPr>
              <w:t>态势、统计、看板读模型</w:t>
            </w:r>
          </w:p>
        </w:tc>
        <w:tc>
          <w:tcPr>
            <w:tcW w:type="dxa" w:w="2438"/>
            <w:tcMar>
              <w:top w:w="80" w:type="dxa"/>
              <w:left w:w="100" w:type="dxa"/>
              <w:bottom w:w="80" w:type="dxa"/>
              <w:right w:w="100" w:type="dxa"/>
            </w:tcMar>
          </w:tcPr>
          <w:p>
            <w:pPr>
              <w:spacing w:line="300" w:lineRule="auto"/>
            </w:pPr>
            <w:r>
              <w:rPr>
                <w:rFonts w:eastAsia="宋体"/>
                <w:color w:val="000000"/>
                <w:sz w:val="22"/>
                <w:szCs w:val="22"/>
              </w:rPr>
              <w:t>领域事件、只读查询</w:t>
            </w:r>
          </w:p>
        </w:tc>
        <w:tc>
          <w:tcPr>
            <w:tcW w:type="dxa" w:w="2381"/>
            <w:tcMar>
              <w:top w:w="80" w:type="dxa"/>
              <w:left w:w="100" w:type="dxa"/>
              <w:bottom w:w="80" w:type="dxa"/>
              <w:right w:w="100" w:type="dxa"/>
            </w:tcMar>
          </w:tcPr>
          <w:p>
            <w:pPr>
              <w:spacing w:line="300" w:lineRule="auto"/>
            </w:pPr>
            <w:r>
              <w:rPr>
                <w:rFonts w:eastAsia="宋体"/>
                <w:color w:val="000000"/>
                <w:sz w:val="22"/>
                <w:szCs w:val="22"/>
              </w:rPr>
              <w:t>反向修改领域事实</w:t>
            </w:r>
          </w:p>
        </w:tc>
      </w:tr>
    </w:tbl>
    <w:p>
      <w:pPr>
        <w:pStyle w:val="2"/>
        <w:spacing w:before="240" w:after="160"/>
      </w:pPr>
      <w:r>
        <w:rPr>
          <w:rFonts w:eastAsia="黑体"/>
          <w:b/>
          <w:bCs/>
          <w:sz w:val="28"/>
          <w:szCs w:val="28"/>
        </w:rPr>
        <w:t>2.2 模块责任和单一写入主责</w:t>
      </w:r>
    </w:p>
    <w:p>
      <w:pPr>
        <w:keepNext/>
        <w:jc w:val="center"/>
      </w:pPr>
      <w:r>
        <w:rPr>
          <w:rFonts w:eastAsia="黑体"/>
          <w:b/>
          <w:color w:val="000000"/>
          <w:sz w:val="18"/>
        </w:rPr>
        <w:t>表 2-2 模块责任和单一写入主责</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4A0" w:firstRow="1" w:lastRow="0" w:firstColumn="1" w:lastColumn="0" w:noHBand="0" w:noVBand="1"/>
      </w:tblPr>
      <w:tblGrid>
        <w:gridCol w:w="2256"/>
        <w:gridCol w:w="2256"/>
        <w:gridCol w:w="2256"/>
        <w:gridCol w:w="2256"/>
      </w:tblGrid>
      <w:tr>
        <w:trPr>
          <w:tblHeader/>
          <w:cantSplit/>
        </w:trPr>
        <w:tc>
          <w:tcPr>
            <w:tcW w:type="dxa" w:w="1531"/>
            <w:shd w:val="clear" w:color="auto" w:fill="DCE6F1"/>
            <w:tcMar>
              <w:top w:w="80" w:type="dxa"/>
              <w:left w:w="100" w:type="dxa"/>
              <w:bottom w:w="80" w:type="dxa"/>
              <w:right w:w="100" w:type="dxa"/>
            </w:tcMar>
          </w:tcPr>
          <w:p>
            <w:pPr>
              <w:spacing w:line="300" w:lineRule="auto"/>
            </w:pPr>
            <w:r>
              <w:rPr>
                <w:rFonts w:eastAsia="宋体"/>
                <w:b/>
                <w:bCs/>
                <w:color w:val="000000"/>
                <w:sz w:val="24"/>
                <w:szCs w:val="24"/>
              </w:rPr>
              <w:t>模块</w:t>
            </w:r>
          </w:p>
        </w:tc>
        <w:tc>
          <w:tcPr>
            <w:tcW w:type="dxa" w:w="2268"/>
            <w:shd w:val="clear" w:color="auto" w:fill="DCE6F1"/>
            <w:tcMar>
              <w:top w:w="80" w:type="dxa"/>
              <w:left w:w="100" w:type="dxa"/>
              <w:bottom w:w="80" w:type="dxa"/>
              <w:right w:w="100" w:type="dxa"/>
            </w:tcMar>
          </w:tcPr>
          <w:p>
            <w:pPr>
              <w:spacing w:line="300" w:lineRule="auto"/>
            </w:pPr>
            <w:r>
              <w:rPr>
                <w:rFonts w:eastAsia="宋体"/>
                <w:b/>
                <w:bCs/>
                <w:color w:val="000000"/>
                <w:sz w:val="24"/>
                <w:szCs w:val="24"/>
              </w:rPr>
              <w:t>主责对象</w:t>
            </w:r>
          </w:p>
        </w:tc>
        <w:tc>
          <w:tcPr>
            <w:tcW w:type="dxa" w:w="2438"/>
            <w:shd w:val="clear" w:color="auto" w:fill="DCE6F1"/>
            <w:tcMar>
              <w:top w:w="80" w:type="dxa"/>
              <w:left w:w="100" w:type="dxa"/>
              <w:bottom w:w="80" w:type="dxa"/>
              <w:right w:w="100" w:type="dxa"/>
            </w:tcMar>
          </w:tcPr>
          <w:p>
            <w:pPr>
              <w:spacing w:line="300" w:lineRule="auto"/>
            </w:pPr>
            <w:r>
              <w:rPr>
                <w:rFonts w:eastAsia="宋体"/>
                <w:b/>
                <w:bCs/>
                <w:color w:val="000000"/>
                <w:sz w:val="24"/>
                <w:szCs w:val="24"/>
              </w:rPr>
              <w:t>关键应用服务</w:t>
            </w:r>
          </w:p>
        </w:tc>
        <w:tc>
          <w:tcPr>
            <w:tcW w:type="dxa" w:w="2381"/>
            <w:shd w:val="clear" w:color="auto" w:fill="DCE6F1"/>
            <w:tcMar>
              <w:top w:w="80" w:type="dxa"/>
              <w:left w:w="100" w:type="dxa"/>
              <w:bottom w:w="80" w:type="dxa"/>
              <w:right w:w="100" w:type="dxa"/>
            </w:tcMar>
          </w:tcPr>
          <w:p>
            <w:pPr>
              <w:spacing w:line="300" w:lineRule="auto"/>
            </w:pPr>
            <w:r>
              <w:rPr>
                <w:rFonts w:eastAsia="宋体"/>
                <w:b/>
                <w:bCs/>
                <w:color w:val="000000"/>
                <w:sz w:val="24"/>
                <w:szCs w:val="24"/>
              </w:rPr>
              <w:t>不承担的职责</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MOD-PLAN</w:t>
            </w:r>
          </w:p>
        </w:tc>
        <w:tc>
          <w:tcPr>
            <w:tcW w:type="dxa" w:w="2268"/>
            <w:tcMar>
              <w:top w:w="80" w:type="dxa"/>
              <w:left w:w="100" w:type="dxa"/>
              <w:bottom w:w="80" w:type="dxa"/>
              <w:right w:w="100" w:type="dxa"/>
            </w:tcMar>
          </w:tcPr>
          <w:p>
            <w:pPr>
              <w:spacing w:line="300" w:lineRule="auto"/>
            </w:pPr>
            <w:r>
              <w:rPr>
                <w:rFonts w:eastAsia="宋体"/>
                <w:color w:val="000000"/>
                <w:sz w:val="22"/>
                <w:szCs w:val="22"/>
              </w:rPr>
              <w:t>预案、版本、流程、核实配置、任务模板</w:t>
            </w:r>
          </w:p>
        </w:tc>
        <w:tc>
          <w:tcPr>
            <w:tcW w:type="dxa" w:w="2438"/>
            <w:tcMar>
              <w:top w:w="80" w:type="dxa"/>
              <w:left w:w="100" w:type="dxa"/>
              <w:bottom w:w="80" w:type="dxa"/>
              <w:right w:w="100" w:type="dxa"/>
            </w:tcMar>
          </w:tcPr>
          <w:p>
            <w:pPr>
              <w:spacing w:line="300" w:lineRule="auto"/>
            </w:pPr>
            <w:r>
              <w:rPr>
                <w:rFonts w:eastAsia="宋体"/>
                <w:color w:val="000000"/>
                <w:sz w:val="22"/>
                <w:szCs w:val="22"/>
              </w:rPr>
              <w:t>PlanApplicationService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事件处置事实、人员主数据</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MOD-EVENT</w:t>
            </w:r>
          </w:p>
        </w:tc>
        <w:tc>
          <w:tcPr>
            <w:tcW w:type="dxa" w:w="2268"/>
            <w:tcMar>
              <w:top w:w="80" w:type="dxa"/>
              <w:left w:w="100" w:type="dxa"/>
              <w:bottom w:w="80" w:type="dxa"/>
              <w:right w:w="100" w:type="dxa"/>
            </w:tcMar>
          </w:tcPr>
          <w:p>
            <w:pPr>
              <w:spacing w:line="300" w:lineRule="auto"/>
            </w:pPr>
            <w:r>
              <w:rPr>
                <w:rFonts w:eastAsia="宋体"/>
                <w:color w:val="000000"/>
                <w:sz w:val="22"/>
                <w:szCs w:val="22"/>
              </w:rPr>
              <w:t>事件、核实、续报、关闭</w:t>
            </w:r>
          </w:p>
        </w:tc>
        <w:tc>
          <w:tcPr>
            <w:tcW w:type="dxa" w:w="2438"/>
            <w:tcMar>
              <w:top w:w="80" w:type="dxa"/>
              <w:left w:w="100" w:type="dxa"/>
              <w:bottom w:w="80" w:type="dxa"/>
              <w:right w:w="100" w:type="dxa"/>
            </w:tcMar>
          </w:tcPr>
          <w:p>
            <w:pPr>
              <w:spacing w:line="300" w:lineRule="auto"/>
            </w:pPr>
            <w:r>
              <w:rPr>
                <w:rFonts w:eastAsia="宋体"/>
                <w:color w:val="000000"/>
                <w:sz w:val="22"/>
                <w:szCs w:val="22"/>
              </w:rPr>
              <w:t>IncidentApplicationService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消息实际发送、视频存储</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MOD-TASK</w:t>
            </w:r>
          </w:p>
        </w:tc>
        <w:tc>
          <w:tcPr>
            <w:tcW w:type="dxa" w:w="2268"/>
            <w:tcMar>
              <w:top w:w="80" w:type="dxa"/>
              <w:left w:w="100" w:type="dxa"/>
              <w:bottom w:w="80" w:type="dxa"/>
              <w:right w:w="100" w:type="dxa"/>
            </w:tcMar>
          </w:tcPr>
          <w:p>
            <w:pPr>
              <w:spacing w:line="300" w:lineRule="auto"/>
            </w:pPr>
            <w:r>
              <w:rPr>
                <w:rFonts w:eastAsia="宋体"/>
                <w:color w:val="000000"/>
                <w:sz w:val="22"/>
                <w:szCs w:val="22"/>
              </w:rPr>
              <w:t>处置任务、指派历史、反馈</w:t>
            </w:r>
          </w:p>
        </w:tc>
        <w:tc>
          <w:tcPr>
            <w:tcW w:type="dxa" w:w="2438"/>
            <w:tcMar>
              <w:top w:w="80" w:type="dxa"/>
              <w:left w:w="100" w:type="dxa"/>
              <w:bottom w:w="80" w:type="dxa"/>
              <w:right w:w="100" w:type="dxa"/>
            </w:tcMar>
          </w:tcPr>
          <w:p>
            <w:pPr>
              <w:spacing w:line="300" w:lineRule="auto"/>
            </w:pPr>
            <w:r>
              <w:rPr>
                <w:rFonts w:eastAsia="宋体"/>
                <w:color w:val="000000"/>
                <w:sz w:val="22"/>
                <w:szCs w:val="22"/>
              </w:rPr>
              <w:t>TaskApplicationService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组织主数据维护</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MOD-SITUATION</w:t>
            </w:r>
          </w:p>
        </w:tc>
        <w:tc>
          <w:tcPr>
            <w:tcW w:type="dxa" w:w="2268"/>
            <w:tcMar>
              <w:top w:w="80" w:type="dxa"/>
              <w:left w:w="100" w:type="dxa"/>
              <w:bottom w:w="80" w:type="dxa"/>
              <w:right w:w="100" w:type="dxa"/>
            </w:tcMar>
          </w:tcPr>
          <w:p>
            <w:pPr>
              <w:spacing w:line="300" w:lineRule="auto"/>
            </w:pPr>
            <w:r>
              <w:rPr>
                <w:rFonts w:eastAsia="宋体"/>
                <w:color w:val="000000"/>
                <w:sz w:val="22"/>
                <w:szCs w:val="22"/>
              </w:rPr>
              <w:t>态势和统计投影</w:t>
            </w:r>
          </w:p>
        </w:tc>
        <w:tc>
          <w:tcPr>
            <w:tcW w:type="dxa" w:w="2438"/>
            <w:tcMar>
              <w:top w:w="80" w:type="dxa"/>
              <w:left w:w="100" w:type="dxa"/>
              <w:bottom w:w="80" w:type="dxa"/>
              <w:right w:w="100" w:type="dxa"/>
            </w:tcMar>
          </w:tcPr>
          <w:p>
            <w:pPr>
              <w:spacing w:line="300" w:lineRule="auto"/>
            </w:pPr>
            <w:r>
              <w:rPr>
                <w:rFonts w:eastAsia="宋体"/>
                <w:color w:val="000000"/>
                <w:sz w:val="22"/>
                <w:szCs w:val="22"/>
              </w:rPr>
              <w:t>SituationProjectionService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领域事实写入</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MOD-RESOURCE</w:t>
            </w:r>
          </w:p>
        </w:tc>
        <w:tc>
          <w:tcPr>
            <w:tcW w:type="dxa" w:w="2268"/>
            <w:tcMar>
              <w:top w:w="80" w:type="dxa"/>
              <w:left w:w="100" w:type="dxa"/>
              <w:bottom w:w="80" w:type="dxa"/>
              <w:right w:w="100" w:type="dxa"/>
            </w:tcMar>
          </w:tcPr>
          <w:p>
            <w:pPr>
              <w:spacing w:line="300" w:lineRule="auto"/>
            </w:pPr>
            <w:r>
              <w:rPr>
                <w:rFonts w:eastAsia="宋体"/>
                <w:color w:val="000000"/>
                <w:sz w:val="22"/>
                <w:szCs w:val="22"/>
              </w:rPr>
              <w:t>人员业务引用、定位快照、物资和盘点</w:t>
            </w:r>
          </w:p>
        </w:tc>
        <w:tc>
          <w:tcPr>
            <w:tcW w:type="dxa" w:w="2438"/>
            <w:tcMar>
              <w:top w:w="80" w:type="dxa"/>
              <w:left w:w="100" w:type="dxa"/>
              <w:bottom w:w="80" w:type="dxa"/>
              <w:right w:w="100" w:type="dxa"/>
            </w:tcMar>
          </w:tcPr>
          <w:p>
            <w:pPr>
              <w:spacing w:line="300" w:lineRule="auto"/>
            </w:pPr>
            <w:r>
              <w:rPr>
                <w:rFonts w:eastAsia="宋体"/>
                <w:color w:val="000000"/>
                <w:sz w:val="22"/>
                <w:szCs w:val="22"/>
              </w:rPr>
              <w:t>ResourceApplicationService、InventoryApplicationService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定位源数据生产</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MOD-DUTY</w:t>
            </w:r>
          </w:p>
        </w:tc>
        <w:tc>
          <w:tcPr>
            <w:tcW w:type="dxa" w:w="2268"/>
            <w:tcMar>
              <w:top w:w="80" w:type="dxa"/>
              <w:left w:w="100" w:type="dxa"/>
              <w:bottom w:w="80" w:type="dxa"/>
              <w:right w:w="100" w:type="dxa"/>
            </w:tcMar>
          </w:tcPr>
          <w:p>
            <w:pPr>
              <w:spacing w:line="300" w:lineRule="auto"/>
            </w:pPr>
            <w:r>
              <w:rPr>
                <w:rFonts w:eastAsia="宋体"/>
                <w:color w:val="000000"/>
                <w:sz w:val="22"/>
                <w:szCs w:val="22"/>
              </w:rPr>
              <w:t>值班、点位、规则、打卡、缺卡告警</w:t>
            </w:r>
          </w:p>
        </w:tc>
        <w:tc>
          <w:tcPr>
            <w:tcW w:type="dxa" w:w="2438"/>
            <w:tcMar>
              <w:top w:w="80" w:type="dxa"/>
              <w:left w:w="100" w:type="dxa"/>
              <w:bottom w:w="80" w:type="dxa"/>
              <w:right w:w="100" w:type="dxa"/>
            </w:tcMar>
          </w:tcPr>
          <w:p>
            <w:pPr>
              <w:spacing w:line="300" w:lineRule="auto"/>
            </w:pPr>
            <w:r>
              <w:rPr>
                <w:rFonts w:eastAsia="宋体"/>
                <w:color w:val="000000"/>
                <w:sz w:val="22"/>
                <w:szCs w:val="22"/>
              </w:rPr>
              <w:t>DutyApplicationService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原生 APP 发布</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MOD-DRILL</w:t>
            </w:r>
          </w:p>
        </w:tc>
        <w:tc>
          <w:tcPr>
            <w:tcW w:type="dxa" w:w="2268"/>
            <w:tcMar>
              <w:top w:w="80" w:type="dxa"/>
              <w:left w:w="100" w:type="dxa"/>
              <w:bottom w:w="80" w:type="dxa"/>
              <w:right w:w="100" w:type="dxa"/>
            </w:tcMar>
          </w:tcPr>
          <w:p>
            <w:pPr>
              <w:spacing w:line="300" w:lineRule="auto"/>
            </w:pPr>
            <w:r>
              <w:rPr>
                <w:rFonts w:eastAsia="宋体"/>
                <w:color w:val="000000"/>
                <w:sz w:val="22"/>
                <w:szCs w:val="22"/>
              </w:rPr>
              <w:t>演练、评估、整改、补演</w:t>
            </w:r>
          </w:p>
        </w:tc>
        <w:tc>
          <w:tcPr>
            <w:tcW w:type="dxa" w:w="2438"/>
            <w:tcMar>
              <w:top w:w="80" w:type="dxa"/>
              <w:left w:w="100" w:type="dxa"/>
              <w:bottom w:w="80" w:type="dxa"/>
              <w:right w:w="100" w:type="dxa"/>
            </w:tcMar>
          </w:tcPr>
          <w:p>
            <w:pPr>
              <w:spacing w:line="300" w:lineRule="auto"/>
            </w:pPr>
            <w:r>
              <w:rPr>
                <w:rFonts w:eastAsia="宋体"/>
                <w:color w:val="000000"/>
                <w:sz w:val="22"/>
                <w:szCs w:val="22"/>
              </w:rPr>
              <w:t>DrillApplicationService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通用工作流平台建设</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MOD-KNOWLEDGE</w:t>
            </w:r>
          </w:p>
        </w:tc>
        <w:tc>
          <w:tcPr>
            <w:tcW w:type="dxa" w:w="2268"/>
            <w:tcMar>
              <w:top w:w="80" w:type="dxa"/>
              <w:left w:w="100" w:type="dxa"/>
              <w:bottom w:w="80" w:type="dxa"/>
              <w:right w:w="100" w:type="dxa"/>
            </w:tcMar>
          </w:tcPr>
          <w:p>
            <w:pPr>
              <w:spacing w:line="300" w:lineRule="auto"/>
            </w:pPr>
            <w:r>
              <w:rPr>
                <w:rFonts w:eastAsia="宋体"/>
                <w:color w:val="000000"/>
                <w:sz w:val="22"/>
                <w:szCs w:val="22"/>
              </w:rPr>
              <w:t>知识条目和文件引用</w:t>
            </w:r>
          </w:p>
        </w:tc>
        <w:tc>
          <w:tcPr>
            <w:tcW w:type="dxa" w:w="2438"/>
            <w:tcMar>
              <w:top w:w="80" w:type="dxa"/>
              <w:left w:w="100" w:type="dxa"/>
              <w:bottom w:w="80" w:type="dxa"/>
              <w:right w:w="100" w:type="dxa"/>
            </w:tcMar>
          </w:tcPr>
          <w:p>
            <w:pPr>
              <w:spacing w:line="300" w:lineRule="auto"/>
            </w:pPr>
            <w:r>
              <w:rPr>
                <w:rFonts w:eastAsia="宋体"/>
                <w:color w:val="000000"/>
                <w:sz w:val="22"/>
                <w:szCs w:val="22"/>
              </w:rPr>
              <w:t>KnowledgeApplicationService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文件二进制存储</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MOD-MOBILE</w:t>
            </w:r>
          </w:p>
        </w:tc>
        <w:tc>
          <w:tcPr>
            <w:tcW w:type="dxa" w:w="2268"/>
            <w:tcMar>
              <w:top w:w="80" w:type="dxa"/>
              <w:left w:w="100" w:type="dxa"/>
              <w:bottom w:w="80" w:type="dxa"/>
              <w:right w:w="100" w:type="dxa"/>
            </w:tcMar>
          </w:tcPr>
          <w:p>
            <w:pPr>
              <w:spacing w:line="300" w:lineRule="auto"/>
            </w:pPr>
            <w:r>
              <w:rPr>
                <w:rFonts w:eastAsia="宋体"/>
                <w:color w:val="000000"/>
                <w:sz w:val="22"/>
                <w:szCs w:val="22"/>
              </w:rPr>
              <w:t>H5 用例组合和离线提示</w:t>
            </w:r>
          </w:p>
        </w:tc>
        <w:tc>
          <w:tcPr>
            <w:tcW w:type="dxa" w:w="2438"/>
            <w:tcMar>
              <w:top w:w="80" w:type="dxa"/>
              <w:left w:w="100" w:type="dxa"/>
              <w:bottom w:w="80" w:type="dxa"/>
              <w:right w:w="100" w:type="dxa"/>
            </w:tcMar>
          </w:tcPr>
          <w:p>
            <w:pPr>
              <w:spacing w:line="300" w:lineRule="auto"/>
            </w:pPr>
            <w:r>
              <w:rPr>
                <w:rFonts w:eastAsia="宋体"/>
                <w:color w:val="000000"/>
                <w:sz w:val="22"/>
                <w:szCs w:val="22"/>
              </w:rPr>
              <w:t>MobileFacade</w:t>
            </w:r>
          </w:p>
        </w:tc>
        <w:tc>
          <w:tcPr>
            <w:tcW w:type="dxa" w:w="2381"/>
            <w:tcMar>
              <w:top w:w="80" w:type="dxa"/>
              <w:left w:w="100" w:type="dxa"/>
              <w:bottom w:w="80" w:type="dxa"/>
              <w:right w:w="100" w:type="dxa"/>
            </w:tcMar>
          </w:tcPr>
          <w:p>
            <w:pPr>
              <w:spacing w:line="300" w:lineRule="auto"/>
            </w:pPr>
            <w:r>
              <w:rPr>
                <w:rFonts w:eastAsia="宋体"/>
                <w:color w:val="000000"/>
                <w:sz w:val="22"/>
                <w:szCs w:val="22"/>
              </w:rPr>
              <w:t>原生 Android/iOS 客户端</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MOD-INTEGRATION</w:t>
            </w:r>
          </w:p>
        </w:tc>
        <w:tc>
          <w:tcPr>
            <w:tcW w:type="dxa" w:w="2268"/>
            <w:tcMar>
              <w:top w:w="80" w:type="dxa"/>
              <w:left w:w="100" w:type="dxa"/>
              <w:bottom w:w="80" w:type="dxa"/>
              <w:right w:w="100" w:type="dxa"/>
            </w:tcMar>
          </w:tcPr>
          <w:p>
            <w:pPr>
              <w:spacing w:line="300" w:lineRule="auto"/>
            </w:pPr>
            <w:r>
              <w:rPr>
                <w:rFonts w:eastAsia="宋体"/>
                <w:color w:val="000000"/>
                <w:sz w:val="22"/>
                <w:szCs w:val="22"/>
              </w:rPr>
              <w:t>外部端口、协议适配、调用记录</w:t>
            </w:r>
          </w:p>
        </w:tc>
        <w:tc>
          <w:tcPr>
            <w:tcW w:type="dxa" w:w="2438"/>
            <w:tcMar>
              <w:top w:w="80" w:type="dxa"/>
              <w:left w:w="100" w:type="dxa"/>
              <w:bottom w:w="80" w:type="dxa"/>
              <w:right w:w="100" w:type="dxa"/>
            </w:tcMar>
          </w:tcPr>
          <w:p>
            <w:pPr>
              <w:spacing w:line="300" w:lineRule="auto"/>
            </w:pPr>
            <w:r>
              <w:rPr>
                <w:rFonts w:eastAsia="宋体"/>
                <w:color w:val="000000"/>
                <w:sz w:val="22"/>
                <w:szCs w:val="22"/>
              </w:rPr>
              <w:t>IntegrationCoordinator</w:t>
            </w:r>
          </w:p>
        </w:tc>
        <w:tc>
          <w:tcPr>
            <w:tcW w:type="dxa" w:w="2381"/>
            <w:tcMar>
              <w:top w:w="80" w:type="dxa"/>
              <w:left w:w="100" w:type="dxa"/>
              <w:bottom w:w="80" w:type="dxa"/>
              <w:right w:w="100" w:type="dxa"/>
            </w:tcMar>
          </w:tcPr>
          <w:p>
            <w:pPr>
              <w:spacing w:line="300" w:lineRule="auto"/>
            </w:pPr>
            <w:r>
              <w:rPr>
                <w:rFonts w:eastAsia="宋体"/>
                <w:color w:val="000000"/>
                <w:sz w:val="22"/>
                <w:szCs w:val="22"/>
              </w:rPr>
              <w:t>外部系统业务规则</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MOD-PLATFORM</w:t>
            </w:r>
          </w:p>
        </w:tc>
        <w:tc>
          <w:tcPr>
            <w:tcW w:type="dxa" w:w="2268"/>
            <w:tcMar>
              <w:top w:w="80" w:type="dxa"/>
              <w:left w:w="100" w:type="dxa"/>
              <w:bottom w:w="80" w:type="dxa"/>
              <w:right w:w="100" w:type="dxa"/>
            </w:tcMar>
          </w:tcPr>
          <w:p>
            <w:pPr>
              <w:spacing w:line="300" w:lineRule="auto"/>
            </w:pPr>
            <w:r>
              <w:rPr>
                <w:rFonts w:eastAsia="宋体"/>
                <w:color w:val="000000"/>
                <w:sz w:val="22"/>
                <w:szCs w:val="22"/>
              </w:rPr>
              <w:t>鉴权上下文、幂等、审计、Outbox、可观测</w:t>
            </w:r>
          </w:p>
        </w:tc>
        <w:tc>
          <w:tcPr>
            <w:tcW w:type="dxa" w:w="2438"/>
            <w:tcMar>
              <w:top w:w="80" w:type="dxa"/>
              <w:left w:w="100" w:type="dxa"/>
              <w:bottom w:w="80" w:type="dxa"/>
              <w:right w:w="100" w:type="dxa"/>
            </w:tcMar>
          </w:tcPr>
          <w:p>
            <w:pPr>
              <w:spacing w:line="300" w:lineRule="auto"/>
            </w:pPr>
            <w:r>
              <w:rPr>
                <w:rFonts w:eastAsia="宋体"/>
                <w:color w:val="000000"/>
                <w:sz w:val="22"/>
                <w:szCs w:val="22"/>
              </w:rPr>
              <w:t>RequestContext、OutboxDispatcher</w:t>
            </w:r>
          </w:p>
        </w:tc>
        <w:tc>
          <w:tcPr>
            <w:tcW w:type="dxa" w:w="2381"/>
            <w:tcMar>
              <w:top w:w="80" w:type="dxa"/>
              <w:left w:w="100" w:type="dxa"/>
              <w:bottom w:w="80" w:type="dxa"/>
              <w:right w:w="100" w:type="dxa"/>
            </w:tcMar>
          </w:tcPr>
          <w:p>
            <w:pPr>
              <w:spacing w:line="300" w:lineRule="auto"/>
            </w:pPr>
            <w:r>
              <w:rPr>
                <w:rFonts w:eastAsia="宋体"/>
                <w:color w:val="000000"/>
                <w:sz w:val="22"/>
                <w:szCs w:val="22"/>
              </w:rPr>
              <w:t>领域状态决定</w:t>
            </w:r>
          </w:p>
        </w:tc>
      </w:tr>
    </w:tbl>
    <w:p>
      <w:pPr>
        <w:pStyle w:val="2"/>
        <w:spacing w:before="240" w:after="160"/>
      </w:pPr>
      <w:r>
        <w:rPr>
          <w:rFonts w:eastAsia="黑体"/>
          <w:b/>
          <w:bCs/>
          <w:sz w:val="28"/>
          <w:szCs w:val="28"/>
        </w:rPr>
        <w:t>2.3 公共调用规则</w:t>
      </w:r>
    </w:p>
    <w:p>
      <w:pPr>
        <w:spacing w:after="100" w:line="360" w:lineRule="auto"/>
        <w:ind w:firstLine="475"/>
      </w:pPr>
      <w:r>
        <w:rPr>
          <w:rFonts w:eastAsia="宋体"/>
          <w:color w:val="000000"/>
          <w:sz w:val="24"/>
          <w:szCs w:val="24"/>
        </w:rPr>
        <w:t xml:space="preserve">每个命令携带 </w:t>
      </w:r>
      <w:r>
        <w:rPr>
          <w:rFonts w:eastAsia="宋体" w:ascii="Consolas" w:hAnsi="Consolas"/>
          <w:color w:val="000000"/>
          <w:sz w:val="21"/>
          <w:szCs w:val="24"/>
        </w:rPr>
        <w:t>requestId</w:t>
      </w:r>
      <w:r>
        <w:rPr>
          <w:rFonts w:eastAsia="宋体"/>
          <w:color w:val="000000"/>
          <w:sz w:val="24"/>
          <w:szCs w:val="24"/>
        </w:rPr>
        <w:t>、</w:t>
      </w:r>
      <w:r>
        <w:rPr>
          <w:rFonts w:eastAsia="宋体" w:ascii="Consolas" w:hAnsi="Consolas"/>
          <w:color w:val="000000"/>
          <w:sz w:val="21"/>
          <w:szCs w:val="24"/>
        </w:rPr>
        <w:t>traceId</w:t>
      </w:r>
      <w:r>
        <w:rPr>
          <w:rFonts w:eastAsia="宋体"/>
          <w:color w:val="000000"/>
          <w:sz w:val="24"/>
          <w:szCs w:val="24"/>
        </w:rPr>
        <w:t>、操作者、组织和数据权限上下文。应用服务依次执行授权、输入校验、幂等检查、聚合加载、业务校验、状态迁移、事务提交和审计记录。查询必须按数据权限过滤。对外错误使用稳定错误码和可读提示，日志不得保存明文凭据、完整短信正文或未脱敏敏感字段。</w:t>
      </w:r>
    </w:p>
    <w:p>
      <w:pPr>
        <w:pStyle w:val="1"/>
        <w:spacing w:before="240" w:after="160"/>
      </w:pPr>
      <w:r>
        <w:rPr>
          <w:rFonts w:eastAsia="黑体"/>
          <w:b/>
          <w:bCs/>
        </w:rPr>
        <w:t>3 公共组件详细设计</w:t>
      </w:r>
    </w:p>
    <w:p>
      <w:pPr>
        <w:pStyle w:val="2"/>
        <w:spacing w:before="240" w:after="160"/>
      </w:pPr>
      <w:r>
        <w:rPr>
          <w:rFonts w:eastAsia="黑体"/>
          <w:b/>
          <w:bCs/>
          <w:sz w:val="28"/>
          <w:szCs w:val="28"/>
        </w:rPr>
        <w:t>3.1 请求上下文与授权策略</w:t>
      </w:r>
    </w:p>
    <w:p>
      <w:pPr>
        <w:keepNext/>
        <w:jc w:val="center"/>
      </w:pPr>
      <w:r>
        <w:rPr>
          <w:rFonts w:eastAsia="黑体"/>
          <w:b/>
          <w:color w:val="000000"/>
          <w:sz w:val="18"/>
        </w:rPr>
        <w:t>表 3-1 请求上下文与授权策略</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4A0" w:firstRow="1" w:lastRow="0" w:firstColumn="1" w:lastColumn="0" w:noHBand="0" w:noVBand="1"/>
      </w:tblPr>
      <w:tblGrid>
        <w:gridCol w:w="1805"/>
        <w:gridCol w:w="1805"/>
        <w:gridCol w:w="1805"/>
        <w:gridCol w:w="1805"/>
        <w:gridCol w:w="1805"/>
      </w:tblGrid>
      <w:tr>
        <w:trPr>
          <w:tblHeader/>
          <w:cantSplit/>
        </w:trPr>
        <w:tc>
          <w:tcPr>
            <w:tcW w:type="dxa" w:w="1191"/>
            <w:shd w:val="clear" w:color="auto" w:fill="DCE6F1"/>
            <w:tcMar>
              <w:top w:w="80" w:type="dxa"/>
              <w:left w:w="100" w:type="dxa"/>
              <w:bottom w:w="80" w:type="dxa"/>
              <w:right w:w="100" w:type="dxa"/>
            </w:tcMar>
          </w:tcPr>
          <w:p>
            <w:pPr>
              <w:spacing w:line="300" w:lineRule="auto"/>
            </w:pPr>
            <w:r>
              <w:rPr>
                <w:rFonts w:eastAsia="宋体"/>
                <w:b/>
                <w:bCs/>
                <w:color w:val="000000"/>
                <w:sz w:val="24"/>
                <w:szCs w:val="24"/>
              </w:rPr>
              <w:t>设计元素</w:t>
            </w:r>
          </w:p>
        </w:tc>
        <w:tc>
          <w:tcPr>
            <w:tcW w:type="dxa" w:w="1814"/>
            <w:shd w:val="clear" w:color="auto" w:fill="DCE6F1"/>
            <w:tcMar>
              <w:top w:w="80" w:type="dxa"/>
              <w:left w:w="100" w:type="dxa"/>
              <w:bottom w:w="80" w:type="dxa"/>
              <w:right w:w="100" w:type="dxa"/>
            </w:tcMar>
          </w:tcPr>
          <w:p>
            <w:pPr>
              <w:spacing w:line="300" w:lineRule="auto"/>
            </w:pPr>
            <w:r>
              <w:rPr>
                <w:rFonts w:eastAsia="宋体"/>
                <w:b/>
                <w:bCs/>
                <w:color w:val="000000"/>
                <w:sz w:val="24"/>
                <w:szCs w:val="24"/>
              </w:rPr>
              <w:t>职责</w:t>
            </w:r>
          </w:p>
        </w:tc>
        <w:tc>
          <w:tcPr>
            <w:tcW w:type="dxa" w:w="1814"/>
            <w:shd w:val="clear" w:color="auto" w:fill="DCE6F1"/>
            <w:tcMar>
              <w:top w:w="80" w:type="dxa"/>
              <w:left w:w="100" w:type="dxa"/>
              <w:bottom w:w="80" w:type="dxa"/>
              <w:right w:w="100" w:type="dxa"/>
            </w:tcMar>
          </w:tcPr>
          <w:p>
            <w:pPr>
              <w:spacing w:line="300" w:lineRule="auto"/>
            </w:pPr>
            <w:r>
              <w:rPr>
                <w:rFonts w:eastAsia="宋体"/>
                <w:b/>
                <w:bCs/>
                <w:color w:val="000000"/>
                <w:sz w:val="24"/>
                <w:szCs w:val="24"/>
              </w:rPr>
              <w:t>输入 / 输出</w:t>
            </w:r>
          </w:p>
        </w:tc>
        <w:tc>
          <w:tcPr>
            <w:tcW w:type="dxa" w:w="2098"/>
            <w:shd w:val="clear" w:color="auto" w:fill="DCE6F1"/>
            <w:tcMar>
              <w:top w:w="80" w:type="dxa"/>
              <w:left w:w="100" w:type="dxa"/>
              <w:bottom w:w="80" w:type="dxa"/>
              <w:right w:w="100" w:type="dxa"/>
            </w:tcMar>
          </w:tcPr>
          <w:p>
            <w:pPr>
              <w:spacing w:line="300" w:lineRule="auto"/>
            </w:pPr>
            <w:r>
              <w:rPr>
                <w:rFonts w:eastAsia="宋体"/>
                <w:b/>
                <w:bCs/>
                <w:color w:val="000000"/>
                <w:sz w:val="24"/>
                <w:szCs w:val="24"/>
              </w:rPr>
              <w:t>失败处理</w:t>
            </w:r>
          </w:p>
        </w:tc>
        <w:tc>
          <w:tcPr>
            <w:tcW w:type="dxa" w:w="1701"/>
            <w:shd w:val="clear" w:color="auto" w:fill="DCE6F1"/>
            <w:tcMar>
              <w:top w:w="80" w:type="dxa"/>
              <w:left w:w="100" w:type="dxa"/>
              <w:bottom w:w="80" w:type="dxa"/>
              <w:right w:w="100" w:type="dxa"/>
            </w:tcMar>
          </w:tcPr>
          <w:p>
            <w:pPr>
              <w:spacing w:line="300" w:lineRule="auto"/>
            </w:pPr>
            <w:r>
              <w:rPr>
                <w:rFonts w:eastAsia="宋体"/>
                <w:b/>
                <w:bCs/>
                <w:color w:val="000000"/>
                <w:sz w:val="24"/>
                <w:szCs w:val="24"/>
              </w:rPr>
              <w:t>验证入口</w:t>
            </w:r>
          </w:p>
        </w:tc>
      </w:tr>
      <w:tr>
        <w:trPr>
          <w:cantSplit/>
        </w:trPr>
        <w:tc>
          <w:tcPr>
            <w:tcW w:type="dxa" w:w="1191"/>
            <w:tcMar>
              <w:top w:w="80" w:type="dxa"/>
              <w:left w:w="100" w:type="dxa"/>
              <w:bottom w:w="80" w:type="dxa"/>
              <w:right w:w="100" w:type="dxa"/>
            </w:tcMar>
          </w:tcPr>
          <w:p>
            <w:pPr>
              <w:spacing w:line="300" w:lineRule="auto"/>
            </w:pPr>
            <w:r>
              <w:rPr>
                <w:rFonts w:eastAsia="宋体"/>
                <w:color w:val="000000"/>
                <w:sz w:val="22"/>
                <w:szCs w:val="22"/>
              </w:rPr>
              <w:t>RequestContextFactory</w:t>
            </w:r>
          </w:p>
        </w:tc>
        <w:tc>
          <w:tcPr>
            <w:tcW w:type="dxa" w:w="1814"/>
            <w:tcMar>
              <w:top w:w="80" w:type="dxa"/>
              <w:left w:w="100" w:type="dxa"/>
              <w:bottom w:w="80" w:type="dxa"/>
              <w:right w:w="100" w:type="dxa"/>
            </w:tcMar>
          </w:tcPr>
          <w:p>
            <w:pPr>
              <w:spacing w:line="300" w:lineRule="auto"/>
            </w:pPr>
            <w:r>
              <w:rPr>
                <w:rFonts w:eastAsia="宋体"/>
                <w:color w:val="000000"/>
                <w:sz w:val="22"/>
                <w:szCs w:val="22"/>
              </w:rPr>
              <w:t>从中台令牌建立用户、组织、角色、数据域和 traceId</w:t>
            </w:r>
          </w:p>
        </w:tc>
        <w:tc>
          <w:tcPr>
            <w:tcW w:type="dxa" w:w="1814"/>
            <w:tcMar>
              <w:top w:w="80" w:type="dxa"/>
              <w:left w:w="100" w:type="dxa"/>
              <w:bottom w:w="80" w:type="dxa"/>
              <w:right w:w="100" w:type="dxa"/>
            </w:tcMar>
          </w:tcPr>
          <w:p>
            <w:pPr>
              <w:spacing w:line="300" w:lineRule="auto"/>
            </w:pPr>
            <w:r>
              <w:rPr>
                <w:rFonts w:eastAsia="宋体"/>
                <w:color w:val="000000"/>
                <w:sz w:val="22"/>
                <w:szCs w:val="22"/>
              </w:rPr>
              <w:t>令牌、请求头 / RequestContext</w:t>
            </w:r>
          </w:p>
        </w:tc>
        <w:tc>
          <w:tcPr>
            <w:tcW w:type="dxa" w:w="2098"/>
            <w:tcMar>
              <w:top w:w="80" w:type="dxa"/>
              <w:left w:w="100" w:type="dxa"/>
              <w:bottom w:w="80" w:type="dxa"/>
              <w:right w:w="100" w:type="dxa"/>
            </w:tcMar>
          </w:tcPr>
          <w:p>
            <w:pPr>
              <w:spacing w:line="300" w:lineRule="auto"/>
            </w:pPr>
            <w:r>
              <w:rPr>
                <w:rFonts w:eastAsia="宋体"/>
                <w:color w:val="000000"/>
                <w:sz w:val="22"/>
                <w:szCs w:val="22"/>
              </w:rPr>
              <w:t>令牌无效返回 AUTH-401，不进入领域事务</w:t>
            </w:r>
          </w:p>
        </w:tc>
        <w:tc>
          <w:tcPr>
            <w:tcW w:type="dxa" w:w="1701"/>
            <w:tcMar>
              <w:top w:w="80" w:type="dxa"/>
              <w:left w:w="100" w:type="dxa"/>
              <w:bottom w:w="80" w:type="dxa"/>
              <w:right w:w="100" w:type="dxa"/>
            </w:tcMar>
          </w:tcPr>
          <w:p>
            <w:pPr>
              <w:spacing w:line="300" w:lineRule="auto"/>
            </w:pPr>
            <w:r>
              <w:rPr>
                <w:rFonts w:eastAsia="宋体"/>
                <w:color w:val="000000"/>
                <w:sz w:val="22"/>
                <w:szCs w:val="22"/>
              </w:rPr>
              <w:t>伪造、过期、缺失令牌测试</w:t>
            </w:r>
          </w:p>
        </w:tc>
      </w:tr>
      <w:tr>
        <w:trPr>
          <w:cantSplit/>
        </w:trPr>
        <w:tc>
          <w:tcPr>
            <w:tcW w:type="dxa" w:w="1191"/>
            <w:tcMar>
              <w:top w:w="80" w:type="dxa"/>
              <w:left w:w="100" w:type="dxa"/>
              <w:bottom w:w="80" w:type="dxa"/>
              <w:right w:w="100" w:type="dxa"/>
            </w:tcMar>
          </w:tcPr>
          <w:p>
            <w:pPr>
              <w:spacing w:line="300" w:lineRule="auto"/>
            </w:pPr>
            <w:r>
              <w:rPr>
                <w:rFonts w:eastAsia="宋体"/>
                <w:color w:val="000000"/>
                <w:sz w:val="22"/>
                <w:szCs w:val="22"/>
              </w:rPr>
              <w:t>AuthorizationPolicy</w:t>
            </w:r>
          </w:p>
        </w:tc>
        <w:tc>
          <w:tcPr>
            <w:tcW w:type="dxa" w:w="1814"/>
            <w:tcMar>
              <w:top w:w="80" w:type="dxa"/>
              <w:left w:w="100" w:type="dxa"/>
              <w:bottom w:w="80" w:type="dxa"/>
              <w:right w:w="100" w:type="dxa"/>
            </w:tcMar>
          </w:tcPr>
          <w:p>
            <w:pPr>
              <w:spacing w:line="300" w:lineRule="auto"/>
            </w:pPr>
            <w:r>
              <w:rPr>
                <w:rFonts w:eastAsia="宋体"/>
                <w:color w:val="000000"/>
                <w:sz w:val="22"/>
                <w:szCs w:val="22"/>
              </w:rPr>
              <w:t>校验功能权限、数据范围和敏感操作二次确认</w:t>
            </w:r>
          </w:p>
        </w:tc>
        <w:tc>
          <w:tcPr>
            <w:tcW w:type="dxa" w:w="1814"/>
            <w:tcMar>
              <w:top w:w="80" w:type="dxa"/>
              <w:left w:w="100" w:type="dxa"/>
              <w:bottom w:w="80" w:type="dxa"/>
              <w:right w:w="100" w:type="dxa"/>
            </w:tcMar>
          </w:tcPr>
          <w:p>
            <w:pPr>
              <w:spacing w:line="300" w:lineRule="auto"/>
            </w:pPr>
            <w:r>
              <w:rPr>
                <w:rFonts w:eastAsia="宋体"/>
                <w:color w:val="000000"/>
                <w:sz w:val="22"/>
                <w:szCs w:val="22"/>
              </w:rPr>
              <w:t>Context、action、resource / Permit</w:t>
            </w:r>
          </w:p>
        </w:tc>
        <w:tc>
          <w:tcPr>
            <w:tcW w:type="dxa" w:w="2098"/>
            <w:tcMar>
              <w:top w:w="80" w:type="dxa"/>
              <w:left w:w="100" w:type="dxa"/>
              <w:bottom w:w="80" w:type="dxa"/>
              <w:right w:w="100" w:type="dxa"/>
            </w:tcMar>
          </w:tcPr>
          <w:p>
            <w:pPr>
              <w:spacing w:line="300" w:lineRule="auto"/>
            </w:pPr>
            <w:r>
              <w:rPr>
                <w:rFonts w:eastAsia="宋体"/>
                <w:color w:val="000000"/>
                <w:sz w:val="22"/>
                <w:szCs w:val="22"/>
              </w:rPr>
              <w:t>拒绝写审计并返回 AUTH-403</w:t>
            </w:r>
          </w:p>
        </w:tc>
        <w:tc>
          <w:tcPr>
            <w:tcW w:type="dxa" w:w="1701"/>
            <w:tcMar>
              <w:top w:w="80" w:type="dxa"/>
              <w:left w:w="100" w:type="dxa"/>
              <w:bottom w:w="80" w:type="dxa"/>
              <w:right w:w="100" w:type="dxa"/>
            </w:tcMar>
          </w:tcPr>
          <w:p>
            <w:pPr>
              <w:spacing w:line="300" w:lineRule="auto"/>
            </w:pPr>
            <w:r>
              <w:rPr>
                <w:rFonts w:eastAsia="宋体"/>
                <w:color w:val="000000"/>
                <w:sz w:val="22"/>
                <w:szCs w:val="22"/>
              </w:rPr>
              <w:t>越权读写、跨组织测试</w:t>
            </w:r>
          </w:p>
        </w:tc>
      </w:tr>
      <w:tr>
        <w:trPr>
          <w:cantSplit/>
        </w:trPr>
        <w:tc>
          <w:tcPr>
            <w:tcW w:type="dxa" w:w="1191"/>
            <w:tcMar>
              <w:top w:w="80" w:type="dxa"/>
              <w:left w:w="100" w:type="dxa"/>
              <w:bottom w:w="80" w:type="dxa"/>
              <w:right w:w="100" w:type="dxa"/>
            </w:tcMar>
          </w:tcPr>
          <w:p>
            <w:pPr>
              <w:spacing w:line="300" w:lineRule="auto"/>
            </w:pPr>
            <w:r>
              <w:rPr>
                <w:rFonts w:eastAsia="宋体"/>
                <w:color w:val="000000"/>
                <w:sz w:val="22"/>
                <w:szCs w:val="22"/>
              </w:rPr>
              <w:t>InputValidator</w:t>
            </w:r>
          </w:p>
        </w:tc>
        <w:tc>
          <w:tcPr>
            <w:tcW w:type="dxa" w:w="1814"/>
            <w:tcMar>
              <w:top w:w="80" w:type="dxa"/>
              <w:left w:w="100" w:type="dxa"/>
              <w:bottom w:w="80" w:type="dxa"/>
              <w:right w:w="100" w:type="dxa"/>
            </w:tcMar>
          </w:tcPr>
          <w:p>
            <w:pPr>
              <w:spacing w:line="300" w:lineRule="auto"/>
            </w:pPr>
            <w:r>
              <w:rPr>
                <w:rFonts w:eastAsia="宋体"/>
                <w:color w:val="000000"/>
                <w:sz w:val="22"/>
                <w:szCs w:val="22"/>
              </w:rPr>
              <w:t>校验必填、枚举、长度、时间、坐标和附件引用</w:t>
            </w:r>
          </w:p>
        </w:tc>
        <w:tc>
          <w:tcPr>
            <w:tcW w:type="dxa" w:w="1814"/>
            <w:tcMar>
              <w:top w:w="80" w:type="dxa"/>
              <w:left w:w="100" w:type="dxa"/>
              <w:bottom w:w="80" w:type="dxa"/>
              <w:right w:w="100" w:type="dxa"/>
            </w:tcMar>
          </w:tcPr>
          <w:p>
            <w:pPr>
              <w:spacing w:line="300" w:lineRule="auto"/>
            </w:pPr>
            <w:r>
              <w:rPr>
                <w:rFonts w:eastAsia="宋体"/>
                <w:color w:val="000000"/>
                <w:sz w:val="22"/>
                <w:szCs w:val="22"/>
              </w:rPr>
              <w:t>Command / ValidationResult</w:t>
            </w:r>
          </w:p>
        </w:tc>
        <w:tc>
          <w:tcPr>
            <w:tcW w:type="dxa" w:w="2098"/>
            <w:tcMar>
              <w:top w:w="80" w:type="dxa"/>
              <w:left w:w="100" w:type="dxa"/>
              <w:bottom w:w="80" w:type="dxa"/>
              <w:right w:w="100" w:type="dxa"/>
            </w:tcMar>
          </w:tcPr>
          <w:p>
            <w:pPr>
              <w:spacing w:line="300" w:lineRule="auto"/>
            </w:pPr>
            <w:r>
              <w:rPr>
                <w:rFonts w:eastAsia="宋体"/>
                <w:color w:val="000000"/>
                <w:sz w:val="22"/>
                <w:szCs w:val="22"/>
              </w:rPr>
              <w:t>聚合所有字段错误，不产生部分写入</w:t>
            </w:r>
          </w:p>
        </w:tc>
        <w:tc>
          <w:tcPr>
            <w:tcW w:type="dxa" w:w="1701"/>
            <w:tcMar>
              <w:top w:w="80" w:type="dxa"/>
              <w:left w:w="100" w:type="dxa"/>
              <w:bottom w:w="80" w:type="dxa"/>
              <w:right w:w="100" w:type="dxa"/>
            </w:tcMar>
          </w:tcPr>
          <w:p>
            <w:pPr>
              <w:spacing w:line="300" w:lineRule="auto"/>
            </w:pPr>
            <w:r>
              <w:rPr>
                <w:rFonts w:eastAsia="宋体"/>
                <w:color w:val="000000"/>
                <w:sz w:val="22"/>
                <w:szCs w:val="22"/>
              </w:rPr>
              <w:t>边界值、非法枚举测试</w:t>
            </w:r>
          </w:p>
        </w:tc>
      </w:tr>
    </w:tbl>
    <w:p>
      <w:pPr>
        <w:pStyle w:val="2"/>
        <w:spacing w:before="240" w:after="160"/>
      </w:pPr>
      <w:r>
        <w:rPr>
          <w:rFonts w:eastAsia="黑体"/>
          <w:b/>
          <w:bCs/>
          <w:sz w:val="28"/>
          <w:szCs w:val="28"/>
        </w:rPr>
        <w:t>3.2 幂等、事务与 Outbox</w:t>
      </w:r>
    </w:p>
    <w:p>
      <w:pPr>
        <w:spacing w:after="100" w:line="360" w:lineRule="auto"/>
        <w:ind w:firstLine="475"/>
      </w:pPr>
      <w:r>
        <w:rPr>
          <w:rFonts w:eastAsia="宋体" w:ascii="Consolas" w:hAnsi="Consolas"/>
          <w:color w:val="000000"/>
          <w:sz w:val="21"/>
          <w:szCs w:val="24"/>
        </w:rPr>
        <w:t>IdempotencyGuard.begin(scope,key,requestHash)</w:t>
      </w:r>
      <w:r>
        <w:rPr>
          <w:rFonts w:eastAsia="宋体"/>
          <w:color w:val="000000"/>
          <w:sz w:val="24"/>
          <w:szCs w:val="24"/>
        </w:rPr>
        <w:t xml:space="preserve"> 创建处理中记录；同键同摘要返回既有结果，同键异摘要拒绝。应用事务同时写领域事实、状态历史、审计摘要和 </w:t>
      </w:r>
      <w:r>
        <w:rPr>
          <w:rFonts w:eastAsia="宋体" w:ascii="Consolas" w:hAnsi="Consolas"/>
          <w:color w:val="000000"/>
          <w:sz w:val="21"/>
          <w:szCs w:val="24"/>
        </w:rPr>
        <w:t>outbox_event</w:t>
      </w:r>
      <w:r>
        <w:rPr>
          <w:rFonts w:eastAsia="宋体"/>
          <w:color w:val="000000"/>
          <w:sz w:val="24"/>
          <w:szCs w:val="24"/>
        </w:rPr>
        <w:t>。</w:t>
      </w:r>
      <w:r>
        <w:rPr>
          <w:rFonts w:eastAsia="宋体" w:ascii="Consolas" w:hAnsi="Consolas"/>
          <w:color w:val="000000"/>
          <w:sz w:val="21"/>
          <w:szCs w:val="24"/>
        </w:rPr>
        <w:t>OutboxDispatcher</w:t>
      </w:r>
      <w:r>
        <w:rPr>
          <w:rFonts w:eastAsia="宋体"/>
          <w:color w:val="000000"/>
          <w:sz w:val="24"/>
          <w:szCs w:val="24"/>
        </w:rPr>
        <w:t xml:space="preserve"> 按事件类型路由，采用租约避免并发重复消费；失败按受控次数退避并保留最后错误。控制指令使用独立一次性令牌，发送超时不得由通用重试器自动重发。</w:t>
      </w:r>
    </w:p>
    <w:p>
      <w:pPr>
        <w:keepNext/>
        <w:jc w:val="center"/>
      </w:pPr>
      <w:r>
        <w:rPr>
          <w:rFonts w:eastAsia="黑体"/>
          <w:b/>
          <w:color w:val="000000"/>
          <w:sz w:val="18"/>
        </w:rPr>
        <w:t>表 3-2 幂等、事务与 Outbox</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4A0" w:firstRow="1" w:lastRow="0" w:firstColumn="1" w:lastColumn="0" w:noHBand="0" w:noVBand="1"/>
      </w:tblPr>
      <w:tblGrid>
        <w:gridCol w:w="2256"/>
        <w:gridCol w:w="2256"/>
        <w:gridCol w:w="2256"/>
        <w:gridCol w:w="2256"/>
      </w:tblGrid>
      <w:tr>
        <w:trPr>
          <w:tblHeader/>
          <w:cantSplit/>
        </w:trPr>
        <w:tc>
          <w:tcPr>
            <w:tcW w:type="dxa" w:w="1531"/>
            <w:shd w:val="clear" w:color="auto" w:fill="DCE6F1"/>
            <w:tcMar>
              <w:top w:w="80" w:type="dxa"/>
              <w:left w:w="100" w:type="dxa"/>
              <w:bottom w:w="80" w:type="dxa"/>
              <w:right w:w="100" w:type="dxa"/>
            </w:tcMar>
          </w:tcPr>
          <w:p>
            <w:pPr>
              <w:spacing w:line="300" w:lineRule="auto"/>
            </w:pPr>
            <w:r>
              <w:rPr>
                <w:rFonts w:eastAsia="宋体"/>
                <w:b/>
                <w:bCs/>
                <w:color w:val="000000"/>
                <w:sz w:val="24"/>
                <w:szCs w:val="24"/>
              </w:rPr>
              <w:t>组件</w:t>
            </w:r>
          </w:p>
        </w:tc>
        <w:tc>
          <w:tcPr>
            <w:tcW w:type="dxa" w:w="2268"/>
            <w:shd w:val="clear" w:color="auto" w:fill="DCE6F1"/>
            <w:tcMar>
              <w:top w:w="80" w:type="dxa"/>
              <w:left w:w="100" w:type="dxa"/>
              <w:bottom w:w="80" w:type="dxa"/>
              <w:right w:w="100" w:type="dxa"/>
            </w:tcMar>
          </w:tcPr>
          <w:p>
            <w:pPr>
              <w:spacing w:line="300" w:lineRule="auto"/>
            </w:pPr>
            <w:r>
              <w:rPr>
                <w:rFonts w:eastAsia="宋体"/>
                <w:b/>
                <w:bCs/>
                <w:color w:val="000000"/>
                <w:sz w:val="24"/>
                <w:szCs w:val="24"/>
              </w:rPr>
              <w:t>核心方法</w:t>
            </w:r>
          </w:p>
        </w:tc>
        <w:tc>
          <w:tcPr>
            <w:tcW w:type="dxa" w:w="2438"/>
            <w:shd w:val="clear" w:color="auto" w:fill="DCE6F1"/>
            <w:tcMar>
              <w:top w:w="80" w:type="dxa"/>
              <w:left w:w="100" w:type="dxa"/>
              <w:bottom w:w="80" w:type="dxa"/>
              <w:right w:w="100" w:type="dxa"/>
            </w:tcMar>
          </w:tcPr>
          <w:p>
            <w:pPr>
              <w:spacing w:line="300" w:lineRule="auto"/>
            </w:pPr>
            <w:r>
              <w:rPr>
                <w:rFonts w:eastAsia="宋体"/>
                <w:b/>
                <w:bCs/>
                <w:color w:val="000000"/>
                <w:sz w:val="24"/>
                <w:szCs w:val="24"/>
              </w:rPr>
              <w:t>事务边界</w:t>
            </w:r>
          </w:p>
        </w:tc>
        <w:tc>
          <w:tcPr>
            <w:tcW w:type="dxa" w:w="2381"/>
            <w:shd w:val="clear" w:color="auto" w:fill="DCE6F1"/>
            <w:tcMar>
              <w:top w:w="80" w:type="dxa"/>
              <w:left w:w="100" w:type="dxa"/>
              <w:bottom w:w="80" w:type="dxa"/>
              <w:right w:w="100" w:type="dxa"/>
            </w:tcMar>
          </w:tcPr>
          <w:p>
            <w:pPr>
              <w:spacing w:line="300" w:lineRule="auto"/>
            </w:pPr>
            <w:r>
              <w:rPr>
                <w:rFonts w:eastAsia="宋体"/>
                <w:b/>
                <w:bCs/>
                <w:color w:val="000000"/>
                <w:sz w:val="24"/>
                <w:szCs w:val="24"/>
              </w:rPr>
              <w:t>异常与补偿</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UnitOfWork</w:t>
            </w:r>
          </w:p>
        </w:tc>
        <w:tc>
          <w:tcPr>
            <w:tcW w:type="dxa" w:w="2268"/>
            <w:tcMar>
              <w:top w:w="80" w:type="dxa"/>
              <w:left w:w="100" w:type="dxa"/>
              <w:bottom w:w="80" w:type="dxa"/>
              <w:right w:w="100" w:type="dxa"/>
            </w:tcMar>
          </w:tcPr>
          <w:p>
            <w:pPr>
              <w:spacing w:line="300" w:lineRule="auto"/>
            </w:pPr>
            <w:r>
              <w:rPr>
                <w:rFonts w:eastAsia="宋体"/>
                <w:color w:val="000000"/>
                <w:sz w:val="22"/>
                <w:szCs w:val="22"/>
              </w:rPr>
              <w:t>begin、commit、rollback</w:t>
            </w:r>
          </w:p>
        </w:tc>
        <w:tc>
          <w:tcPr>
            <w:tcW w:type="dxa" w:w="2438"/>
            <w:tcMar>
              <w:top w:w="80" w:type="dxa"/>
              <w:left w:w="100" w:type="dxa"/>
              <w:bottom w:w="80" w:type="dxa"/>
              <w:right w:w="100" w:type="dxa"/>
            </w:tcMar>
          </w:tcPr>
          <w:p>
            <w:pPr>
              <w:spacing w:line="300" w:lineRule="auto"/>
            </w:pPr>
            <w:r>
              <w:rPr>
                <w:rFonts w:eastAsia="宋体"/>
                <w:color w:val="000000"/>
                <w:sz w:val="22"/>
                <w:szCs w:val="22"/>
              </w:rPr>
              <w:t>单领域一次命令</w:t>
            </w:r>
          </w:p>
        </w:tc>
        <w:tc>
          <w:tcPr>
            <w:tcW w:type="dxa" w:w="2381"/>
            <w:tcMar>
              <w:top w:w="80" w:type="dxa"/>
              <w:left w:w="100" w:type="dxa"/>
              <w:bottom w:w="80" w:type="dxa"/>
              <w:right w:w="100" w:type="dxa"/>
            </w:tcMar>
          </w:tcPr>
          <w:p>
            <w:pPr>
              <w:spacing w:line="300" w:lineRule="auto"/>
            </w:pPr>
            <w:r>
              <w:rPr>
                <w:rFonts w:eastAsia="宋体"/>
                <w:color w:val="000000"/>
                <w:sz w:val="22"/>
                <w:szCs w:val="22"/>
              </w:rPr>
              <w:t>提交失败整体回滚；外部调用不置于长事务中</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IdempotencyGuard</w:t>
            </w:r>
          </w:p>
        </w:tc>
        <w:tc>
          <w:tcPr>
            <w:tcW w:type="dxa" w:w="2268"/>
            <w:tcMar>
              <w:top w:w="80" w:type="dxa"/>
              <w:left w:w="100" w:type="dxa"/>
              <w:bottom w:w="80" w:type="dxa"/>
              <w:right w:w="100" w:type="dxa"/>
            </w:tcMar>
          </w:tcPr>
          <w:p>
            <w:pPr>
              <w:spacing w:line="300" w:lineRule="auto"/>
            </w:pPr>
            <w:r>
              <w:rPr>
                <w:rFonts w:eastAsia="宋体"/>
                <w:color w:val="000000"/>
                <w:sz w:val="22"/>
                <w:szCs w:val="22"/>
              </w:rPr>
              <w:t>begin、complete、fail</w:t>
            </w:r>
          </w:p>
        </w:tc>
        <w:tc>
          <w:tcPr>
            <w:tcW w:type="dxa" w:w="2438"/>
            <w:tcMar>
              <w:top w:w="80" w:type="dxa"/>
              <w:left w:w="100" w:type="dxa"/>
              <w:bottom w:w="80" w:type="dxa"/>
              <w:right w:w="100" w:type="dxa"/>
            </w:tcMar>
          </w:tcPr>
          <w:p>
            <w:pPr>
              <w:spacing w:line="300" w:lineRule="auto"/>
            </w:pPr>
            <w:r>
              <w:rPr>
                <w:rFonts w:eastAsia="宋体"/>
                <w:color w:val="000000"/>
                <w:sz w:val="22"/>
                <w:szCs w:val="22"/>
              </w:rPr>
              <w:t>与业务提交关联</w:t>
            </w:r>
          </w:p>
        </w:tc>
        <w:tc>
          <w:tcPr>
            <w:tcW w:type="dxa" w:w="2381"/>
            <w:tcMar>
              <w:top w:w="80" w:type="dxa"/>
              <w:left w:w="100" w:type="dxa"/>
              <w:bottom w:w="80" w:type="dxa"/>
              <w:right w:w="100" w:type="dxa"/>
            </w:tcMar>
          </w:tcPr>
          <w:p>
            <w:pPr>
              <w:spacing w:line="300" w:lineRule="auto"/>
            </w:pPr>
            <w:r>
              <w:rPr>
                <w:rFonts w:eastAsia="宋体"/>
                <w:color w:val="000000"/>
                <w:sz w:val="22"/>
                <w:szCs w:val="22"/>
              </w:rPr>
              <w:t>处理中超时由运维核对，不直接重复执行业务</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OutboxPublisher</w:t>
            </w:r>
          </w:p>
        </w:tc>
        <w:tc>
          <w:tcPr>
            <w:tcW w:type="dxa" w:w="2268"/>
            <w:tcMar>
              <w:top w:w="80" w:type="dxa"/>
              <w:left w:w="100" w:type="dxa"/>
              <w:bottom w:w="80" w:type="dxa"/>
              <w:right w:w="100" w:type="dxa"/>
            </w:tcMar>
          </w:tcPr>
          <w:p>
            <w:pPr>
              <w:spacing w:line="300" w:lineRule="auto"/>
            </w:pPr>
            <w:r>
              <w:rPr>
                <w:rFonts w:eastAsia="宋体"/>
                <w:color w:val="000000"/>
                <w:sz w:val="22"/>
                <w:szCs w:val="22"/>
              </w:rPr>
              <w:t>append</w:t>
            </w:r>
          </w:p>
        </w:tc>
        <w:tc>
          <w:tcPr>
            <w:tcW w:type="dxa" w:w="2438"/>
            <w:tcMar>
              <w:top w:w="80" w:type="dxa"/>
              <w:left w:w="100" w:type="dxa"/>
              <w:bottom w:w="80" w:type="dxa"/>
              <w:right w:w="100" w:type="dxa"/>
            </w:tcMar>
          </w:tcPr>
          <w:p>
            <w:pPr>
              <w:spacing w:line="300" w:lineRule="auto"/>
            </w:pPr>
            <w:r>
              <w:rPr>
                <w:rFonts w:eastAsia="宋体"/>
                <w:color w:val="000000"/>
                <w:sz w:val="22"/>
                <w:szCs w:val="22"/>
              </w:rPr>
              <w:t>与领域事实同事务</w:t>
            </w:r>
          </w:p>
        </w:tc>
        <w:tc>
          <w:tcPr>
            <w:tcW w:type="dxa" w:w="2381"/>
            <w:tcMar>
              <w:top w:w="80" w:type="dxa"/>
              <w:left w:w="100" w:type="dxa"/>
              <w:bottom w:w="80" w:type="dxa"/>
              <w:right w:w="100" w:type="dxa"/>
            </w:tcMar>
          </w:tcPr>
          <w:p>
            <w:pPr>
              <w:spacing w:line="300" w:lineRule="auto"/>
            </w:pPr>
            <w:r>
              <w:rPr>
                <w:rFonts w:eastAsia="宋体"/>
                <w:color w:val="000000"/>
                <w:sz w:val="22"/>
                <w:szCs w:val="22"/>
              </w:rPr>
              <w:t>写入失败则业务事务回滚</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OutboxDispatcher</w:t>
            </w:r>
          </w:p>
        </w:tc>
        <w:tc>
          <w:tcPr>
            <w:tcW w:type="dxa" w:w="2268"/>
            <w:tcMar>
              <w:top w:w="80" w:type="dxa"/>
              <w:left w:w="100" w:type="dxa"/>
              <w:bottom w:w="80" w:type="dxa"/>
              <w:right w:w="100" w:type="dxa"/>
            </w:tcMar>
          </w:tcPr>
          <w:p>
            <w:pPr>
              <w:spacing w:line="300" w:lineRule="auto"/>
            </w:pPr>
            <w:r>
              <w:rPr>
                <w:rFonts w:eastAsia="宋体"/>
                <w:color w:val="000000"/>
                <w:sz w:val="22"/>
                <w:szCs w:val="22"/>
              </w:rPr>
              <w:t>claim、dispatch、reschedule</w:t>
            </w:r>
          </w:p>
        </w:tc>
        <w:tc>
          <w:tcPr>
            <w:tcW w:type="dxa" w:w="2438"/>
            <w:tcMar>
              <w:top w:w="80" w:type="dxa"/>
              <w:left w:w="100" w:type="dxa"/>
              <w:bottom w:w="80" w:type="dxa"/>
              <w:right w:w="100" w:type="dxa"/>
            </w:tcMar>
          </w:tcPr>
          <w:p>
            <w:pPr>
              <w:spacing w:line="300" w:lineRule="auto"/>
            </w:pPr>
            <w:r>
              <w:rPr>
                <w:rFonts w:eastAsia="宋体"/>
                <w:color w:val="000000"/>
                <w:sz w:val="22"/>
                <w:szCs w:val="22"/>
              </w:rPr>
              <w:t>每条事件短事务</w:t>
            </w:r>
          </w:p>
        </w:tc>
        <w:tc>
          <w:tcPr>
            <w:tcW w:type="dxa" w:w="2381"/>
            <w:tcMar>
              <w:top w:w="80" w:type="dxa"/>
              <w:left w:w="100" w:type="dxa"/>
              <w:bottom w:w="80" w:type="dxa"/>
              <w:right w:w="100" w:type="dxa"/>
            </w:tcMar>
          </w:tcPr>
          <w:p>
            <w:pPr>
              <w:spacing w:line="300" w:lineRule="auto"/>
            </w:pPr>
            <w:r>
              <w:rPr>
                <w:rFonts w:eastAsia="宋体"/>
                <w:color w:val="000000"/>
                <w:sz w:val="22"/>
                <w:szCs w:val="22"/>
              </w:rPr>
              <w:t>普通通知有限重试；控制事件转人工</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AuditRecorder</w:t>
            </w:r>
          </w:p>
        </w:tc>
        <w:tc>
          <w:tcPr>
            <w:tcW w:type="dxa" w:w="2268"/>
            <w:tcMar>
              <w:top w:w="80" w:type="dxa"/>
              <w:left w:w="100" w:type="dxa"/>
              <w:bottom w:w="80" w:type="dxa"/>
              <w:right w:w="100" w:type="dxa"/>
            </w:tcMar>
          </w:tcPr>
          <w:p>
            <w:pPr>
              <w:spacing w:line="300" w:lineRule="auto"/>
            </w:pPr>
            <w:r>
              <w:rPr>
                <w:rFonts w:eastAsia="宋体"/>
                <w:color w:val="000000"/>
                <w:sz w:val="22"/>
                <w:szCs w:val="22"/>
              </w:rPr>
              <w:t>recordDecision、recordAccess</w:t>
            </w:r>
          </w:p>
        </w:tc>
        <w:tc>
          <w:tcPr>
            <w:tcW w:type="dxa" w:w="2438"/>
            <w:tcMar>
              <w:top w:w="80" w:type="dxa"/>
              <w:left w:w="100" w:type="dxa"/>
              <w:bottom w:w="80" w:type="dxa"/>
              <w:right w:w="100" w:type="dxa"/>
            </w:tcMar>
          </w:tcPr>
          <w:p>
            <w:pPr>
              <w:spacing w:line="300" w:lineRule="auto"/>
            </w:pPr>
            <w:r>
              <w:rPr>
                <w:rFonts w:eastAsia="宋体"/>
                <w:color w:val="000000"/>
                <w:sz w:val="22"/>
                <w:szCs w:val="22"/>
              </w:rPr>
              <w:t>与敏感业务同步或可靠异步</w:t>
            </w:r>
          </w:p>
        </w:tc>
        <w:tc>
          <w:tcPr>
            <w:tcW w:type="dxa" w:w="2381"/>
            <w:tcMar>
              <w:top w:w="80" w:type="dxa"/>
              <w:left w:w="100" w:type="dxa"/>
              <w:bottom w:w="80" w:type="dxa"/>
              <w:right w:w="100" w:type="dxa"/>
            </w:tcMar>
          </w:tcPr>
          <w:p>
            <w:pPr>
              <w:spacing w:line="300" w:lineRule="auto"/>
            </w:pPr>
            <w:r>
              <w:rPr>
                <w:rFonts w:eastAsia="宋体"/>
                <w:color w:val="000000"/>
                <w:sz w:val="22"/>
                <w:szCs w:val="22"/>
              </w:rPr>
              <w:t>审计不可用时敏感写操作失败关闭</w:t>
            </w:r>
          </w:p>
        </w:tc>
      </w:tr>
    </w:tbl>
    <w:p>
      <w:pPr>
        <w:pStyle w:val="2"/>
        <w:spacing w:before="240" w:after="160"/>
      </w:pPr>
      <w:r>
        <w:rPr>
          <w:rFonts w:eastAsia="黑体"/>
          <w:b/>
          <w:bCs/>
          <w:sz w:val="28"/>
          <w:szCs w:val="28"/>
        </w:rPr>
        <w:t>3.3 四类时间和迟到数据</w:t>
      </w:r>
    </w:p>
    <w:p>
      <w:pPr>
        <w:spacing w:after="100" w:line="360" w:lineRule="auto"/>
        <w:ind w:firstLine="475"/>
      </w:pPr>
      <w:r>
        <w:rPr>
          <w:rFonts w:eastAsia="宋体"/>
          <w:color w:val="000000"/>
          <w:sz w:val="24"/>
          <w:szCs w:val="24"/>
        </w:rPr>
        <w:t>所有跨系统事实区分业务发生时间、源系统产生时间、本系统接收时间和处理完成时间。排序首先使用业务语义规定的时间，再以接收时间和序列号稳定排序。迟到回执追加到原投递记录；已完成业务不得因迟到回执重复迁移。位置数据按源时间判断新鲜度，过期定位仅显示最后已知位置及明显过期标识，不参与自动调派。</w:t>
      </w:r>
    </w:p>
    <w:p>
      <w:pPr>
        <w:pStyle w:val="1"/>
        <w:spacing w:before="240" w:after="160"/>
      </w:pPr>
      <w:r>
        <w:rPr>
          <w:rFonts w:eastAsia="黑体"/>
          <w:b/>
          <w:bCs/>
        </w:rPr>
        <w:t>4 预案与事件详细设计</w:t>
      </w:r>
    </w:p>
    <w:p>
      <w:pPr>
        <w:pStyle w:val="2"/>
        <w:spacing w:before="240" w:after="160"/>
      </w:pPr>
      <w:r>
        <w:rPr>
          <w:rFonts w:eastAsia="黑体"/>
          <w:b/>
          <w:bCs/>
          <w:sz w:val="28"/>
          <w:szCs w:val="28"/>
        </w:rPr>
        <w:t>4.1 预案聚合</w:t>
      </w:r>
    </w:p>
    <w:p>
      <w:pPr>
        <w:spacing w:after="100" w:line="360" w:lineRule="auto"/>
        <w:ind w:firstLine="475"/>
      </w:pPr>
      <w:r>
        <w:rPr>
          <w:rFonts w:eastAsia="宋体" w:ascii="Consolas" w:hAnsi="Consolas"/>
          <w:color w:val="000000"/>
          <w:sz w:val="21"/>
          <w:szCs w:val="24"/>
        </w:rPr>
        <w:t>PlanAggregate</w:t>
      </w:r>
      <w:r>
        <w:rPr>
          <w:rFonts w:eastAsia="宋体"/>
          <w:color w:val="000000"/>
          <w:sz w:val="24"/>
          <w:szCs w:val="24"/>
        </w:rPr>
        <w:t xml:space="preserve"> 管理预案基本信息和版本集合；</w:t>
      </w:r>
      <w:r>
        <w:rPr>
          <w:rFonts w:eastAsia="宋体" w:ascii="Consolas" w:hAnsi="Consolas"/>
          <w:color w:val="000000"/>
          <w:sz w:val="21"/>
          <w:szCs w:val="24"/>
        </w:rPr>
        <w:t>PlanVersion</w:t>
      </w:r>
      <w:r>
        <w:rPr>
          <w:rFonts w:eastAsia="宋体"/>
          <w:color w:val="000000"/>
          <w:sz w:val="24"/>
          <w:szCs w:val="24"/>
        </w:rPr>
        <w:t xml:space="preserve"> 聚合流程节点、适用条件、核实配置和任务模板。草稿可编辑，发布时执行结构、依赖环、责任角色、时限和启停对象校验；已发布版本不可原位修改。</w:t>
      </w:r>
      <w:r>
        <w:rPr>
          <w:rFonts w:eastAsia="宋体" w:ascii="Consolas" w:hAnsi="Consolas"/>
          <w:color w:val="000000"/>
          <w:sz w:val="21"/>
          <w:szCs w:val="24"/>
        </w:rPr>
        <w:t>PlanRepository</w:t>
      </w:r>
      <w:r>
        <w:rPr>
          <w:rFonts w:eastAsia="宋体"/>
          <w:color w:val="000000"/>
          <w:sz w:val="24"/>
          <w:szCs w:val="24"/>
        </w:rPr>
        <w:t xml:space="preserve"> 按预案标识与版本号加载，</w:t>
      </w:r>
      <w:r>
        <w:rPr>
          <w:rFonts w:eastAsia="宋体" w:ascii="Consolas" w:hAnsi="Consolas"/>
          <w:color w:val="000000"/>
          <w:sz w:val="21"/>
          <w:szCs w:val="24"/>
        </w:rPr>
        <w:t>PlanPublishPolicy</w:t>
      </w:r>
      <w:r>
        <w:rPr>
          <w:rFonts w:eastAsia="宋体"/>
          <w:color w:val="000000"/>
          <w:sz w:val="24"/>
          <w:szCs w:val="24"/>
        </w:rPr>
        <w:t xml:space="preserve"> 形成不可变发布快照。</w:t>
      </w:r>
    </w:p>
    <w:p>
      <w:pPr>
        <w:keepNext/>
        <w:jc w:val="center"/>
      </w:pPr>
      <w:r>
        <w:rPr>
          <w:rFonts w:eastAsia="黑体"/>
          <w:b/>
          <w:color w:val="000000"/>
          <w:sz w:val="18"/>
        </w:rPr>
        <w:t>表 4-1 预案聚合</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4A0" w:firstRow="1" w:lastRow="0" w:firstColumn="1" w:lastColumn="0" w:noHBand="0" w:noVBand="1"/>
      </w:tblPr>
      <w:tblGrid>
        <w:gridCol w:w="2256"/>
        <w:gridCol w:w="2256"/>
        <w:gridCol w:w="2256"/>
        <w:gridCol w:w="2256"/>
      </w:tblGrid>
      <w:tr>
        <w:trPr>
          <w:tblHeader/>
          <w:cantSplit/>
        </w:trPr>
        <w:tc>
          <w:tcPr>
            <w:tcW w:type="dxa" w:w="1531"/>
            <w:shd w:val="clear" w:color="auto" w:fill="DCE6F1"/>
            <w:tcMar>
              <w:top w:w="80" w:type="dxa"/>
              <w:left w:w="100" w:type="dxa"/>
              <w:bottom w:w="80" w:type="dxa"/>
              <w:right w:w="100" w:type="dxa"/>
            </w:tcMar>
          </w:tcPr>
          <w:p>
            <w:pPr>
              <w:spacing w:line="300" w:lineRule="auto"/>
            </w:pPr>
            <w:r>
              <w:rPr>
                <w:rFonts w:eastAsia="宋体"/>
                <w:b/>
                <w:bCs/>
                <w:color w:val="000000"/>
                <w:sz w:val="24"/>
                <w:szCs w:val="24"/>
              </w:rPr>
              <w:t>类 / 组件</w:t>
            </w:r>
          </w:p>
        </w:tc>
        <w:tc>
          <w:tcPr>
            <w:tcW w:type="dxa" w:w="2268"/>
            <w:shd w:val="clear" w:color="auto" w:fill="DCE6F1"/>
            <w:tcMar>
              <w:top w:w="80" w:type="dxa"/>
              <w:left w:w="100" w:type="dxa"/>
              <w:bottom w:w="80" w:type="dxa"/>
              <w:right w:w="100" w:type="dxa"/>
            </w:tcMar>
          </w:tcPr>
          <w:p>
            <w:pPr>
              <w:spacing w:line="300" w:lineRule="auto"/>
            </w:pPr>
            <w:r>
              <w:rPr>
                <w:rFonts w:eastAsia="宋体"/>
                <w:b/>
                <w:bCs/>
                <w:color w:val="000000"/>
                <w:sz w:val="24"/>
                <w:szCs w:val="24"/>
              </w:rPr>
              <w:t>责任</w:t>
            </w:r>
          </w:p>
        </w:tc>
        <w:tc>
          <w:tcPr>
            <w:tcW w:type="dxa" w:w="2438"/>
            <w:shd w:val="clear" w:color="auto" w:fill="DCE6F1"/>
            <w:tcMar>
              <w:top w:w="80" w:type="dxa"/>
              <w:left w:w="100" w:type="dxa"/>
              <w:bottom w:w="80" w:type="dxa"/>
              <w:right w:w="100" w:type="dxa"/>
            </w:tcMar>
          </w:tcPr>
          <w:p>
            <w:pPr>
              <w:spacing w:line="300" w:lineRule="auto"/>
            </w:pPr>
            <w:r>
              <w:rPr>
                <w:rFonts w:eastAsia="宋体"/>
                <w:b/>
                <w:bCs/>
                <w:color w:val="000000"/>
                <w:sz w:val="24"/>
                <w:szCs w:val="24"/>
              </w:rPr>
              <w:t>关键操作</w:t>
            </w:r>
          </w:p>
        </w:tc>
        <w:tc>
          <w:tcPr>
            <w:tcW w:type="dxa" w:w="2381"/>
            <w:shd w:val="clear" w:color="auto" w:fill="DCE6F1"/>
            <w:tcMar>
              <w:top w:w="80" w:type="dxa"/>
              <w:left w:w="100" w:type="dxa"/>
              <w:bottom w:w="80" w:type="dxa"/>
              <w:right w:w="100" w:type="dxa"/>
            </w:tcMar>
          </w:tcPr>
          <w:p>
            <w:pPr>
              <w:spacing w:line="300" w:lineRule="auto"/>
            </w:pPr>
            <w:r>
              <w:rPr>
                <w:rFonts w:eastAsia="宋体"/>
                <w:b/>
                <w:bCs/>
                <w:color w:val="000000"/>
                <w:sz w:val="24"/>
                <w:szCs w:val="24"/>
              </w:rPr>
              <w:t>不变量</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PlanAggregate</w:t>
            </w:r>
          </w:p>
        </w:tc>
        <w:tc>
          <w:tcPr>
            <w:tcW w:type="dxa" w:w="2268"/>
            <w:tcMar>
              <w:top w:w="80" w:type="dxa"/>
              <w:left w:w="100" w:type="dxa"/>
              <w:bottom w:w="80" w:type="dxa"/>
              <w:right w:w="100" w:type="dxa"/>
            </w:tcMar>
          </w:tcPr>
          <w:p>
            <w:pPr>
              <w:spacing w:line="300" w:lineRule="auto"/>
            </w:pPr>
            <w:r>
              <w:rPr>
                <w:rFonts w:eastAsia="宋体"/>
                <w:color w:val="000000"/>
                <w:sz w:val="22"/>
                <w:szCs w:val="22"/>
              </w:rPr>
              <w:t>管理类型、名称、有效状态和版本</w:t>
            </w:r>
          </w:p>
        </w:tc>
        <w:tc>
          <w:tcPr>
            <w:tcW w:type="dxa" w:w="2438"/>
            <w:tcMar>
              <w:top w:w="80" w:type="dxa"/>
              <w:left w:w="100" w:type="dxa"/>
              <w:bottom w:w="80" w:type="dxa"/>
              <w:right w:w="100" w:type="dxa"/>
            </w:tcMar>
          </w:tcPr>
          <w:p>
            <w:pPr>
              <w:spacing w:line="300" w:lineRule="auto"/>
            </w:pPr>
            <w:r>
              <w:rPr>
                <w:rFonts w:eastAsia="宋体"/>
                <w:color w:val="000000"/>
                <w:sz w:val="22"/>
                <w:szCs w:val="22"/>
              </w:rPr>
              <w:t>createDraft、revise、disable</w:t>
            </w:r>
          </w:p>
        </w:tc>
        <w:tc>
          <w:tcPr>
            <w:tcW w:type="dxa" w:w="2381"/>
            <w:tcMar>
              <w:top w:w="80" w:type="dxa"/>
              <w:left w:w="100" w:type="dxa"/>
              <w:bottom w:w="80" w:type="dxa"/>
              <w:right w:w="100" w:type="dxa"/>
            </w:tcMar>
          </w:tcPr>
          <w:p>
            <w:pPr>
              <w:spacing w:line="300" w:lineRule="auto"/>
            </w:pPr>
            <w:r>
              <w:rPr>
                <w:rFonts w:eastAsia="宋体"/>
                <w:color w:val="000000"/>
                <w:sz w:val="22"/>
                <w:szCs w:val="22"/>
              </w:rPr>
              <w:t>停用不破坏历史引用</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PlanVersion</w:t>
            </w:r>
          </w:p>
        </w:tc>
        <w:tc>
          <w:tcPr>
            <w:tcW w:type="dxa" w:w="2268"/>
            <w:tcMar>
              <w:top w:w="80" w:type="dxa"/>
              <w:left w:w="100" w:type="dxa"/>
              <w:bottom w:w="80" w:type="dxa"/>
              <w:right w:w="100" w:type="dxa"/>
            </w:tcMar>
          </w:tcPr>
          <w:p>
            <w:pPr>
              <w:spacing w:line="300" w:lineRule="auto"/>
            </w:pPr>
            <w:r>
              <w:rPr>
                <w:rFonts w:eastAsia="宋体"/>
                <w:color w:val="000000"/>
                <w:sz w:val="22"/>
                <w:szCs w:val="22"/>
              </w:rPr>
              <w:t>保存发布快照</w:t>
            </w:r>
          </w:p>
        </w:tc>
        <w:tc>
          <w:tcPr>
            <w:tcW w:type="dxa" w:w="2438"/>
            <w:tcMar>
              <w:top w:w="80" w:type="dxa"/>
              <w:left w:w="100" w:type="dxa"/>
              <w:bottom w:w="80" w:type="dxa"/>
              <w:right w:w="100" w:type="dxa"/>
            </w:tcMar>
          </w:tcPr>
          <w:p>
            <w:pPr>
              <w:spacing w:line="300" w:lineRule="auto"/>
            </w:pPr>
            <w:r>
              <w:rPr>
                <w:rFonts w:eastAsia="宋体"/>
                <w:color w:val="000000"/>
                <w:sz w:val="22"/>
                <w:szCs w:val="22"/>
              </w:rPr>
              <w:t>addNode、addTemplate、publish</w:t>
            </w:r>
          </w:p>
        </w:tc>
        <w:tc>
          <w:tcPr>
            <w:tcW w:type="dxa" w:w="2381"/>
            <w:tcMar>
              <w:top w:w="80" w:type="dxa"/>
              <w:left w:w="100" w:type="dxa"/>
              <w:bottom w:w="80" w:type="dxa"/>
              <w:right w:w="100" w:type="dxa"/>
            </w:tcMar>
          </w:tcPr>
          <w:p>
            <w:pPr>
              <w:spacing w:line="300" w:lineRule="auto"/>
            </w:pPr>
            <w:r>
              <w:rPr>
                <w:rFonts w:eastAsia="宋体"/>
                <w:color w:val="000000"/>
                <w:sz w:val="22"/>
                <w:szCs w:val="22"/>
              </w:rPr>
              <w:t>发布后不可原位修改</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FlowGraphValidator</w:t>
            </w:r>
          </w:p>
        </w:tc>
        <w:tc>
          <w:tcPr>
            <w:tcW w:type="dxa" w:w="2268"/>
            <w:tcMar>
              <w:top w:w="80" w:type="dxa"/>
              <w:left w:w="100" w:type="dxa"/>
              <w:bottom w:w="80" w:type="dxa"/>
              <w:right w:w="100" w:type="dxa"/>
            </w:tcMar>
          </w:tcPr>
          <w:p>
            <w:pPr>
              <w:spacing w:line="300" w:lineRule="auto"/>
            </w:pPr>
            <w:r>
              <w:rPr>
                <w:rFonts w:eastAsia="宋体"/>
                <w:color w:val="000000"/>
                <w:sz w:val="22"/>
                <w:szCs w:val="22"/>
              </w:rPr>
              <w:t>校验节点和依赖</w:t>
            </w:r>
          </w:p>
        </w:tc>
        <w:tc>
          <w:tcPr>
            <w:tcW w:type="dxa" w:w="2438"/>
            <w:tcMar>
              <w:top w:w="80" w:type="dxa"/>
              <w:left w:w="100" w:type="dxa"/>
              <w:bottom w:w="80" w:type="dxa"/>
              <w:right w:w="100" w:type="dxa"/>
            </w:tcMar>
          </w:tcPr>
          <w:p>
            <w:pPr>
              <w:spacing w:line="300" w:lineRule="auto"/>
            </w:pPr>
            <w:r>
              <w:rPr>
                <w:rFonts w:eastAsia="宋体"/>
                <w:color w:val="000000"/>
                <w:sz w:val="22"/>
                <w:szCs w:val="22"/>
              </w:rPr>
              <w:t>validate</w:t>
            </w:r>
          </w:p>
        </w:tc>
        <w:tc>
          <w:tcPr>
            <w:tcW w:type="dxa" w:w="2381"/>
            <w:tcMar>
              <w:top w:w="80" w:type="dxa"/>
              <w:left w:w="100" w:type="dxa"/>
              <w:bottom w:w="80" w:type="dxa"/>
              <w:right w:w="100" w:type="dxa"/>
            </w:tcMar>
          </w:tcPr>
          <w:p>
            <w:pPr>
              <w:spacing w:line="300" w:lineRule="auto"/>
            </w:pPr>
            <w:r>
              <w:rPr>
                <w:rFonts w:eastAsia="宋体"/>
                <w:color w:val="000000"/>
                <w:sz w:val="22"/>
                <w:szCs w:val="22"/>
              </w:rPr>
              <w:t>节点唯一、无环、入口/结束可达</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VerificationConfig</w:t>
            </w:r>
          </w:p>
        </w:tc>
        <w:tc>
          <w:tcPr>
            <w:tcW w:type="dxa" w:w="2268"/>
            <w:tcMar>
              <w:top w:w="80" w:type="dxa"/>
              <w:left w:w="100" w:type="dxa"/>
              <w:bottom w:w="80" w:type="dxa"/>
              <w:right w:w="100" w:type="dxa"/>
            </w:tcMar>
          </w:tcPr>
          <w:p>
            <w:pPr>
              <w:spacing w:line="300" w:lineRule="auto"/>
            </w:pPr>
            <w:r>
              <w:rPr>
                <w:rFonts w:eastAsia="宋体"/>
                <w:color w:val="000000"/>
                <w:sz w:val="22"/>
                <w:szCs w:val="22"/>
              </w:rPr>
              <w:t>定义核实环节和升级策略</w:t>
            </w:r>
          </w:p>
        </w:tc>
        <w:tc>
          <w:tcPr>
            <w:tcW w:type="dxa" w:w="2438"/>
            <w:tcMar>
              <w:top w:w="80" w:type="dxa"/>
              <w:left w:w="100" w:type="dxa"/>
              <w:bottom w:w="80" w:type="dxa"/>
              <w:right w:w="100" w:type="dxa"/>
            </w:tcMar>
          </w:tcPr>
          <w:p>
            <w:pPr>
              <w:spacing w:line="300" w:lineRule="auto"/>
            </w:pPr>
            <w:r>
              <w:rPr>
                <w:rFonts w:eastAsia="宋体"/>
                <w:color w:val="000000"/>
                <w:sz w:val="22"/>
                <w:szCs w:val="22"/>
              </w:rPr>
              <w:t>resolveAssignee、deadlineAt</w:t>
            </w:r>
          </w:p>
        </w:tc>
        <w:tc>
          <w:tcPr>
            <w:tcW w:type="dxa" w:w="2381"/>
            <w:tcMar>
              <w:top w:w="80" w:type="dxa"/>
              <w:left w:w="100" w:type="dxa"/>
              <w:bottom w:w="80" w:type="dxa"/>
              <w:right w:w="100" w:type="dxa"/>
            </w:tcMar>
          </w:tcPr>
          <w:p>
            <w:pPr>
              <w:spacing w:line="300" w:lineRule="auto"/>
            </w:pPr>
            <w:r>
              <w:rPr>
                <w:rFonts w:eastAsia="宋体"/>
                <w:color w:val="000000"/>
                <w:sz w:val="22"/>
                <w:szCs w:val="22"/>
              </w:rPr>
              <w:t>超时只能升级，不自动启动预案</w:t>
            </w:r>
          </w:p>
        </w:tc>
      </w:tr>
    </w:tbl>
    <w:p>
      <w:pPr>
        <w:pStyle w:val="2"/>
        <w:spacing w:before="240" w:after="160"/>
      </w:pPr>
      <w:r>
        <w:rPr>
          <w:rFonts w:eastAsia="黑体"/>
          <w:b/>
          <w:bCs/>
          <w:sz w:val="28"/>
          <w:szCs w:val="28"/>
        </w:rPr>
        <w:t>4.2 事件聚合和状态机</w:t>
      </w:r>
    </w:p>
    <w:p>
      <w:pPr>
        <w:jc w:val="center"/>
      </w:pPr>
      <w:r>
        <w:rPr>
          <w:noProof/>
          <w:color w:val="000000"/>
        </w:rPr>
        <w:drawing>
          <wp:inline xmlns:a="http://schemas.openxmlformats.org/drawingml/2006/main" xmlns:pic="http://schemas.openxmlformats.org/drawingml/2006/picture">
            <wp:extent cx="5580000" cy="2728000"/>
            <wp:docPr id="2" name="Picture 2"/>
            <wp:cNvGraphicFramePr>
              <a:graphicFrameLocks noChangeAspect="1"/>
            </wp:cNvGraphicFramePr>
            <a:graphic>
              <a:graphicData uri="http://schemas.openxmlformats.org/drawingml/2006/picture">
                <pic:pic>
                  <pic:nvPicPr>
                    <pic:cNvPr id="0" name="12-图4-1-事件核实与响应启动流程.png"/>
                    <pic:cNvPicPr/>
                  </pic:nvPicPr>
                  <pic:blipFill>
                    <a:blip r:embed="rId13"/>
                    <a:stretch>
                      <a:fillRect/>
                    </a:stretch>
                  </pic:blipFill>
                  <pic:spPr>
                    <a:xfrm>
                      <a:off x="0" y="0"/>
                      <a:ext cx="5580000" cy="2728000"/>
                    </a:xfrm>
                    <a:prstGeom prst="rect"/>
                  </pic:spPr>
                </pic:pic>
              </a:graphicData>
            </a:graphic>
          </wp:inline>
        </w:drawing>
      </w:r>
    </w:p>
    <w:p>
      <w:pPr>
        <w:jc w:val="center"/>
      </w:pPr>
      <w:r>
        <w:rPr>
          <w:rFonts w:eastAsia="宋体"/>
          <w:b/>
          <w:color w:val="000000"/>
          <w:sz w:val="18"/>
        </w:rPr>
        <w:t>图 4-1 事件核实与响应启动流程</w:t>
      </w:r>
    </w:p>
    <w:p>
      <w:pPr>
        <w:spacing w:after="100" w:line="360" w:lineRule="auto"/>
        <w:ind w:firstLine="475"/>
      </w:pPr>
      <w:r>
        <w:rPr>
          <w:rFonts w:eastAsia="宋体" w:ascii="Consolas" w:hAnsi="Consolas"/>
          <w:color w:val="000000"/>
          <w:sz w:val="21"/>
          <w:szCs w:val="24"/>
        </w:rPr>
        <w:t>IncidentAggregate</w:t>
      </w:r>
      <w:r>
        <w:rPr>
          <w:rFonts w:eastAsia="宋体"/>
          <w:color w:val="000000"/>
          <w:sz w:val="24"/>
          <w:szCs w:val="24"/>
        </w:rPr>
        <w:t xml:space="preserve"> 是事件事实唯一写入入口。状态允许 </w:t>
      </w:r>
      <w:r>
        <w:rPr>
          <w:rFonts w:eastAsia="宋体" w:ascii="Consolas" w:hAnsi="Consolas"/>
          <w:color w:val="000000"/>
          <w:sz w:val="21"/>
          <w:szCs w:val="24"/>
        </w:rPr>
        <w:t>REPORTED → PENDING_VERIFICATION → VERIFIED/REJECTED</w:t>
      </w:r>
      <w:r>
        <w:rPr>
          <w:rFonts w:eastAsia="宋体"/>
          <w:color w:val="000000"/>
          <w:sz w:val="24"/>
          <w:szCs w:val="24"/>
        </w:rPr>
        <w:t xml:space="preserve">；核实超时进入 </w:t>
      </w:r>
      <w:r>
        <w:rPr>
          <w:rFonts w:eastAsia="宋体" w:ascii="Consolas" w:hAnsi="Consolas"/>
          <w:color w:val="000000"/>
          <w:sz w:val="21"/>
          <w:szCs w:val="24"/>
        </w:rPr>
        <w:t>VERIFICATION_TIMEOUT</w:t>
      </w:r>
      <w:r>
        <w:rPr>
          <w:rFonts w:eastAsia="宋体"/>
          <w:color w:val="000000"/>
          <w:sz w:val="24"/>
          <w:szCs w:val="24"/>
        </w:rPr>
        <w:t xml:space="preserve"> 并产生升级任务，人工核实后仍可进入 </w:t>
      </w:r>
      <w:r>
        <w:rPr>
          <w:rFonts w:eastAsia="宋体" w:ascii="Consolas" w:hAnsi="Consolas"/>
          <w:color w:val="000000"/>
          <w:sz w:val="21"/>
          <w:szCs w:val="24"/>
        </w:rPr>
        <w:t>VERIFIED</w:t>
      </w:r>
      <w:r>
        <w:rPr>
          <w:rFonts w:eastAsia="宋体"/>
          <w:color w:val="000000"/>
          <w:sz w:val="24"/>
          <w:szCs w:val="24"/>
        </w:rPr>
        <w:t xml:space="preserve">。只有 </w:t>
      </w:r>
      <w:r>
        <w:rPr>
          <w:rFonts w:eastAsia="宋体" w:ascii="Consolas" w:hAnsi="Consolas"/>
          <w:color w:val="000000"/>
          <w:sz w:val="21"/>
          <w:szCs w:val="24"/>
        </w:rPr>
        <w:t>VERIFIED</w:t>
      </w:r>
      <w:r>
        <w:rPr>
          <w:rFonts w:eastAsia="宋体"/>
          <w:color w:val="000000"/>
          <w:sz w:val="24"/>
          <w:szCs w:val="24"/>
        </w:rPr>
        <w:t xml:space="preserve"> 事件可执行 </w:t>
      </w:r>
      <w:r>
        <w:rPr>
          <w:rFonts w:eastAsia="宋体" w:ascii="Consolas" w:hAnsi="Consolas"/>
          <w:color w:val="000000"/>
          <w:sz w:val="21"/>
          <w:szCs w:val="24"/>
        </w:rPr>
        <w:t>startResponse(planVersionId)</w:t>
      </w:r>
      <w:r>
        <w:rPr>
          <w:rFonts w:eastAsia="宋体"/>
          <w:color w:val="000000"/>
          <w:sz w:val="24"/>
          <w:szCs w:val="24"/>
        </w:rPr>
        <w:t xml:space="preserve">，随后进入 </w:t>
      </w:r>
      <w:r>
        <w:rPr>
          <w:rFonts w:eastAsia="宋体" w:ascii="Consolas" w:hAnsi="Consolas"/>
          <w:color w:val="000000"/>
          <w:sz w:val="21"/>
          <w:szCs w:val="24"/>
        </w:rPr>
        <w:t>RESPONSE_ACTIVE → CLOSING → CLOSED</w:t>
      </w:r>
      <w:r>
        <w:rPr>
          <w:rFonts w:eastAsia="宋体"/>
          <w:color w:val="000000"/>
          <w:sz w:val="24"/>
          <w:szCs w:val="24"/>
        </w:rPr>
        <w:t xml:space="preserve">。授权重开从 </w:t>
      </w:r>
      <w:r>
        <w:rPr>
          <w:rFonts w:eastAsia="宋体" w:ascii="Consolas" w:hAnsi="Consolas"/>
          <w:color w:val="000000"/>
          <w:sz w:val="21"/>
          <w:szCs w:val="24"/>
        </w:rPr>
        <w:t>CLOSED</w:t>
      </w:r>
      <w:r>
        <w:rPr>
          <w:rFonts w:eastAsia="宋体"/>
          <w:color w:val="000000"/>
          <w:sz w:val="24"/>
          <w:szCs w:val="24"/>
        </w:rPr>
        <w:t xml:space="preserve"> 进入 </w:t>
      </w:r>
      <w:r>
        <w:rPr>
          <w:rFonts w:eastAsia="宋体" w:ascii="Consolas" w:hAnsi="Consolas"/>
          <w:color w:val="000000"/>
          <w:sz w:val="21"/>
          <w:szCs w:val="24"/>
        </w:rPr>
        <w:t>RESPONSE_ACTIVE</w:t>
      </w:r>
      <w:r>
        <w:rPr>
          <w:rFonts w:eastAsia="宋体"/>
          <w:color w:val="000000"/>
          <w:sz w:val="24"/>
          <w:szCs w:val="24"/>
        </w:rPr>
        <w:t xml:space="preserve"> 并追加重开原因，历史关闭记录不删除。</w:t>
      </w:r>
    </w:p>
    <w:p>
      <w:pPr>
        <w:spacing w:after="100" w:line="360" w:lineRule="auto"/>
        <w:ind w:firstLine="475"/>
      </w:pPr>
      <w:r>
        <w:rPr>
          <w:rFonts w:eastAsia="宋体"/>
          <w:color w:val="000000"/>
          <w:sz w:val="24"/>
          <w:szCs w:val="24"/>
        </w:rPr>
        <w:t xml:space="preserve">外部告警先由 </w:t>
      </w:r>
      <w:r>
        <w:rPr>
          <w:rFonts w:eastAsia="宋体" w:ascii="Consolas" w:hAnsi="Consolas"/>
          <w:color w:val="000000"/>
          <w:sz w:val="21"/>
          <w:szCs w:val="24"/>
        </w:rPr>
        <w:t>ExternalAlertDeduplicator</w:t>
      </w:r>
      <w:r>
        <w:rPr>
          <w:rFonts w:eastAsia="宋体"/>
          <w:color w:val="000000"/>
          <w:sz w:val="24"/>
          <w:szCs w:val="24"/>
        </w:rPr>
        <w:t xml:space="preserve"> 以可靠外部告警标识去重，再映射为事件候选。未知或不完整载荷进入隔离队列并告警，禁止生成内容错误的事件。相同可靠标识重复到达只返回已有事件关联。</w:t>
      </w:r>
    </w:p>
    <w:p>
      <w:pPr>
        <w:pStyle w:val="2"/>
        <w:spacing w:before="240" w:after="160"/>
      </w:pPr>
      <w:r>
        <w:rPr>
          <w:rFonts w:eastAsia="黑体"/>
          <w:b/>
          <w:bCs/>
          <w:sz w:val="28"/>
          <w:szCs w:val="28"/>
        </w:rPr>
        <w:t>4.3 秒级预案启动流程</w:t>
      </w:r>
    </w:p>
    <w:p>
      <w:pPr>
        <w:pStyle w:val="a4"/>
        <w:spacing w:after="60" w:line="340" w:lineRule="auto"/>
        <w:ind w:left="420" w:hanging="210"/>
      </w:pPr>
      <w:r>
        <w:rPr>
          <w:rFonts w:eastAsia="宋体"/>
          <w:sz w:val="24"/>
          <w:szCs w:val="24"/>
        </w:rPr>
        <w:t xml:space="preserve">• </w:t>
      </w:r>
      <w:r>
        <w:rPr>
          <w:rFonts w:eastAsia="宋体" w:ascii="Consolas" w:hAnsi="Consolas"/>
          <w:sz w:val="21"/>
          <w:szCs w:val="24"/>
        </w:rPr>
        <w:t>IncidentApplicationService.startResponse</w:t>
      </w:r>
      <w:r>
        <w:rPr>
          <w:rFonts w:eastAsia="宋体"/>
          <w:sz w:val="24"/>
          <w:szCs w:val="24"/>
        </w:rPr>
        <w:t xml:space="preserve"> 校验事件已核实、操作者权限和有效预案版本。</w:t>
      </w:r>
    </w:p>
    <w:p>
      <w:pPr>
        <w:pStyle w:val="a4"/>
        <w:spacing w:after="60" w:line="340" w:lineRule="auto"/>
        <w:ind w:left="420" w:hanging="210"/>
      </w:pPr>
      <w:r>
        <w:rPr>
          <w:rFonts w:eastAsia="宋体"/>
          <w:sz w:val="24"/>
          <w:szCs w:val="24"/>
        </w:rPr>
        <w:t xml:space="preserve">• </w:t>
      </w:r>
      <w:r>
        <w:rPr>
          <w:rFonts w:eastAsia="宋体" w:ascii="Consolas" w:hAnsi="Consolas"/>
          <w:sz w:val="21"/>
          <w:szCs w:val="24"/>
        </w:rPr>
        <w:t>PlanSnapshotLoader</w:t>
      </w:r>
      <w:r>
        <w:rPr>
          <w:rFonts w:eastAsia="宋体"/>
          <w:sz w:val="24"/>
          <w:szCs w:val="24"/>
        </w:rPr>
        <w:t xml:space="preserve"> 读取发布快照，</w:t>
      </w:r>
      <w:r>
        <w:rPr>
          <w:rFonts w:eastAsia="宋体" w:ascii="Consolas" w:hAnsi="Consolas"/>
          <w:sz w:val="21"/>
          <w:szCs w:val="24"/>
        </w:rPr>
        <w:t>TaskFactory</w:t>
      </w:r>
      <w:r>
        <w:rPr>
          <w:rFonts w:eastAsia="宋体"/>
          <w:sz w:val="24"/>
          <w:szCs w:val="24"/>
        </w:rPr>
        <w:t xml:space="preserve"> 按模板生成任务并校验依赖关系。</w:t>
      </w:r>
    </w:p>
    <w:p>
      <w:pPr>
        <w:pStyle w:val="a4"/>
        <w:spacing w:after="60" w:line="340" w:lineRule="auto"/>
        <w:ind w:left="420" w:hanging="210"/>
      </w:pPr>
      <w:r>
        <w:rPr>
          <w:rFonts w:eastAsia="宋体"/>
          <w:sz w:val="24"/>
          <w:szCs w:val="24"/>
        </w:rPr>
        <w:t>• 单事务写入事件状态、任务、指派历史、Outbox 和审计；任一步失败整体回滚。</w:t>
      </w:r>
    </w:p>
    <w:p>
      <w:pPr>
        <w:pStyle w:val="a4"/>
        <w:spacing w:after="60" w:line="340" w:lineRule="auto"/>
        <w:ind w:left="420" w:hanging="210"/>
      </w:pPr>
      <w:r>
        <w:rPr>
          <w:rFonts w:eastAsia="宋体"/>
          <w:sz w:val="24"/>
          <w:szCs w:val="24"/>
        </w:rPr>
        <w:t>• 提交后异步派生消息和态势投影；外部消息失败不回滚已成立的事件与任务事实。</w:t>
      </w:r>
    </w:p>
    <w:p>
      <w:pPr>
        <w:pStyle w:val="a4"/>
        <w:spacing w:after="60" w:line="340" w:lineRule="auto"/>
        <w:ind w:left="420" w:hanging="210"/>
      </w:pPr>
      <w:r>
        <w:rPr>
          <w:rFonts w:eastAsia="宋体"/>
          <w:sz w:val="24"/>
          <w:szCs w:val="24"/>
        </w:rPr>
        <w:t>• 记录从接收命令到事务提交的服务端耗时，目标环境验证启动响应不超过 3 秒；本稿不宣称已实测通过。</w:t>
      </w:r>
    </w:p>
    <w:p>
      <w:pPr>
        <w:pStyle w:val="2"/>
        <w:spacing w:before="240" w:after="160"/>
      </w:pPr>
      <w:r>
        <w:rPr>
          <w:rFonts w:eastAsia="黑体"/>
          <w:b/>
          <w:bCs/>
          <w:sz w:val="28"/>
          <w:szCs w:val="28"/>
        </w:rPr>
        <w:t>4.4 续报、关闭和附件</w:t>
      </w:r>
    </w:p>
    <w:p>
      <w:pPr>
        <w:spacing w:after="100" w:line="360" w:lineRule="auto"/>
        <w:ind w:firstLine="475"/>
      </w:pPr>
      <w:r>
        <w:rPr>
          <w:rFonts w:eastAsia="宋体"/>
          <w:color w:val="000000"/>
          <w:sz w:val="24"/>
          <w:szCs w:val="24"/>
        </w:rPr>
        <w:t xml:space="preserve">续报采用追加模型并保留四类时间。关闭前由 </w:t>
      </w:r>
      <w:r>
        <w:rPr>
          <w:rFonts w:eastAsia="宋体" w:ascii="Consolas" w:hAnsi="Consolas"/>
          <w:color w:val="000000"/>
          <w:sz w:val="21"/>
          <w:szCs w:val="24"/>
        </w:rPr>
        <w:t>ClosurePolicy</w:t>
      </w:r>
      <w:r>
        <w:rPr>
          <w:rFonts w:eastAsia="宋体"/>
          <w:color w:val="000000"/>
          <w:sz w:val="24"/>
          <w:szCs w:val="24"/>
        </w:rPr>
        <w:t xml:space="preserve"> 检查必需任务、调查材料和未关闭风险；文件只保存统一中台的受控引用。逻辑删除附件引用后仍保留审计和历史版本关系，普通查询不返回已删除引用，具备审计权限的追溯查询可查看删除事实。</w:t>
      </w:r>
    </w:p>
    <w:p>
      <w:pPr>
        <w:pStyle w:val="1"/>
        <w:spacing w:before="240" w:after="160"/>
      </w:pPr>
      <w:r>
        <w:rPr>
          <w:rFonts w:eastAsia="黑体"/>
          <w:b/>
          <w:bCs/>
        </w:rPr>
        <w:t>5 任务处置与态势投影详细设计</w:t>
      </w:r>
    </w:p>
    <w:p>
      <w:pPr>
        <w:pStyle w:val="2"/>
        <w:spacing w:before="240" w:after="160"/>
      </w:pPr>
      <w:r>
        <w:rPr>
          <w:rFonts w:eastAsia="黑体"/>
          <w:b/>
          <w:bCs/>
          <w:sz w:val="28"/>
          <w:szCs w:val="28"/>
        </w:rPr>
        <w:t>5.1 任务聚合和状态迁移</w:t>
      </w:r>
    </w:p>
    <w:p>
      <w:pPr>
        <w:spacing w:after="100" w:line="360" w:lineRule="auto"/>
        <w:ind w:firstLine="475"/>
      </w:pPr>
      <w:r>
        <w:rPr>
          <w:rFonts w:eastAsia="宋体" w:ascii="Consolas" w:hAnsi="Consolas"/>
          <w:color w:val="000000"/>
          <w:sz w:val="21"/>
          <w:szCs w:val="24"/>
        </w:rPr>
        <w:t>ResponseTaskAggregate</w:t>
      </w:r>
      <w:r>
        <w:rPr>
          <w:rFonts w:eastAsia="宋体"/>
          <w:color w:val="000000"/>
          <w:sz w:val="24"/>
          <w:szCs w:val="24"/>
        </w:rPr>
        <w:t xml:space="preserve"> 状态为 </w:t>
      </w:r>
      <w:r>
        <w:rPr>
          <w:rFonts w:eastAsia="宋体" w:ascii="Consolas" w:hAnsi="Consolas"/>
          <w:color w:val="000000"/>
          <w:sz w:val="21"/>
          <w:szCs w:val="24"/>
        </w:rPr>
        <w:t>CREATED → DISPATCH_PENDING → DISPATCHED → ACKNOWLEDGED → IN_PROGRESS → COMPLETED</w:t>
      </w:r>
      <w:r>
        <w:rPr>
          <w:rFonts w:eastAsia="宋体"/>
          <w:color w:val="000000"/>
          <w:sz w:val="24"/>
          <w:szCs w:val="24"/>
        </w:rPr>
        <w:t xml:space="preserve">，可从未完成状态进入 </w:t>
      </w:r>
      <w:r>
        <w:rPr>
          <w:rFonts w:eastAsia="宋体" w:ascii="Consolas" w:hAnsi="Consolas"/>
          <w:color w:val="000000"/>
          <w:sz w:val="21"/>
          <w:szCs w:val="24"/>
        </w:rPr>
        <w:t>CANCELLED</w:t>
      </w:r>
      <w:r>
        <w:rPr>
          <w:rFonts w:eastAsia="宋体"/>
          <w:color w:val="000000"/>
          <w:sz w:val="24"/>
          <w:szCs w:val="24"/>
        </w:rPr>
        <w:t>；消息失败标记投递状态，不直接把任务改为失败。完成操作必须提交结果、时间和操作者；要求附件的任务需通过附件引用完整性校验。</w:t>
      </w:r>
    </w:p>
    <w:p>
      <w:pPr>
        <w:spacing w:after="100" w:line="360" w:lineRule="auto"/>
        <w:ind w:firstLine="475"/>
      </w:pPr>
      <w:r>
        <w:rPr>
          <w:rFonts w:eastAsia="宋体"/>
          <w:color w:val="000000"/>
          <w:sz w:val="24"/>
          <w:szCs w:val="24"/>
        </w:rPr>
        <w:t xml:space="preserve">重指派调用 </w:t>
      </w:r>
      <w:r>
        <w:rPr>
          <w:rFonts w:eastAsia="宋体" w:ascii="Consolas" w:hAnsi="Consolas"/>
          <w:color w:val="000000"/>
          <w:sz w:val="21"/>
          <w:szCs w:val="24"/>
        </w:rPr>
        <w:t>reassign(newAssignee,reason,keepDeadline)</w:t>
      </w:r>
      <w:r>
        <w:rPr>
          <w:rFonts w:eastAsia="宋体"/>
          <w:color w:val="000000"/>
          <w:sz w:val="24"/>
          <w:szCs w:val="24"/>
        </w:rPr>
        <w:t xml:space="preserve">，追加 </w:t>
      </w:r>
      <w:r>
        <w:rPr>
          <w:rFonts w:eastAsia="宋体" w:ascii="Consolas" w:hAnsi="Consolas"/>
          <w:color w:val="000000"/>
          <w:sz w:val="21"/>
          <w:szCs w:val="24"/>
        </w:rPr>
        <w:t>task_assignment_history</w:t>
      </w:r>
      <w:r>
        <w:rPr>
          <w:rFonts w:eastAsia="宋体"/>
          <w:color w:val="000000"/>
          <w:sz w:val="24"/>
          <w:szCs w:val="24"/>
        </w:rPr>
        <w:t>，保留原责任人、原截止时间和原因。默认保持原期限；只有具有改期权限且显式给出新期限时才修改。催办只产生通知事件和审计，不改变任务业务状态。</w:t>
      </w:r>
    </w:p>
    <w:p>
      <w:pPr>
        <w:pStyle w:val="2"/>
        <w:spacing w:before="240" w:after="160"/>
      </w:pPr>
      <w:r>
        <w:rPr>
          <w:rFonts w:eastAsia="黑体"/>
          <w:b/>
          <w:bCs/>
          <w:sz w:val="28"/>
          <w:szCs w:val="28"/>
        </w:rPr>
        <w:t>5.2 可靠消息协作</w:t>
      </w:r>
    </w:p>
    <w:p>
      <w:pPr>
        <w:jc w:val="center"/>
      </w:pPr>
      <w:r>
        <w:rPr>
          <w:noProof/>
          <w:color w:val="000000"/>
        </w:rPr>
        <w:drawing>
          <wp:inline xmlns:a="http://schemas.openxmlformats.org/drawingml/2006/main" xmlns:pic="http://schemas.openxmlformats.org/drawingml/2006/picture">
            <wp:extent cx="5580000" cy="2728000"/>
            <wp:docPr id="3" name="Picture 3"/>
            <wp:cNvGraphicFramePr>
              <a:graphicFrameLocks noChangeAspect="1"/>
            </wp:cNvGraphicFramePr>
            <a:graphic>
              <a:graphicData uri="http://schemas.openxmlformats.org/drawingml/2006/picture">
                <pic:pic>
                  <pic:nvPicPr>
                    <pic:cNvPr id="0" name="12-图5-1-任务与可靠消息协作流程.png"/>
                    <pic:cNvPicPr/>
                  </pic:nvPicPr>
                  <pic:blipFill>
                    <a:blip r:embed="rId14"/>
                    <a:stretch>
                      <a:fillRect/>
                    </a:stretch>
                  </pic:blipFill>
                  <pic:spPr>
                    <a:xfrm>
                      <a:off x="0" y="0"/>
                      <a:ext cx="5580000" cy="2728000"/>
                    </a:xfrm>
                    <a:prstGeom prst="rect"/>
                  </pic:spPr>
                </pic:pic>
              </a:graphicData>
            </a:graphic>
          </wp:inline>
        </w:drawing>
      </w:r>
    </w:p>
    <w:p>
      <w:pPr>
        <w:jc w:val="center"/>
      </w:pPr>
      <w:r>
        <w:rPr>
          <w:rFonts w:eastAsia="宋体"/>
          <w:b/>
          <w:color w:val="000000"/>
          <w:sz w:val="18"/>
        </w:rPr>
        <w:t>图 5-1 任务与可靠消息协作流程</w:t>
      </w:r>
    </w:p>
    <w:p>
      <w:pPr>
        <w:spacing w:after="100" w:line="360" w:lineRule="auto"/>
        <w:ind w:firstLine="475"/>
      </w:pPr>
      <w:r>
        <w:rPr>
          <w:rFonts w:eastAsia="宋体" w:ascii="Consolas" w:hAnsi="Consolas"/>
          <w:color w:val="000000"/>
          <w:sz w:val="21"/>
          <w:szCs w:val="24"/>
        </w:rPr>
        <w:t>MessageDispatchPolicy</w:t>
      </w:r>
      <w:r>
        <w:rPr>
          <w:rFonts w:eastAsia="宋体"/>
          <w:color w:val="000000"/>
          <w:sz w:val="24"/>
          <w:szCs w:val="24"/>
        </w:rPr>
        <w:t xml:space="preserve"> 将业务通知解析为收件人、模板和通道请求；</w:t>
      </w:r>
      <w:r>
        <w:rPr>
          <w:rFonts w:eastAsia="宋体" w:ascii="Consolas" w:hAnsi="Consolas"/>
          <w:color w:val="000000"/>
          <w:sz w:val="21"/>
          <w:szCs w:val="24"/>
        </w:rPr>
        <w:t>MessagePort</w:t>
      </w:r>
      <w:r>
        <w:rPr>
          <w:rFonts w:eastAsia="宋体"/>
          <w:color w:val="000000"/>
          <w:sz w:val="24"/>
          <w:szCs w:val="24"/>
        </w:rPr>
        <w:t xml:space="preserve"> 屏蔽既有统一消息平台。</w:t>
      </w:r>
      <w:r>
        <w:rPr>
          <w:rFonts w:eastAsia="宋体" w:ascii="Consolas" w:hAnsi="Consolas"/>
          <w:color w:val="000000"/>
          <w:sz w:val="21"/>
          <w:szCs w:val="24"/>
        </w:rPr>
        <w:t>message_delivery</w:t>
      </w:r>
      <w:r>
        <w:rPr>
          <w:rFonts w:eastAsia="宋体"/>
          <w:color w:val="000000"/>
          <w:sz w:val="24"/>
          <w:szCs w:val="24"/>
        </w:rPr>
        <w:t xml:space="preserve"> 保存每次尝试、回执、状态和错误。普通通知可有限重试；重复或迟到回执通过平台消息标识与幂等键关联，已终态投递不得再次触发任务迁移。正常验收通道内验证并发不少于 20 路、到达率不低于 99%，证据由 G3-06 后续联调与测试阶段形成。</w:t>
      </w:r>
    </w:p>
    <w:p>
      <w:pPr>
        <w:pStyle w:val="2"/>
        <w:spacing w:before="240" w:after="160"/>
      </w:pPr>
      <w:r>
        <w:rPr>
          <w:rFonts w:eastAsia="黑体"/>
          <w:b/>
          <w:bCs/>
          <w:sz w:val="28"/>
          <w:szCs w:val="28"/>
        </w:rPr>
        <w:t>5.3 态势投影</w:t>
      </w:r>
    </w:p>
    <w:p>
      <w:pPr>
        <w:spacing w:after="100" w:line="360" w:lineRule="auto"/>
        <w:ind w:firstLine="475"/>
      </w:pPr>
      <w:r>
        <w:rPr>
          <w:rFonts w:eastAsia="宋体" w:ascii="Consolas" w:hAnsi="Consolas"/>
          <w:color w:val="000000"/>
          <w:sz w:val="21"/>
          <w:szCs w:val="24"/>
        </w:rPr>
        <w:t>SituationProjectionService</w:t>
      </w:r>
      <w:r>
        <w:rPr>
          <w:rFonts w:eastAsia="宋体"/>
          <w:color w:val="000000"/>
          <w:sz w:val="24"/>
          <w:szCs w:val="24"/>
        </w:rPr>
        <w:t xml:space="preserve"> 订阅事件、任务、位置、物资和外部告警事件，按投影版本幂等更新。投影可删除后由事实重建；地图和看板读取投影，不回写领域事实。汇总与钻取使用同一过滤条件和口径版本，避免统计与明细不一致。投影延迟、失败数和重建进度均进入可观测指标。</w:t>
      </w:r>
    </w:p>
    <w:p>
      <w:pPr>
        <w:pStyle w:val="1"/>
        <w:spacing w:before="240" w:after="160"/>
      </w:pPr>
      <w:r>
        <w:rPr>
          <w:rFonts w:eastAsia="黑体"/>
          <w:b/>
          <w:bCs/>
        </w:rPr>
        <w:t>6 人员定位、物资与盘点详细设计</w:t>
      </w:r>
    </w:p>
    <w:p>
      <w:pPr>
        <w:pStyle w:val="2"/>
        <w:spacing w:before="240" w:after="160"/>
      </w:pPr>
      <w:r>
        <w:rPr>
          <w:rFonts w:eastAsia="黑体"/>
          <w:b/>
          <w:bCs/>
          <w:sz w:val="28"/>
          <w:szCs w:val="28"/>
        </w:rPr>
        <w:t>6.1 人员引用和定位新鲜度</w:t>
      </w:r>
    </w:p>
    <w:p>
      <w:pPr>
        <w:spacing w:after="100" w:line="360" w:lineRule="auto"/>
        <w:ind w:firstLine="475"/>
      </w:pPr>
      <w:r>
        <w:rPr>
          <w:rFonts w:eastAsia="宋体" w:ascii="Consolas" w:hAnsi="Consolas"/>
          <w:color w:val="000000"/>
          <w:sz w:val="21"/>
          <w:szCs w:val="24"/>
        </w:rPr>
        <w:t>PersonRef</w:t>
      </w:r>
      <w:r>
        <w:rPr>
          <w:rFonts w:eastAsia="宋体"/>
          <w:color w:val="000000"/>
          <w:sz w:val="24"/>
          <w:szCs w:val="24"/>
        </w:rPr>
        <w:t xml:space="preserve"> 只保存统一中台人员外部标识、必要业务快照和有效状态。</w:t>
      </w:r>
      <w:r>
        <w:rPr>
          <w:rFonts w:eastAsia="宋体" w:ascii="Consolas" w:hAnsi="Consolas"/>
          <w:color w:val="000000"/>
          <w:sz w:val="21"/>
          <w:szCs w:val="24"/>
        </w:rPr>
        <w:t>PositionIngestService</w:t>
      </w:r>
      <w:r>
        <w:rPr>
          <w:rFonts w:eastAsia="宋体"/>
          <w:color w:val="000000"/>
          <w:sz w:val="24"/>
          <w:szCs w:val="24"/>
        </w:rPr>
        <w:t xml:space="preserve"> 保存坐标、楼层、坐标参考、源精度与四类时间，不降低源精度。</w:t>
      </w:r>
      <w:r>
        <w:rPr>
          <w:rFonts w:eastAsia="宋体" w:ascii="Consolas" w:hAnsi="Consolas"/>
          <w:color w:val="000000"/>
          <w:sz w:val="21"/>
          <w:szCs w:val="24"/>
        </w:rPr>
        <w:t>PositionFreshnessPolicy</w:t>
      </w:r>
      <w:r>
        <w:rPr>
          <w:rFonts w:eastAsia="宋体"/>
          <w:color w:val="000000"/>
          <w:sz w:val="24"/>
          <w:szCs w:val="24"/>
        </w:rPr>
        <w:t xml:space="preserve"> 根据配置判断新鲜、临界和过期；刷新目标不超过 2 秒须在甲方提供的亚米级源环境实测。过期或楼层映射失败时停止自动建议调派并提示人工核对。</w:t>
      </w:r>
    </w:p>
    <w:p>
      <w:pPr>
        <w:pStyle w:val="2"/>
        <w:spacing w:before="240" w:after="160"/>
      </w:pPr>
      <w:r>
        <w:rPr>
          <w:rFonts w:eastAsia="黑体"/>
          <w:b/>
          <w:bCs/>
          <w:sz w:val="28"/>
          <w:szCs w:val="28"/>
        </w:rPr>
        <w:t>6.2 物资台账</w:t>
      </w:r>
    </w:p>
    <w:p>
      <w:pPr>
        <w:spacing w:after="100" w:line="360" w:lineRule="auto"/>
        <w:ind w:firstLine="475"/>
      </w:pPr>
      <w:r>
        <w:rPr>
          <w:rFonts w:eastAsia="宋体" w:ascii="Consolas" w:hAnsi="Consolas"/>
          <w:color w:val="000000"/>
          <w:sz w:val="21"/>
          <w:szCs w:val="24"/>
        </w:rPr>
        <w:t>MaterialLedgerService</w:t>
      </w:r>
      <w:r>
        <w:rPr>
          <w:rFonts w:eastAsia="宋体"/>
          <w:color w:val="000000"/>
          <w:sz w:val="24"/>
          <w:szCs w:val="24"/>
        </w:rPr>
        <w:t xml:space="preserve"> 负责站点、物资、数量、批次、有效期和版本控制。数量使用精确类型；更新携带版本号防止并发覆盖。站点空间标识、坐标参考和楼层映射必须同时有效，非法映射不得发布到地图投影。</w:t>
      </w:r>
    </w:p>
    <w:p>
      <w:pPr>
        <w:pStyle w:val="2"/>
        <w:spacing w:before="240" w:after="160"/>
      </w:pPr>
      <w:r>
        <w:rPr>
          <w:rFonts w:eastAsia="黑体"/>
          <w:b/>
          <w:bCs/>
          <w:sz w:val="28"/>
          <w:szCs w:val="28"/>
        </w:rPr>
        <w:t>6.3 盘点快照与差异复核</w:t>
      </w:r>
    </w:p>
    <w:p>
      <w:pPr>
        <w:jc w:val="center"/>
      </w:pPr>
      <w:r>
        <w:rPr>
          <w:noProof/>
          <w:color w:val="000000"/>
        </w:rPr>
        <w:drawing>
          <wp:inline xmlns:a="http://schemas.openxmlformats.org/drawingml/2006/main" xmlns:pic="http://schemas.openxmlformats.org/drawingml/2006/picture">
            <wp:extent cx="5580000" cy="2728000"/>
            <wp:docPr id="4" name="Picture 4"/>
            <wp:cNvGraphicFramePr>
              <a:graphicFrameLocks noChangeAspect="1"/>
            </wp:cNvGraphicFramePr>
            <a:graphic>
              <a:graphicData uri="http://schemas.openxmlformats.org/drawingml/2006/picture">
                <pic:pic>
                  <pic:nvPicPr>
                    <pic:cNvPr id="0" name="12-图6-1-盘点快照与移动打卡控制流程.png"/>
                    <pic:cNvPicPr/>
                  </pic:nvPicPr>
                  <pic:blipFill>
                    <a:blip r:embed="rId15"/>
                    <a:stretch>
                      <a:fillRect/>
                    </a:stretch>
                  </pic:blipFill>
                  <pic:spPr>
                    <a:xfrm>
                      <a:off x="0" y="0"/>
                      <a:ext cx="5580000" cy="2728000"/>
                    </a:xfrm>
                    <a:prstGeom prst="rect"/>
                  </pic:spPr>
                </pic:pic>
              </a:graphicData>
            </a:graphic>
          </wp:inline>
        </w:drawing>
      </w:r>
    </w:p>
    <w:p>
      <w:pPr>
        <w:jc w:val="center"/>
      </w:pPr>
      <w:r>
        <w:rPr>
          <w:rFonts w:eastAsia="宋体"/>
          <w:b/>
          <w:color w:val="000000"/>
          <w:sz w:val="18"/>
        </w:rPr>
        <w:t>图 6-1 盘点快照与移动打卡控制流程</w:t>
      </w:r>
    </w:p>
    <w:p>
      <w:pPr>
        <w:spacing w:after="100" w:line="360" w:lineRule="auto"/>
        <w:ind w:firstLine="475"/>
      </w:pPr>
      <w:r>
        <w:rPr>
          <w:rFonts w:eastAsia="宋体" w:ascii="Consolas" w:hAnsi="Consolas"/>
          <w:color w:val="000000"/>
          <w:sz w:val="21"/>
          <w:szCs w:val="24"/>
        </w:rPr>
        <w:t>InventoryApplicationService.publishPlan</w:t>
      </w:r>
      <w:r>
        <w:rPr>
          <w:rFonts w:eastAsia="宋体"/>
          <w:color w:val="000000"/>
          <w:sz w:val="24"/>
          <w:szCs w:val="24"/>
        </w:rPr>
        <w:t xml:space="preserve"> 在同一事务中冻结计划范围并生成账面快照。实盘记录只追加，期间出入库独立记录。</w:t>
      </w:r>
      <w:r>
        <w:rPr>
          <w:rFonts w:eastAsia="宋体" w:ascii="Consolas" w:hAnsi="Consolas"/>
          <w:color w:val="000000"/>
          <w:sz w:val="21"/>
          <w:szCs w:val="24"/>
        </w:rPr>
        <w:t>InventoryDifferenceCalculator</w:t>
      </w:r>
      <w:r>
        <w:rPr>
          <w:rFonts w:eastAsia="宋体"/>
          <w:color w:val="000000"/>
          <w:sz w:val="24"/>
          <w:szCs w:val="24"/>
        </w:rPr>
        <w:t xml:space="preserve"> 基于发布快照、期间变动和实盘数量生成差异；授权复核人确认后，</w:t>
      </w:r>
      <w:r>
        <w:rPr>
          <w:rFonts w:eastAsia="宋体" w:ascii="Consolas" w:hAnsi="Consolas"/>
          <w:color w:val="000000"/>
          <w:sz w:val="21"/>
          <w:szCs w:val="24"/>
        </w:rPr>
        <w:t>InventoryAdjustmentService</w:t>
      </w:r>
      <w:r>
        <w:rPr>
          <w:rFonts w:eastAsia="宋体"/>
          <w:color w:val="000000"/>
          <w:sz w:val="24"/>
          <w:szCs w:val="24"/>
        </w:rPr>
        <w:t xml:space="preserve"> 才以新流水更新台账。取消计划不得删除已采集记录，需标记取消原因并保留审计。</w:t>
      </w:r>
    </w:p>
    <w:p>
      <w:pPr>
        <w:pStyle w:val="1"/>
        <w:spacing w:before="240" w:after="160"/>
      </w:pPr>
      <w:r>
        <w:rPr>
          <w:rFonts w:eastAsia="黑体"/>
          <w:b/>
          <w:bCs/>
        </w:rPr>
        <w:t>7 值班、点位与移动打卡详细设计</w:t>
      </w:r>
    </w:p>
    <w:p>
      <w:pPr>
        <w:pStyle w:val="2"/>
        <w:spacing w:before="240" w:after="160"/>
      </w:pPr>
      <w:r>
        <w:rPr>
          <w:rFonts w:eastAsia="黑体"/>
          <w:b/>
          <w:bCs/>
          <w:sz w:val="28"/>
          <w:szCs w:val="28"/>
        </w:rPr>
        <w:t>7.1 排班和规则发布</w:t>
      </w:r>
    </w:p>
    <w:p>
      <w:pPr>
        <w:spacing w:after="100" w:line="360" w:lineRule="auto"/>
        <w:ind w:firstLine="475"/>
      </w:pPr>
      <w:r>
        <w:rPr>
          <w:rFonts w:eastAsia="宋体" w:ascii="Consolas" w:hAnsi="Consolas"/>
          <w:color w:val="000000"/>
          <w:sz w:val="21"/>
          <w:szCs w:val="24"/>
        </w:rPr>
        <w:t>DutyScheduleAggregate</w:t>
      </w:r>
      <w:r>
        <w:rPr>
          <w:rFonts w:eastAsia="宋体"/>
          <w:color w:val="000000"/>
          <w:sz w:val="24"/>
          <w:szCs w:val="24"/>
        </w:rPr>
        <w:t xml:space="preserve"> 管理小组、人员、时段、点位和代执行关系。发布前校验人员有效性、时间冲突、点位状态和规则完整性。调整以新版本保存前后值；已发生的打卡继续引用当时规则版本。</w:t>
      </w:r>
    </w:p>
    <w:p>
      <w:pPr>
        <w:pStyle w:val="2"/>
        <w:spacing w:before="240" w:after="160"/>
      </w:pPr>
      <w:r>
        <w:rPr>
          <w:rFonts w:eastAsia="黑体"/>
          <w:b/>
          <w:bCs/>
          <w:sz w:val="28"/>
          <w:szCs w:val="28"/>
        </w:rPr>
        <w:t>7.2 二维码打卡</w:t>
      </w:r>
    </w:p>
    <w:p>
      <w:pPr>
        <w:spacing w:after="100" w:line="360" w:lineRule="auto"/>
        <w:ind w:firstLine="475"/>
      </w:pPr>
      <w:r>
        <w:rPr>
          <w:rFonts w:eastAsia="宋体" w:ascii="Consolas" w:hAnsi="Consolas"/>
          <w:color w:val="000000"/>
          <w:sz w:val="21"/>
          <w:szCs w:val="24"/>
        </w:rPr>
        <w:t>AttendanceApplicationService.checkIn</w:t>
      </w:r>
      <w:r>
        <w:rPr>
          <w:rFonts w:eastAsia="宋体"/>
          <w:color w:val="000000"/>
          <w:sz w:val="24"/>
          <w:szCs w:val="24"/>
        </w:rPr>
        <w:t xml:space="preserve"> 依次校验身份、二维码签名与版本、有效时段、点位范围、定位新鲜度和幂等键。成功后写打卡事实与审计；相同用户、规则窗口和幂等键重复扫码返回首次结果。超时、越界、二维码过期或位置过期均明确拒绝并给出可操作提示。写入不超过 1 秒为目标环境待测指标。</w:t>
      </w:r>
    </w:p>
    <w:p>
      <w:pPr>
        <w:pStyle w:val="2"/>
        <w:spacing w:before="240" w:after="160"/>
      </w:pPr>
      <w:r>
        <w:rPr>
          <w:rFonts w:eastAsia="黑体"/>
          <w:b/>
          <w:bCs/>
          <w:sz w:val="28"/>
          <w:szCs w:val="28"/>
        </w:rPr>
        <w:t>7.3 缺卡告警</w:t>
      </w:r>
    </w:p>
    <w:p>
      <w:pPr>
        <w:spacing w:after="100" w:line="360" w:lineRule="auto"/>
        <w:ind w:firstLine="475"/>
      </w:pPr>
      <w:r>
        <w:rPr>
          <w:rFonts w:eastAsia="宋体" w:ascii="Consolas" w:hAnsi="Consolas"/>
          <w:color w:val="000000"/>
          <w:sz w:val="21"/>
          <w:szCs w:val="24"/>
        </w:rPr>
        <w:t>AttendanceDeadlineScanner</w:t>
      </w:r>
      <w:r>
        <w:rPr>
          <w:rFonts w:eastAsia="宋体"/>
          <w:color w:val="000000"/>
          <w:sz w:val="24"/>
          <w:szCs w:val="24"/>
        </w:rPr>
        <w:t xml:space="preserve"> 按规则版本扫描到期且无有效记录的对象，生成唯一缺卡告警和消息 Outbox。扫描任务可重复执行但不得生成重复告警。消息失败保留告警事实，并在界面提供人工通知与处理登记入口。</w:t>
      </w:r>
    </w:p>
    <w:p>
      <w:pPr>
        <w:pStyle w:val="1"/>
        <w:spacing w:before="240" w:after="160"/>
      </w:pPr>
      <w:r>
        <w:rPr>
          <w:rFonts w:eastAsia="黑体"/>
          <w:b/>
          <w:bCs/>
        </w:rPr>
        <w:t>8 演练评估与知识详细设计</w:t>
      </w:r>
    </w:p>
    <w:p>
      <w:pPr>
        <w:pStyle w:val="2"/>
        <w:spacing w:before="240" w:after="160"/>
      </w:pPr>
      <w:r>
        <w:rPr>
          <w:rFonts w:eastAsia="黑体"/>
          <w:b/>
          <w:bCs/>
          <w:sz w:val="28"/>
          <w:szCs w:val="28"/>
        </w:rPr>
        <w:t>8.1 演练计划和执行</w:t>
      </w:r>
    </w:p>
    <w:p>
      <w:pPr>
        <w:spacing w:after="100" w:line="360" w:lineRule="auto"/>
        <w:ind w:firstLine="475"/>
      </w:pPr>
      <w:r>
        <w:rPr>
          <w:rFonts w:eastAsia="宋体" w:ascii="Consolas" w:hAnsi="Consolas"/>
          <w:color w:val="000000"/>
          <w:sz w:val="21"/>
          <w:szCs w:val="24"/>
        </w:rPr>
        <w:t>DrillPlanAggregate</w:t>
      </w:r>
      <w:r>
        <w:rPr>
          <w:rFonts w:eastAsia="宋体"/>
          <w:color w:val="000000"/>
          <w:sz w:val="24"/>
          <w:szCs w:val="24"/>
        </w:rPr>
        <w:t xml:space="preserve"> 管理频次、范围、责任人和计划状态；到期调度形成执行任务。取消需说明原因，补演通过 </w:t>
      </w:r>
      <w:r>
        <w:rPr>
          <w:rFonts w:eastAsia="宋体" w:ascii="Consolas" w:hAnsi="Consolas"/>
          <w:color w:val="000000"/>
          <w:sz w:val="21"/>
          <w:szCs w:val="24"/>
        </w:rPr>
        <w:t>sourceExecutionId</w:t>
      </w:r>
      <w:r>
        <w:rPr>
          <w:rFonts w:eastAsia="宋体"/>
          <w:color w:val="000000"/>
          <w:sz w:val="24"/>
          <w:szCs w:val="24"/>
        </w:rPr>
        <w:t xml:space="preserve"> 或 </w:t>
      </w:r>
      <w:r>
        <w:rPr>
          <w:rFonts w:eastAsia="宋体" w:ascii="Consolas" w:hAnsi="Consolas"/>
          <w:color w:val="000000"/>
          <w:sz w:val="21"/>
          <w:szCs w:val="24"/>
        </w:rPr>
        <w:t>sourcePlanId</w:t>
      </w:r>
      <w:r>
        <w:rPr>
          <w:rFonts w:eastAsia="宋体"/>
          <w:color w:val="000000"/>
          <w:sz w:val="24"/>
          <w:szCs w:val="24"/>
        </w:rPr>
        <w:t xml:space="preserve"> 关联原记录。统计仅把实际完成的执行计入完成率，取消与逾期分别呈现。</w:t>
      </w:r>
    </w:p>
    <w:p>
      <w:pPr>
        <w:pStyle w:val="2"/>
        <w:spacing w:before="240" w:after="160"/>
      </w:pPr>
      <w:r>
        <w:rPr>
          <w:rFonts w:eastAsia="黑体"/>
          <w:b/>
          <w:bCs/>
          <w:sz w:val="28"/>
          <w:szCs w:val="28"/>
        </w:rPr>
        <w:t>8.2 评估、整改和补演闭环</w:t>
      </w:r>
    </w:p>
    <w:p>
      <w:pPr>
        <w:spacing w:after="100" w:line="360" w:lineRule="auto"/>
        <w:ind w:firstLine="475"/>
      </w:pPr>
      <w:r>
        <w:rPr>
          <w:rFonts w:eastAsia="宋体" w:ascii="Consolas" w:hAnsi="Consolas"/>
          <w:color w:val="000000"/>
          <w:sz w:val="21"/>
          <w:szCs w:val="24"/>
        </w:rPr>
        <w:t>EvaluationTemplateVersion</w:t>
      </w:r>
      <w:r>
        <w:rPr>
          <w:rFonts w:eastAsia="宋体"/>
          <w:color w:val="000000"/>
          <w:sz w:val="24"/>
          <w:szCs w:val="24"/>
        </w:rPr>
        <w:t xml:space="preserve"> 发布后不可原位修改。评估保存确定模板版本、条目得分和结论；不合格项生成 </w:t>
      </w:r>
      <w:r>
        <w:rPr>
          <w:rFonts w:eastAsia="宋体" w:ascii="Consolas" w:hAnsi="Consolas"/>
          <w:color w:val="000000"/>
          <w:sz w:val="21"/>
          <w:szCs w:val="24"/>
        </w:rPr>
        <w:t>ImprovementAction</w:t>
      </w:r>
      <w:r>
        <w:rPr>
          <w:rFonts w:eastAsia="宋体"/>
          <w:color w:val="000000"/>
          <w:sz w:val="24"/>
          <w:szCs w:val="24"/>
        </w:rPr>
        <w:t>，保留责任人、期限、证据和关闭审核。关闭整改不删除逾期事实；要求补演时创建关联执行，原整改与原演练仍可追溯。</w:t>
      </w:r>
    </w:p>
    <w:p>
      <w:pPr>
        <w:pStyle w:val="2"/>
        <w:spacing w:before="240" w:after="160"/>
      </w:pPr>
      <w:r>
        <w:rPr>
          <w:rFonts w:eastAsia="黑体"/>
          <w:b/>
          <w:bCs/>
          <w:sz w:val="28"/>
          <w:szCs w:val="28"/>
        </w:rPr>
        <w:t>8.3 知识条目</w:t>
      </w:r>
    </w:p>
    <w:p>
      <w:pPr>
        <w:spacing w:after="100" w:line="360" w:lineRule="auto"/>
        <w:ind w:firstLine="475"/>
      </w:pPr>
      <w:r>
        <w:rPr>
          <w:rFonts w:eastAsia="宋体" w:ascii="Consolas" w:hAnsi="Consolas"/>
          <w:color w:val="000000"/>
          <w:sz w:val="21"/>
          <w:szCs w:val="24"/>
        </w:rPr>
        <w:t>KnowledgeItemAggregate</w:t>
      </w:r>
      <w:r>
        <w:rPr>
          <w:rFonts w:eastAsia="宋体"/>
          <w:color w:val="000000"/>
          <w:sz w:val="24"/>
          <w:szCs w:val="24"/>
        </w:rPr>
        <w:t xml:space="preserve"> 管理分类、关键字、可见范围、发布状态和文件引用。检索服务先应用数据权限，再按分类和关键字查询；未发布、已停用或无权限条目不得返回。知识沉淀只能引用已关闭事件或已完成演练的受控材料。</w:t>
      </w:r>
    </w:p>
    <w:p>
      <w:pPr>
        <w:pStyle w:val="1"/>
        <w:spacing w:before="240" w:after="160"/>
      </w:pPr>
      <w:r>
        <w:rPr>
          <w:rFonts w:eastAsia="黑体"/>
          <w:b/>
          <w:bCs/>
        </w:rPr>
        <w:t>9 H5 渠道与集成适配详细设计</w:t>
      </w:r>
    </w:p>
    <w:p>
      <w:pPr>
        <w:pStyle w:val="2"/>
        <w:spacing w:before="240" w:after="160"/>
      </w:pPr>
      <w:r>
        <w:rPr>
          <w:rFonts w:eastAsia="黑体"/>
          <w:b/>
          <w:bCs/>
          <w:sz w:val="28"/>
          <w:szCs w:val="28"/>
        </w:rPr>
        <w:t>9.1 H5 用例组合</w:t>
      </w:r>
    </w:p>
    <w:p>
      <w:pPr>
        <w:spacing w:after="100" w:line="360" w:lineRule="auto"/>
        <w:ind w:firstLine="475"/>
      </w:pPr>
      <w:r>
        <w:rPr>
          <w:rFonts w:eastAsia="宋体"/>
          <w:color w:val="000000"/>
          <w:sz w:val="24"/>
          <w:szCs w:val="24"/>
        </w:rPr>
        <w:t>H5 嵌入既有智慧管理 APP，复用统一认证上下文，提供事件上报、拍照引用、我的任务、任务反馈、演练执行、扫码打卡和移动盘点。</w:t>
      </w:r>
      <w:r>
        <w:rPr>
          <w:rFonts w:eastAsia="宋体" w:ascii="Consolas" w:hAnsi="Consolas"/>
          <w:color w:val="000000"/>
          <w:sz w:val="21"/>
          <w:szCs w:val="24"/>
        </w:rPr>
        <w:t>MobileFacade</w:t>
      </w:r>
      <w:r>
        <w:rPr>
          <w:rFonts w:eastAsia="宋体"/>
          <w:color w:val="000000"/>
          <w:sz w:val="24"/>
          <w:szCs w:val="24"/>
        </w:rPr>
        <w:t xml:space="preserve"> 仅组合应用用例，不复制领域规则。网络中断时保留未提交草稿和失败原因；涉及状态变更的离线请求恢复后仍须重新鉴权、校验幂等和业务前置条件。</w:t>
      </w:r>
    </w:p>
    <w:p>
      <w:pPr>
        <w:pStyle w:val="2"/>
        <w:spacing w:before="240" w:after="160"/>
      </w:pPr>
      <w:r>
        <w:rPr>
          <w:rFonts w:eastAsia="黑体"/>
          <w:b/>
          <w:bCs/>
          <w:sz w:val="28"/>
          <w:szCs w:val="28"/>
        </w:rPr>
        <w:t>9.2 外部端口与适配器</w:t>
      </w:r>
    </w:p>
    <w:p>
      <w:pPr>
        <w:keepNext/>
        <w:jc w:val="center"/>
      </w:pPr>
      <w:r>
        <w:rPr>
          <w:rFonts w:eastAsia="黑体"/>
          <w:b/>
          <w:color w:val="000000"/>
          <w:sz w:val="18"/>
        </w:rPr>
        <w:t>表 9-1 外部端口与适配器</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4A0" w:firstRow="1" w:lastRow="0" w:firstColumn="1" w:lastColumn="0" w:noHBand="0" w:noVBand="1"/>
      </w:tblPr>
      <w:tblGrid>
        <w:gridCol w:w="2256"/>
        <w:gridCol w:w="2256"/>
        <w:gridCol w:w="2256"/>
        <w:gridCol w:w="2256"/>
      </w:tblGrid>
      <w:tr>
        <w:trPr>
          <w:tblHeader/>
          <w:cantSplit/>
        </w:trPr>
        <w:tc>
          <w:tcPr>
            <w:tcW w:type="dxa" w:w="1531"/>
            <w:shd w:val="clear" w:color="auto" w:fill="DCE6F1"/>
            <w:tcMar>
              <w:top w:w="80" w:type="dxa"/>
              <w:left w:w="100" w:type="dxa"/>
              <w:bottom w:w="80" w:type="dxa"/>
              <w:right w:w="100" w:type="dxa"/>
            </w:tcMar>
          </w:tcPr>
          <w:p>
            <w:pPr>
              <w:spacing w:line="300" w:lineRule="auto"/>
            </w:pPr>
            <w:r>
              <w:rPr>
                <w:rFonts w:eastAsia="宋体"/>
                <w:b/>
                <w:bCs/>
                <w:color w:val="000000"/>
                <w:sz w:val="24"/>
                <w:szCs w:val="24"/>
              </w:rPr>
              <w:t>端口</w:t>
            </w:r>
          </w:p>
        </w:tc>
        <w:tc>
          <w:tcPr>
            <w:tcW w:type="dxa" w:w="2268"/>
            <w:shd w:val="clear" w:color="auto" w:fill="DCE6F1"/>
            <w:tcMar>
              <w:top w:w="80" w:type="dxa"/>
              <w:left w:w="100" w:type="dxa"/>
              <w:bottom w:w="80" w:type="dxa"/>
              <w:right w:w="100" w:type="dxa"/>
            </w:tcMar>
          </w:tcPr>
          <w:p>
            <w:pPr>
              <w:spacing w:line="300" w:lineRule="auto"/>
            </w:pPr>
            <w:r>
              <w:rPr>
                <w:rFonts w:eastAsia="宋体"/>
                <w:b/>
                <w:bCs/>
                <w:color w:val="000000"/>
                <w:sz w:val="24"/>
                <w:szCs w:val="24"/>
              </w:rPr>
              <w:t>适配器责任</w:t>
            </w:r>
          </w:p>
        </w:tc>
        <w:tc>
          <w:tcPr>
            <w:tcW w:type="dxa" w:w="2438"/>
            <w:shd w:val="clear" w:color="auto" w:fill="DCE6F1"/>
            <w:tcMar>
              <w:top w:w="80" w:type="dxa"/>
              <w:left w:w="100" w:type="dxa"/>
              <w:bottom w:w="80" w:type="dxa"/>
              <w:right w:w="100" w:type="dxa"/>
            </w:tcMar>
          </w:tcPr>
          <w:p>
            <w:pPr>
              <w:spacing w:line="300" w:lineRule="auto"/>
            </w:pPr>
            <w:r>
              <w:rPr>
                <w:rFonts w:eastAsia="宋体"/>
                <w:b/>
                <w:bCs/>
                <w:color w:val="000000"/>
                <w:sz w:val="24"/>
                <w:szCs w:val="24"/>
              </w:rPr>
              <w:t>归一化输入 / 输出</w:t>
            </w:r>
          </w:p>
        </w:tc>
        <w:tc>
          <w:tcPr>
            <w:tcW w:type="dxa" w:w="2381"/>
            <w:shd w:val="clear" w:color="auto" w:fill="DCE6F1"/>
            <w:tcMar>
              <w:top w:w="80" w:type="dxa"/>
              <w:left w:w="100" w:type="dxa"/>
              <w:bottom w:w="80" w:type="dxa"/>
              <w:right w:w="100" w:type="dxa"/>
            </w:tcMar>
          </w:tcPr>
          <w:p>
            <w:pPr>
              <w:spacing w:line="300" w:lineRule="auto"/>
            </w:pPr>
            <w:r>
              <w:rPr>
                <w:rFonts w:eastAsia="宋体"/>
                <w:b/>
                <w:bCs/>
                <w:color w:val="000000"/>
                <w:sz w:val="24"/>
                <w:szCs w:val="24"/>
              </w:rPr>
              <w:t>降级与审计</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EXT-VIDEO</w:t>
            </w:r>
          </w:p>
        </w:tc>
        <w:tc>
          <w:tcPr>
            <w:tcW w:type="dxa" w:w="2268"/>
            <w:tcMar>
              <w:top w:w="80" w:type="dxa"/>
              <w:left w:w="100" w:type="dxa"/>
              <w:bottom w:w="80" w:type="dxa"/>
              <w:right w:w="100" w:type="dxa"/>
            </w:tcMar>
          </w:tcPr>
          <w:p>
            <w:pPr>
              <w:spacing w:line="300" w:lineRule="auto"/>
            </w:pPr>
            <w:r>
              <w:rPr>
                <w:rFonts w:eastAsia="宋体"/>
                <w:color w:val="000000"/>
                <w:sz w:val="22"/>
                <w:szCs w:val="22"/>
              </w:rPr>
              <w:t>实时预览、历史回放和结果记录</w:t>
            </w:r>
          </w:p>
        </w:tc>
        <w:tc>
          <w:tcPr>
            <w:tcW w:type="dxa" w:w="2438"/>
            <w:tcMar>
              <w:top w:w="80" w:type="dxa"/>
              <w:left w:w="100" w:type="dxa"/>
              <w:bottom w:w="80" w:type="dxa"/>
              <w:right w:w="100" w:type="dxa"/>
            </w:tcMar>
          </w:tcPr>
          <w:p>
            <w:pPr>
              <w:spacing w:line="300" w:lineRule="auto"/>
            </w:pPr>
            <w:r>
              <w:rPr>
                <w:rFonts w:eastAsia="宋体"/>
                <w:color w:val="000000"/>
                <w:sz w:val="22"/>
                <w:szCs w:val="22"/>
              </w:rPr>
              <w:t>VideoQuery / VideoReference</w:t>
            </w:r>
          </w:p>
        </w:tc>
        <w:tc>
          <w:tcPr>
            <w:tcW w:type="dxa" w:w="2381"/>
            <w:tcMar>
              <w:top w:w="80" w:type="dxa"/>
              <w:left w:w="100" w:type="dxa"/>
              <w:bottom w:w="80" w:type="dxa"/>
              <w:right w:w="100" w:type="dxa"/>
            </w:tcMar>
          </w:tcPr>
          <w:p>
            <w:pPr>
              <w:spacing w:line="300" w:lineRule="auto"/>
            </w:pPr>
            <w:r>
              <w:rPr>
                <w:rFonts w:eastAsia="宋体"/>
                <w:color w:val="000000"/>
                <w:sz w:val="22"/>
                <w:szCs w:val="22"/>
              </w:rPr>
              <w:t>不保存录像；超时提示人工使用既有系统</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EXT-MESSAGE</w:t>
            </w:r>
          </w:p>
        </w:tc>
        <w:tc>
          <w:tcPr>
            <w:tcW w:type="dxa" w:w="2268"/>
            <w:tcMar>
              <w:top w:w="80" w:type="dxa"/>
              <w:left w:w="100" w:type="dxa"/>
              <w:bottom w:w="80" w:type="dxa"/>
              <w:right w:w="100" w:type="dxa"/>
            </w:tcMar>
          </w:tcPr>
          <w:p>
            <w:pPr>
              <w:spacing w:line="300" w:lineRule="auto"/>
            </w:pPr>
            <w:r>
              <w:rPr>
                <w:rFonts w:eastAsia="宋体"/>
                <w:color w:val="000000"/>
                <w:sz w:val="22"/>
                <w:szCs w:val="22"/>
              </w:rPr>
              <w:t>并发发送、重试、回执关联</w:t>
            </w:r>
          </w:p>
        </w:tc>
        <w:tc>
          <w:tcPr>
            <w:tcW w:type="dxa" w:w="2438"/>
            <w:tcMar>
              <w:top w:w="80" w:type="dxa"/>
              <w:left w:w="100" w:type="dxa"/>
              <w:bottom w:w="80" w:type="dxa"/>
              <w:right w:w="100" w:type="dxa"/>
            </w:tcMar>
          </w:tcPr>
          <w:p>
            <w:pPr>
              <w:spacing w:line="300" w:lineRule="auto"/>
            </w:pPr>
            <w:r>
              <w:rPr>
                <w:rFonts w:eastAsia="宋体"/>
                <w:color w:val="000000"/>
                <w:sz w:val="22"/>
                <w:szCs w:val="22"/>
              </w:rPr>
              <w:t>MessageRequest / DeliveryReceipt</w:t>
            </w:r>
          </w:p>
        </w:tc>
        <w:tc>
          <w:tcPr>
            <w:tcW w:type="dxa" w:w="2381"/>
            <w:tcMar>
              <w:top w:w="80" w:type="dxa"/>
              <w:left w:w="100" w:type="dxa"/>
              <w:bottom w:w="80" w:type="dxa"/>
              <w:right w:w="100" w:type="dxa"/>
            </w:tcMar>
          </w:tcPr>
          <w:p>
            <w:pPr>
              <w:spacing w:line="300" w:lineRule="auto"/>
            </w:pPr>
            <w:r>
              <w:rPr>
                <w:rFonts w:eastAsia="宋体"/>
                <w:color w:val="000000"/>
                <w:sz w:val="22"/>
                <w:szCs w:val="22"/>
              </w:rPr>
              <w:t>普通通知有限重试；完整留痕</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EXT-ACCESS</w:t>
            </w:r>
          </w:p>
        </w:tc>
        <w:tc>
          <w:tcPr>
            <w:tcW w:type="dxa" w:w="2268"/>
            <w:tcMar>
              <w:top w:w="80" w:type="dxa"/>
              <w:left w:w="100" w:type="dxa"/>
              <w:bottom w:w="80" w:type="dxa"/>
              <w:right w:w="100" w:type="dxa"/>
            </w:tcMar>
          </w:tcPr>
          <w:p>
            <w:pPr>
              <w:spacing w:line="300" w:lineRule="auto"/>
            </w:pPr>
            <w:r>
              <w:rPr>
                <w:rFonts w:eastAsia="宋体"/>
                <w:color w:val="000000"/>
                <w:sz w:val="22"/>
                <w:szCs w:val="22"/>
              </w:rPr>
              <w:t>授权确认后下发门禁开启</w:t>
            </w:r>
          </w:p>
        </w:tc>
        <w:tc>
          <w:tcPr>
            <w:tcW w:type="dxa" w:w="2438"/>
            <w:tcMar>
              <w:top w:w="80" w:type="dxa"/>
              <w:left w:w="100" w:type="dxa"/>
              <w:bottom w:w="80" w:type="dxa"/>
              <w:right w:w="100" w:type="dxa"/>
            </w:tcMar>
          </w:tcPr>
          <w:p>
            <w:pPr>
              <w:spacing w:line="300" w:lineRule="auto"/>
            </w:pPr>
            <w:r>
              <w:rPr>
                <w:rFonts w:eastAsia="宋体"/>
                <w:color w:val="000000"/>
                <w:sz w:val="22"/>
                <w:szCs w:val="22"/>
              </w:rPr>
              <w:t>ControlCommand / CommandResult</w:t>
            </w:r>
          </w:p>
        </w:tc>
        <w:tc>
          <w:tcPr>
            <w:tcW w:type="dxa" w:w="2381"/>
            <w:tcMar>
              <w:top w:w="80" w:type="dxa"/>
              <w:left w:w="100" w:type="dxa"/>
              <w:bottom w:w="80" w:type="dxa"/>
              <w:right w:w="100" w:type="dxa"/>
            </w:tcMar>
          </w:tcPr>
          <w:p>
            <w:pPr>
              <w:spacing w:line="300" w:lineRule="auto"/>
            </w:pPr>
            <w:r>
              <w:rPr>
                <w:rFonts w:eastAsia="宋体"/>
                <w:color w:val="000000"/>
                <w:sz w:val="22"/>
                <w:szCs w:val="22"/>
              </w:rPr>
              <w:t>服从联锁；失败告警并人工降级；禁止自动重放</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EXT-PUBLISH</w:t>
            </w:r>
          </w:p>
        </w:tc>
        <w:tc>
          <w:tcPr>
            <w:tcW w:type="dxa" w:w="2268"/>
            <w:tcMar>
              <w:top w:w="80" w:type="dxa"/>
              <w:left w:w="100" w:type="dxa"/>
              <w:bottom w:w="80" w:type="dxa"/>
              <w:right w:w="100" w:type="dxa"/>
            </w:tcMar>
          </w:tcPr>
          <w:p>
            <w:pPr>
              <w:spacing w:line="300" w:lineRule="auto"/>
            </w:pPr>
            <w:r>
              <w:rPr>
                <w:rFonts w:eastAsia="宋体"/>
                <w:color w:val="000000"/>
                <w:sz w:val="22"/>
                <w:szCs w:val="22"/>
              </w:rPr>
              <w:t>信息发布状态与业务跳转</w:t>
            </w:r>
          </w:p>
        </w:tc>
        <w:tc>
          <w:tcPr>
            <w:tcW w:type="dxa" w:w="2438"/>
            <w:tcMar>
              <w:top w:w="80" w:type="dxa"/>
              <w:left w:w="100" w:type="dxa"/>
              <w:bottom w:w="80" w:type="dxa"/>
              <w:right w:w="100" w:type="dxa"/>
            </w:tcMar>
          </w:tcPr>
          <w:p>
            <w:pPr>
              <w:spacing w:line="300" w:lineRule="auto"/>
            </w:pPr>
            <w:r>
              <w:rPr>
                <w:rFonts w:eastAsia="宋体"/>
                <w:color w:val="000000"/>
                <w:sz w:val="22"/>
                <w:szCs w:val="22"/>
              </w:rPr>
              <w:t>PublishCommand / PublishStatus</w:t>
            </w:r>
          </w:p>
        </w:tc>
        <w:tc>
          <w:tcPr>
            <w:tcW w:type="dxa" w:w="2381"/>
            <w:tcMar>
              <w:top w:w="80" w:type="dxa"/>
              <w:left w:w="100" w:type="dxa"/>
              <w:bottom w:w="80" w:type="dxa"/>
              <w:right w:w="100" w:type="dxa"/>
            </w:tcMar>
          </w:tcPr>
          <w:p>
            <w:pPr>
              <w:spacing w:line="300" w:lineRule="auto"/>
            </w:pPr>
            <w:r>
              <w:rPr>
                <w:rFonts w:eastAsia="宋体"/>
                <w:color w:val="000000"/>
                <w:sz w:val="22"/>
                <w:szCs w:val="22"/>
              </w:rPr>
              <w:t>失败保留草稿和人工发布入口</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EXT-INTRUSION</w:t>
            </w:r>
          </w:p>
        </w:tc>
        <w:tc>
          <w:tcPr>
            <w:tcW w:type="dxa" w:w="2268"/>
            <w:tcMar>
              <w:top w:w="80" w:type="dxa"/>
              <w:left w:w="100" w:type="dxa"/>
              <w:bottom w:w="80" w:type="dxa"/>
              <w:right w:w="100" w:type="dxa"/>
            </w:tcMar>
          </w:tcPr>
          <w:p>
            <w:pPr>
              <w:spacing w:line="300" w:lineRule="auto"/>
            </w:pPr>
            <w:r>
              <w:rPr>
                <w:rFonts w:eastAsia="宋体"/>
                <w:color w:val="000000"/>
                <w:sz w:val="22"/>
                <w:szCs w:val="22"/>
              </w:rPr>
              <w:t>入侵告警接入、去重、转事件</w:t>
            </w:r>
          </w:p>
        </w:tc>
        <w:tc>
          <w:tcPr>
            <w:tcW w:type="dxa" w:w="2438"/>
            <w:tcMar>
              <w:top w:w="80" w:type="dxa"/>
              <w:left w:w="100" w:type="dxa"/>
              <w:bottom w:w="80" w:type="dxa"/>
              <w:right w:w="100" w:type="dxa"/>
            </w:tcMar>
          </w:tcPr>
          <w:p>
            <w:pPr>
              <w:spacing w:line="300" w:lineRule="auto"/>
            </w:pPr>
            <w:r>
              <w:rPr>
                <w:rFonts w:eastAsia="宋体"/>
                <w:color w:val="000000"/>
                <w:sz w:val="22"/>
                <w:szCs w:val="22"/>
              </w:rPr>
              <w:t>ExternalAlert / IncidentCandidate</w:t>
            </w:r>
          </w:p>
        </w:tc>
        <w:tc>
          <w:tcPr>
            <w:tcW w:type="dxa" w:w="2381"/>
            <w:tcMar>
              <w:top w:w="80" w:type="dxa"/>
              <w:left w:w="100" w:type="dxa"/>
              <w:bottom w:w="80" w:type="dxa"/>
              <w:right w:w="100" w:type="dxa"/>
            </w:tcMar>
          </w:tcPr>
          <w:p>
            <w:pPr>
              <w:spacing w:line="300" w:lineRule="auto"/>
            </w:pPr>
            <w:r>
              <w:rPr>
                <w:rFonts w:eastAsia="宋体"/>
                <w:color w:val="000000"/>
                <w:sz w:val="22"/>
                <w:szCs w:val="22"/>
              </w:rPr>
              <w:t>未知载荷隔离，不生成错误事件</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EXT-FIRE</w:t>
            </w:r>
          </w:p>
        </w:tc>
        <w:tc>
          <w:tcPr>
            <w:tcW w:type="dxa" w:w="2268"/>
            <w:tcMar>
              <w:top w:w="80" w:type="dxa"/>
              <w:left w:w="100" w:type="dxa"/>
              <w:bottom w:w="80" w:type="dxa"/>
              <w:right w:w="100" w:type="dxa"/>
            </w:tcMar>
          </w:tcPr>
          <w:p>
            <w:pPr>
              <w:spacing w:line="300" w:lineRule="auto"/>
            </w:pPr>
            <w:r>
              <w:rPr>
                <w:rFonts w:eastAsia="宋体"/>
                <w:color w:val="000000"/>
                <w:sz w:val="22"/>
                <w:szCs w:val="22"/>
              </w:rPr>
              <w:t>消防告警接入和状态关联</w:t>
            </w:r>
          </w:p>
        </w:tc>
        <w:tc>
          <w:tcPr>
            <w:tcW w:type="dxa" w:w="2438"/>
            <w:tcMar>
              <w:top w:w="80" w:type="dxa"/>
              <w:left w:w="100" w:type="dxa"/>
              <w:bottom w:w="80" w:type="dxa"/>
              <w:right w:w="100" w:type="dxa"/>
            </w:tcMar>
          </w:tcPr>
          <w:p>
            <w:pPr>
              <w:spacing w:line="300" w:lineRule="auto"/>
            </w:pPr>
            <w:r>
              <w:rPr>
                <w:rFonts w:eastAsia="宋体"/>
                <w:color w:val="000000"/>
                <w:sz w:val="22"/>
                <w:szCs w:val="22"/>
              </w:rPr>
              <w:t>ExternalAlert / IncidentCandidate</w:t>
            </w:r>
          </w:p>
        </w:tc>
        <w:tc>
          <w:tcPr>
            <w:tcW w:type="dxa" w:w="2381"/>
            <w:tcMar>
              <w:top w:w="80" w:type="dxa"/>
              <w:left w:w="100" w:type="dxa"/>
              <w:bottom w:w="80" w:type="dxa"/>
              <w:right w:w="100" w:type="dxa"/>
            </w:tcMar>
          </w:tcPr>
          <w:p>
            <w:pPr>
              <w:spacing w:line="300" w:lineRule="auto"/>
            </w:pPr>
            <w:r>
              <w:rPr>
                <w:rFonts w:eastAsia="宋体"/>
                <w:color w:val="000000"/>
                <w:sz w:val="22"/>
                <w:szCs w:val="22"/>
              </w:rPr>
              <w:t>断连告警，补传按外部 ID 去重</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EXT-IOT</w:t>
            </w:r>
          </w:p>
        </w:tc>
        <w:tc>
          <w:tcPr>
            <w:tcW w:type="dxa" w:w="2268"/>
            <w:tcMar>
              <w:top w:w="80" w:type="dxa"/>
              <w:left w:w="100" w:type="dxa"/>
              <w:bottom w:w="80" w:type="dxa"/>
              <w:right w:w="100" w:type="dxa"/>
            </w:tcMar>
          </w:tcPr>
          <w:p>
            <w:pPr>
              <w:spacing w:line="300" w:lineRule="auto"/>
            </w:pPr>
            <w:r>
              <w:rPr>
                <w:rFonts w:eastAsia="宋体"/>
                <w:color w:val="000000"/>
                <w:sz w:val="22"/>
                <w:szCs w:val="22"/>
              </w:rPr>
              <w:t>设备状态、告警和时间归一化</w:t>
            </w:r>
          </w:p>
        </w:tc>
        <w:tc>
          <w:tcPr>
            <w:tcW w:type="dxa" w:w="2438"/>
            <w:tcMar>
              <w:top w:w="80" w:type="dxa"/>
              <w:left w:w="100" w:type="dxa"/>
              <w:bottom w:w="80" w:type="dxa"/>
              <w:right w:w="100" w:type="dxa"/>
            </w:tcMar>
          </w:tcPr>
          <w:p>
            <w:pPr>
              <w:spacing w:line="300" w:lineRule="auto"/>
            </w:pPr>
            <w:r>
              <w:rPr>
                <w:rFonts w:eastAsia="宋体"/>
                <w:color w:val="000000"/>
                <w:sz w:val="22"/>
                <w:szCs w:val="22"/>
              </w:rPr>
              <w:t>DeviceEvent / NormalizedEvent</w:t>
            </w:r>
          </w:p>
        </w:tc>
        <w:tc>
          <w:tcPr>
            <w:tcW w:type="dxa" w:w="2381"/>
            <w:tcMar>
              <w:top w:w="80" w:type="dxa"/>
              <w:left w:w="100" w:type="dxa"/>
              <w:bottom w:w="80" w:type="dxa"/>
              <w:right w:w="100" w:type="dxa"/>
            </w:tcMar>
          </w:tcPr>
          <w:p>
            <w:pPr>
              <w:spacing w:line="300" w:lineRule="auto"/>
            </w:pPr>
            <w:r>
              <w:rPr>
                <w:rFonts w:eastAsia="宋体"/>
                <w:color w:val="000000"/>
                <w:sz w:val="22"/>
                <w:szCs w:val="22"/>
              </w:rPr>
              <w:t>过期数据标识，不覆盖较新事实</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EXT-MIDDLE</w:t>
            </w:r>
          </w:p>
        </w:tc>
        <w:tc>
          <w:tcPr>
            <w:tcW w:type="dxa" w:w="2268"/>
            <w:tcMar>
              <w:top w:w="80" w:type="dxa"/>
              <w:left w:w="100" w:type="dxa"/>
              <w:bottom w:w="80" w:type="dxa"/>
              <w:right w:w="100" w:type="dxa"/>
            </w:tcMar>
          </w:tcPr>
          <w:p>
            <w:pPr>
              <w:spacing w:line="300" w:lineRule="auto"/>
            </w:pPr>
            <w:r>
              <w:rPr>
                <w:rFonts w:eastAsia="宋体"/>
                <w:color w:val="000000"/>
                <w:sz w:val="22"/>
                <w:szCs w:val="22"/>
              </w:rPr>
              <w:t>身份、组织、权限、文件、工作流</w:t>
            </w:r>
          </w:p>
        </w:tc>
        <w:tc>
          <w:tcPr>
            <w:tcW w:type="dxa" w:w="2438"/>
            <w:tcMar>
              <w:top w:w="80" w:type="dxa"/>
              <w:left w:w="100" w:type="dxa"/>
              <w:bottom w:w="80" w:type="dxa"/>
              <w:right w:w="100" w:type="dxa"/>
            </w:tcMar>
          </w:tcPr>
          <w:p>
            <w:pPr>
              <w:spacing w:line="300" w:lineRule="auto"/>
            </w:pPr>
            <w:r>
              <w:rPr>
                <w:rFonts w:eastAsia="宋体"/>
                <w:color w:val="000000"/>
                <w:sz w:val="22"/>
                <w:szCs w:val="22"/>
              </w:rPr>
              <w:t>PlatformRequest / PlatformResult</w:t>
            </w:r>
          </w:p>
        </w:tc>
        <w:tc>
          <w:tcPr>
            <w:tcW w:type="dxa" w:w="2381"/>
            <w:tcMar>
              <w:top w:w="80" w:type="dxa"/>
              <w:left w:w="100" w:type="dxa"/>
              <w:bottom w:w="80" w:type="dxa"/>
              <w:right w:w="100" w:type="dxa"/>
            </w:tcMar>
          </w:tcPr>
          <w:p>
            <w:pPr>
              <w:spacing w:line="300" w:lineRule="auto"/>
            </w:pPr>
            <w:r>
              <w:rPr>
                <w:rFonts w:eastAsia="宋体"/>
                <w:color w:val="000000"/>
                <w:sz w:val="22"/>
                <w:szCs w:val="22"/>
              </w:rPr>
              <w:t>不复制建设通用能力；不可用时按用例失败关闭</w:t>
            </w:r>
          </w:p>
        </w:tc>
      </w:tr>
    </w:tbl>
    <w:p>
      <w:pPr>
        <w:pStyle w:val="2"/>
        <w:spacing w:before="240" w:after="160"/>
      </w:pPr>
      <w:r>
        <w:rPr>
          <w:rFonts w:eastAsia="黑体"/>
          <w:b/>
          <w:bCs/>
          <w:sz w:val="28"/>
          <w:szCs w:val="28"/>
        </w:rPr>
        <w:t>9.3 控制指令状态机</w:t>
      </w:r>
    </w:p>
    <w:p>
      <w:pPr>
        <w:spacing w:after="100" w:line="360" w:lineRule="auto"/>
        <w:ind w:firstLine="475"/>
      </w:pPr>
      <w:r>
        <w:rPr>
          <w:rFonts w:eastAsia="宋体" w:ascii="Consolas" w:hAnsi="Consolas"/>
          <w:color w:val="000000"/>
          <w:sz w:val="21"/>
          <w:szCs w:val="24"/>
        </w:rPr>
        <w:t>ControlCommand</w:t>
      </w:r>
      <w:r>
        <w:rPr>
          <w:rFonts w:eastAsia="宋体"/>
          <w:color w:val="000000"/>
          <w:sz w:val="24"/>
          <w:szCs w:val="24"/>
        </w:rPr>
        <w:t xml:space="preserve"> 状态为 </w:t>
      </w:r>
      <w:r>
        <w:rPr>
          <w:rFonts w:eastAsia="宋体" w:ascii="Consolas" w:hAnsi="Consolas"/>
          <w:color w:val="000000"/>
          <w:sz w:val="21"/>
          <w:szCs w:val="24"/>
        </w:rPr>
        <w:t>CREATED → AUTHORIZED → SENT → ACKNOWLEDGED</w:t>
      </w:r>
      <w:r>
        <w:rPr>
          <w:rFonts w:eastAsia="宋体"/>
          <w:color w:val="000000"/>
          <w:sz w:val="24"/>
          <w:szCs w:val="24"/>
        </w:rPr>
        <w:t xml:space="preserve">，可进入 </w:t>
      </w:r>
      <w:r>
        <w:rPr>
          <w:rFonts w:eastAsia="宋体" w:ascii="Consolas" w:hAnsi="Consolas"/>
          <w:color w:val="000000"/>
          <w:sz w:val="21"/>
          <w:szCs w:val="24"/>
        </w:rPr>
        <w:t>REJECTED</w:t>
      </w:r>
      <w:r>
        <w:rPr>
          <w:rFonts w:eastAsia="宋体"/>
          <w:color w:val="000000"/>
          <w:sz w:val="24"/>
          <w:szCs w:val="24"/>
        </w:rPr>
        <w:t>、</w:t>
      </w:r>
      <w:r>
        <w:rPr>
          <w:rFonts w:eastAsia="宋体" w:ascii="Consolas" w:hAnsi="Consolas"/>
          <w:color w:val="000000"/>
          <w:sz w:val="21"/>
          <w:szCs w:val="24"/>
        </w:rPr>
        <w:t>TIMEOUT</w:t>
      </w:r>
      <w:r>
        <w:rPr>
          <w:rFonts w:eastAsia="宋体"/>
          <w:color w:val="000000"/>
          <w:sz w:val="24"/>
          <w:szCs w:val="24"/>
        </w:rPr>
        <w:t xml:space="preserve"> 或 </w:t>
      </w:r>
      <w:r>
        <w:rPr>
          <w:rFonts w:eastAsia="宋体" w:ascii="Consolas" w:hAnsi="Consolas"/>
          <w:color w:val="000000"/>
          <w:sz w:val="21"/>
          <w:szCs w:val="24"/>
        </w:rPr>
        <w:t>MANUAL_HANDOFF</w:t>
      </w:r>
      <w:r>
        <w:rPr>
          <w:rFonts w:eastAsia="宋体"/>
          <w:color w:val="000000"/>
          <w:sz w:val="24"/>
          <w:szCs w:val="24"/>
        </w:rPr>
        <w:t>。授权记录、指令摘要、联锁结果和操作者必须留痕。超时只允许查询状态或人工确认后创建新命令，旧命令不得由重试器自动发送。</w:t>
      </w:r>
    </w:p>
    <w:p>
      <w:pPr>
        <w:pStyle w:val="1"/>
        <w:spacing w:before="240" w:after="160"/>
      </w:pPr>
      <w:r>
        <w:rPr>
          <w:rFonts w:eastAsia="黑体"/>
          <w:b/>
          <w:bCs/>
        </w:rPr>
        <w:t>10 关键协作流程与异常设计</w:t>
      </w:r>
    </w:p>
    <w:p>
      <w:pPr>
        <w:pStyle w:val="2"/>
        <w:spacing w:before="240" w:after="160"/>
      </w:pPr>
      <w:r>
        <w:rPr>
          <w:rFonts w:eastAsia="黑体"/>
          <w:b/>
          <w:bCs/>
          <w:sz w:val="28"/>
          <w:szCs w:val="28"/>
        </w:rPr>
        <w:t>10.1 事务与最终一致性</w:t>
      </w:r>
    </w:p>
    <w:p>
      <w:pPr>
        <w:spacing w:after="100" w:line="360" w:lineRule="auto"/>
        <w:ind w:firstLine="475"/>
      </w:pPr>
      <w:r>
        <w:rPr>
          <w:rFonts w:eastAsia="宋体"/>
          <w:color w:val="000000"/>
          <w:sz w:val="24"/>
          <w:szCs w:val="24"/>
        </w:rPr>
        <w:t>领域事实与 Outbox 同事务提交，外部发送在事务外执行。若投影或消息处理失败，事实状态保持，消费者从 Outbox 续处理。跨领域动作通过事件协作，不建立跨模块数据库事务。所有消费者以事件标识和处理器名称建立幂等记录。</w:t>
      </w:r>
    </w:p>
    <w:p>
      <w:pPr>
        <w:pStyle w:val="2"/>
        <w:spacing w:before="240" w:after="160"/>
      </w:pPr>
      <w:r>
        <w:rPr>
          <w:rFonts w:eastAsia="黑体"/>
          <w:b/>
          <w:bCs/>
          <w:sz w:val="28"/>
          <w:szCs w:val="28"/>
        </w:rPr>
        <w:t>10.2 异常分类</w:t>
      </w:r>
    </w:p>
    <w:p>
      <w:pPr>
        <w:keepNext/>
        <w:jc w:val="center"/>
      </w:pPr>
      <w:r>
        <w:rPr>
          <w:rFonts w:eastAsia="黑体"/>
          <w:b/>
          <w:color w:val="000000"/>
          <w:sz w:val="18"/>
        </w:rPr>
        <w:t>表 10-1 异常分类</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4A0" w:firstRow="1" w:lastRow="0" w:firstColumn="1" w:lastColumn="0" w:noHBand="0" w:noVBand="1"/>
      </w:tblPr>
      <w:tblGrid>
        <w:gridCol w:w="2256"/>
        <w:gridCol w:w="2256"/>
        <w:gridCol w:w="2256"/>
        <w:gridCol w:w="2256"/>
      </w:tblGrid>
      <w:tr>
        <w:trPr>
          <w:tblHeader/>
          <w:cantSplit/>
        </w:trPr>
        <w:tc>
          <w:tcPr>
            <w:tcW w:type="dxa" w:w="1531"/>
            <w:shd w:val="clear" w:color="auto" w:fill="DCE6F1"/>
            <w:tcMar>
              <w:top w:w="80" w:type="dxa"/>
              <w:left w:w="100" w:type="dxa"/>
              <w:bottom w:w="80" w:type="dxa"/>
              <w:right w:w="100" w:type="dxa"/>
            </w:tcMar>
          </w:tcPr>
          <w:p>
            <w:pPr>
              <w:spacing w:line="300" w:lineRule="auto"/>
            </w:pPr>
            <w:r>
              <w:rPr>
                <w:rFonts w:eastAsia="宋体"/>
                <w:b/>
                <w:bCs/>
                <w:color w:val="000000"/>
                <w:sz w:val="24"/>
                <w:szCs w:val="24"/>
              </w:rPr>
              <w:t>类别</w:t>
            </w:r>
          </w:p>
        </w:tc>
        <w:tc>
          <w:tcPr>
            <w:tcW w:type="dxa" w:w="2268"/>
            <w:shd w:val="clear" w:color="auto" w:fill="DCE6F1"/>
            <w:tcMar>
              <w:top w:w="80" w:type="dxa"/>
              <w:left w:w="100" w:type="dxa"/>
              <w:bottom w:w="80" w:type="dxa"/>
              <w:right w:w="100" w:type="dxa"/>
            </w:tcMar>
          </w:tcPr>
          <w:p>
            <w:pPr>
              <w:spacing w:line="300" w:lineRule="auto"/>
            </w:pPr>
            <w:r>
              <w:rPr>
                <w:rFonts w:eastAsia="宋体"/>
                <w:b/>
                <w:bCs/>
                <w:color w:val="000000"/>
                <w:sz w:val="24"/>
                <w:szCs w:val="24"/>
              </w:rPr>
              <w:t>示例</w:t>
            </w:r>
          </w:p>
        </w:tc>
        <w:tc>
          <w:tcPr>
            <w:tcW w:type="dxa" w:w="2438"/>
            <w:shd w:val="clear" w:color="auto" w:fill="DCE6F1"/>
            <w:tcMar>
              <w:top w:w="80" w:type="dxa"/>
              <w:left w:w="100" w:type="dxa"/>
              <w:bottom w:w="80" w:type="dxa"/>
              <w:right w:w="100" w:type="dxa"/>
            </w:tcMar>
          </w:tcPr>
          <w:p>
            <w:pPr>
              <w:spacing w:line="300" w:lineRule="auto"/>
            </w:pPr>
            <w:r>
              <w:rPr>
                <w:rFonts w:eastAsia="宋体"/>
                <w:b/>
                <w:bCs/>
                <w:color w:val="000000"/>
                <w:sz w:val="24"/>
                <w:szCs w:val="24"/>
              </w:rPr>
              <w:t>系统行为</w:t>
            </w:r>
          </w:p>
        </w:tc>
        <w:tc>
          <w:tcPr>
            <w:tcW w:type="dxa" w:w="2381"/>
            <w:shd w:val="clear" w:color="auto" w:fill="DCE6F1"/>
            <w:tcMar>
              <w:top w:w="80" w:type="dxa"/>
              <w:left w:w="100" w:type="dxa"/>
              <w:bottom w:w="80" w:type="dxa"/>
              <w:right w:w="100" w:type="dxa"/>
            </w:tcMar>
          </w:tcPr>
          <w:p>
            <w:pPr>
              <w:spacing w:line="300" w:lineRule="auto"/>
            </w:pPr>
            <w:r>
              <w:rPr>
                <w:rFonts w:eastAsia="宋体"/>
                <w:b/>
                <w:bCs/>
                <w:color w:val="000000"/>
                <w:sz w:val="24"/>
                <w:szCs w:val="24"/>
              </w:rPr>
              <w:t>人工动作</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业务拒绝</w:t>
            </w:r>
          </w:p>
        </w:tc>
        <w:tc>
          <w:tcPr>
            <w:tcW w:type="dxa" w:w="2268"/>
            <w:tcMar>
              <w:top w:w="80" w:type="dxa"/>
              <w:left w:w="100" w:type="dxa"/>
              <w:bottom w:w="80" w:type="dxa"/>
              <w:right w:w="100" w:type="dxa"/>
            </w:tcMar>
          </w:tcPr>
          <w:p>
            <w:pPr>
              <w:spacing w:line="300" w:lineRule="auto"/>
            </w:pPr>
            <w:r>
              <w:rPr>
                <w:rFonts w:eastAsia="宋体"/>
                <w:color w:val="000000"/>
                <w:sz w:val="22"/>
                <w:szCs w:val="22"/>
              </w:rPr>
              <w:t>未核实启动、非法状态、任务缺材料</w:t>
            </w:r>
          </w:p>
        </w:tc>
        <w:tc>
          <w:tcPr>
            <w:tcW w:type="dxa" w:w="2438"/>
            <w:tcMar>
              <w:top w:w="80" w:type="dxa"/>
              <w:left w:w="100" w:type="dxa"/>
              <w:bottom w:w="80" w:type="dxa"/>
              <w:right w:w="100" w:type="dxa"/>
            </w:tcMar>
          </w:tcPr>
          <w:p>
            <w:pPr>
              <w:spacing w:line="300" w:lineRule="auto"/>
            </w:pPr>
            <w:r>
              <w:rPr>
                <w:rFonts w:eastAsia="宋体"/>
                <w:color w:val="000000"/>
                <w:sz w:val="22"/>
                <w:szCs w:val="22"/>
              </w:rPr>
              <w:t>不写事实，返回明确错误码</w:t>
            </w:r>
          </w:p>
        </w:tc>
        <w:tc>
          <w:tcPr>
            <w:tcW w:type="dxa" w:w="2381"/>
            <w:tcMar>
              <w:top w:w="80" w:type="dxa"/>
              <w:left w:w="100" w:type="dxa"/>
              <w:bottom w:w="80" w:type="dxa"/>
              <w:right w:w="100" w:type="dxa"/>
            </w:tcMar>
          </w:tcPr>
          <w:p>
            <w:pPr>
              <w:spacing w:line="300" w:lineRule="auto"/>
            </w:pPr>
            <w:r>
              <w:rPr>
                <w:rFonts w:eastAsia="宋体"/>
                <w:color w:val="000000"/>
                <w:sz w:val="22"/>
                <w:szCs w:val="22"/>
              </w:rPr>
              <w:t>修正输入或完成前置步骤</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授权拒绝</w:t>
            </w:r>
          </w:p>
        </w:tc>
        <w:tc>
          <w:tcPr>
            <w:tcW w:type="dxa" w:w="2268"/>
            <w:tcMar>
              <w:top w:w="80" w:type="dxa"/>
              <w:left w:w="100" w:type="dxa"/>
              <w:bottom w:w="80" w:type="dxa"/>
              <w:right w:w="100" w:type="dxa"/>
            </w:tcMar>
          </w:tcPr>
          <w:p>
            <w:pPr>
              <w:spacing w:line="300" w:lineRule="auto"/>
            </w:pPr>
            <w:r>
              <w:rPr>
                <w:rFonts w:eastAsia="宋体"/>
                <w:color w:val="000000"/>
                <w:sz w:val="22"/>
                <w:szCs w:val="22"/>
              </w:rPr>
              <w:t>越权关闭、无权下发门禁</w:t>
            </w:r>
          </w:p>
        </w:tc>
        <w:tc>
          <w:tcPr>
            <w:tcW w:type="dxa" w:w="2438"/>
            <w:tcMar>
              <w:top w:w="80" w:type="dxa"/>
              <w:left w:w="100" w:type="dxa"/>
              <w:bottom w:w="80" w:type="dxa"/>
              <w:right w:w="100" w:type="dxa"/>
            </w:tcMar>
          </w:tcPr>
          <w:p>
            <w:pPr>
              <w:spacing w:line="300" w:lineRule="auto"/>
            </w:pPr>
            <w:r>
              <w:rPr>
                <w:rFonts w:eastAsia="宋体"/>
                <w:color w:val="000000"/>
                <w:sz w:val="22"/>
                <w:szCs w:val="22"/>
              </w:rPr>
              <w:t>失败关闭并写安全审计</w:t>
            </w:r>
          </w:p>
        </w:tc>
        <w:tc>
          <w:tcPr>
            <w:tcW w:type="dxa" w:w="2381"/>
            <w:tcMar>
              <w:top w:w="80" w:type="dxa"/>
              <w:left w:w="100" w:type="dxa"/>
              <w:bottom w:w="80" w:type="dxa"/>
              <w:right w:w="100" w:type="dxa"/>
            </w:tcMar>
          </w:tcPr>
          <w:p>
            <w:pPr>
              <w:spacing w:line="300" w:lineRule="auto"/>
            </w:pPr>
            <w:r>
              <w:rPr>
                <w:rFonts w:eastAsia="宋体"/>
                <w:color w:val="000000"/>
                <w:sz w:val="22"/>
                <w:szCs w:val="22"/>
              </w:rPr>
              <w:t>由授权人员执行</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可重试外部失败</w:t>
            </w:r>
          </w:p>
        </w:tc>
        <w:tc>
          <w:tcPr>
            <w:tcW w:type="dxa" w:w="2268"/>
            <w:tcMar>
              <w:top w:w="80" w:type="dxa"/>
              <w:left w:w="100" w:type="dxa"/>
              <w:bottom w:w="80" w:type="dxa"/>
              <w:right w:w="100" w:type="dxa"/>
            </w:tcMar>
          </w:tcPr>
          <w:p>
            <w:pPr>
              <w:spacing w:line="300" w:lineRule="auto"/>
            </w:pPr>
            <w:r>
              <w:rPr>
                <w:rFonts w:eastAsia="宋体"/>
                <w:color w:val="000000"/>
                <w:sz w:val="22"/>
                <w:szCs w:val="22"/>
              </w:rPr>
              <w:t>普通消息超时、投影处理失败</w:t>
            </w:r>
          </w:p>
        </w:tc>
        <w:tc>
          <w:tcPr>
            <w:tcW w:type="dxa" w:w="2438"/>
            <w:tcMar>
              <w:top w:w="80" w:type="dxa"/>
              <w:left w:w="100" w:type="dxa"/>
              <w:bottom w:w="80" w:type="dxa"/>
              <w:right w:w="100" w:type="dxa"/>
            </w:tcMar>
          </w:tcPr>
          <w:p>
            <w:pPr>
              <w:spacing w:line="300" w:lineRule="auto"/>
            </w:pPr>
            <w:r>
              <w:rPr>
                <w:rFonts w:eastAsia="宋体"/>
                <w:color w:val="000000"/>
                <w:sz w:val="22"/>
                <w:szCs w:val="22"/>
              </w:rPr>
              <w:t>有限退避重试，保留尝试</w:t>
            </w:r>
          </w:p>
        </w:tc>
        <w:tc>
          <w:tcPr>
            <w:tcW w:type="dxa" w:w="2381"/>
            <w:tcMar>
              <w:top w:w="80" w:type="dxa"/>
              <w:left w:w="100" w:type="dxa"/>
              <w:bottom w:w="80" w:type="dxa"/>
              <w:right w:w="100" w:type="dxa"/>
            </w:tcMar>
          </w:tcPr>
          <w:p>
            <w:pPr>
              <w:spacing w:line="300" w:lineRule="auto"/>
            </w:pPr>
            <w:r>
              <w:rPr>
                <w:rFonts w:eastAsia="宋体"/>
                <w:color w:val="000000"/>
                <w:sz w:val="22"/>
                <w:szCs w:val="22"/>
              </w:rPr>
              <w:t>超过阈值人工处理</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不可自动重试</w:t>
            </w:r>
          </w:p>
        </w:tc>
        <w:tc>
          <w:tcPr>
            <w:tcW w:type="dxa" w:w="2268"/>
            <w:tcMar>
              <w:top w:w="80" w:type="dxa"/>
              <w:left w:w="100" w:type="dxa"/>
              <w:bottom w:w="80" w:type="dxa"/>
              <w:right w:w="100" w:type="dxa"/>
            </w:tcMar>
          </w:tcPr>
          <w:p>
            <w:pPr>
              <w:spacing w:line="300" w:lineRule="auto"/>
            </w:pPr>
            <w:r>
              <w:rPr>
                <w:rFonts w:eastAsia="宋体"/>
                <w:color w:val="000000"/>
                <w:sz w:val="22"/>
                <w:szCs w:val="22"/>
              </w:rPr>
              <w:t>门禁控制超时、结果不确定</w:t>
            </w:r>
          </w:p>
        </w:tc>
        <w:tc>
          <w:tcPr>
            <w:tcW w:type="dxa" w:w="2438"/>
            <w:tcMar>
              <w:top w:w="80" w:type="dxa"/>
              <w:left w:w="100" w:type="dxa"/>
              <w:bottom w:w="80" w:type="dxa"/>
              <w:right w:w="100" w:type="dxa"/>
            </w:tcMar>
          </w:tcPr>
          <w:p>
            <w:pPr>
              <w:spacing w:line="300" w:lineRule="auto"/>
            </w:pPr>
            <w:r>
              <w:rPr>
                <w:rFonts w:eastAsia="宋体"/>
                <w:color w:val="000000"/>
                <w:sz w:val="22"/>
                <w:szCs w:val="22"/>
              </w:rPr>
              <w:t>转 MANUAL_HANDOFF</w:t>
            </w:r>
          </w:p>
        </w:tc>
        <w:tc>
          <w:tcPr>
            <w:tcW w:type="dxa" w:w="2381"/>
            <w:tcMar>
              <w:top w:w="80" w:type="dxa"/>
              <w:left w:w="100" w:type="dxa"/>
              <w:bottom w:w="80" w:type="dxa"/>
              <w:right w:w="100" w:type="dxa"/>
            </w:tcMar>
          </w:tcPr>
          <w:p>
            <w:pPr>
              <w:spacing w:line="300" w:lineRule="auto"/>
            </w:pPr>
            <w:r>
              <w:rPr>
                <w:rFonts w:eastAsia="宋体"/>
                <w:color w:val="000000"/>
                <w:sz w:val="22"/>
                <w:szCs w:val="22"/>
              </w:rPr>
              <w:t>核对现场后新建命令</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数据质量</w:t>
            </w:r>
          </w:p>
        </w:tc>
        <w:tc>
          <w:tcPr>
            <w:tcW w:type="dxa" w:w="2268"/>
            <w:tcMar>
              <w:top w:w="80" w:type="dxa"/>
              <w:left w:w="100" w:type="dxa"/>
              <w:bottom w:w="80" w:type="dxa"/>
              <w:right w:w="100" w:type="dxa"/>
            </w:tcMar>
          </w:tcPr>
          <w:p>
            <w:pPr>
              <w:spacing w:line="300" w:lineRule="auto"/>
            </w:pPr>
            <w:r>
              <w:rPr>
                <w:rFonts w:eastAsia="宋体"/>
                <w:color w:val="000000"/>
                <w:sz w:val="22"/>
                <w:szCs w:val="22"/>
              </w:rPr>
              <w:t>未知告警、非法楼层、过期位置</w:t>
            </w:r>
          </w:p>
        </w:tc>
        <w:tc>
          <w:tcPr>
            <w:tcW w:type="dxa" w:w="2438"/>
            <w:tcMar>
              <w:top w:w="80" w:type="dxa"/>
              <w:left w:w="100" w:type="dxa"/>
              <w:bottom w:w="80" w:type="dxa"/>
              <w:right w:w="100" w:type="dxa"/>
            </w:tcMar>
          </w:tcPr>
          <w:p>
            <w:pPr>
              <w:spacing w:line="300" w:lineRule="auto"/>
            </w:pPr>
            <w:r>
              <w:rPr>
                <w:rFonts w:eastAsia="宋体"/>
                <w:color w:val="000000"/>
                <w:sz w:val="22"/>
                <w:szCs w:val="22"/>
              </w:rPr>
              <w:t>隔离或降级显示</w:t>
            </w:r>
          </w:p>
        </w:tc>
        <w:tc>
          <w:tcPr>
            <w:tcW w:type="dxa" w:w="2381"/>
            <w:tcMar>
              <w:top w:w="80" w:type="dxa"/>
              <w:left w:w="100" w:type="dxa"/>
              <w:bottom w:w="80" w:type="dxa"/>
              <w:right w:w="100" w:type="dxa"/>
            </w:tcMar>
          </w:tcPr>
          <w:p>
            <w:pPr>
              <w:spacing w:line="300" w:lineRule="auto"/>
            </w:pPr>
            <w:r>
              <w:rPr>
                <w:rFonts w:eastAsia="宋体"/>
                <w:color w:val="000000"/>
                <w:sz w:val="22"/>
                <w:szCs w:val="22"/>
              </w:rPr>
              <w:t>补映射、校对来源</w:t>
            </w:r>
          </w:p>
        </w:tc>
      </w:tr>
      <w:tr>
        <w:trPr>
          <w:cantSplit/>
        </w:trPr>
        <w:tc>
          <w:tcPr>
            <w:tcW w:type="dxa" w:w="1531"/>
            <w:tcMar>
              <w:top w:w="80" w:type="dxa"/>
              <w:left w:w="100" w:type="dxa"/>
              <w:bottom w:w="80" w:type="dxa"/>
              <w:right w:w="100" w:type="dxa"/>
            </w:tcMar>
          </w:tcPr>
          <w:p>
            <w:pPr>
              <w:spacing w:line="300" w:lineRule="auto"/>
            </w:pPr>
            <w:r>
              <w:rPr>
                <w:rFonts w:eastAsia="宋体"/>
                <w:color w:val="000000"/>
                <w:sz w:val="22"/>
                <w:szCs w:val="22"/>
              </w:rPr>
              <w:t>并发冲突</w:t>
            </w:r>
          </w:p>
        </w:tc>
        <w:tc>
          <w:tcPr>
            <w:tcW w:type="dxa" w:w="2268"/>
            <w:tcMar>
              <w:top w:w="80" w:type="dxa"/>
              <w:left w:w="100" w:type="dxa"/>
              <w:bottom w:w="80" w:type="dxa"/>
              <w:right w:w="100" w:type="dxa"/>
            </w:tcMar>
          </w:tcPr>
          <w:p>
            <w:pPr>
              <w:spacing w:line="300" w:lineRule="auto"/>
            </w:pPr>
            <w:r>
              <w:rPr>
                <w:rFonts w:eastAsia="宋体"/>
                <w:color w:val="000000"/>
                <w:sz w:val="22"/>
                <w:szCs w:val="22"/>
              </w:rPr>
              <w:t>版本号变化、重复提交</w:t>
            </w:r>
          </w:p>
        </w:tc>
        <w:tc>
          <w:tcPr>
            <w:tcW w:type="dxa" w:w="2438"/>
            <w:tcMar>
              <w:top w:w="80" w:type="dxa"/>
              <w:left w:w="100" w:type="dxa"/>
              <w:bottom w:w="80" w:type="dxa"/>
              <w:right w:w="100" w:type="dxa"/>
            </w:tcMar>
          </w:tcPr>
          <w:p>
            <w:pPr>
              <w:spacing w:line="300" w:lineRule="auto"/>
            </w:pPr>
            <w:r>
              <w:rPr>
                <w:rFonts w:eastAsia="宋体"/>
                <w:color w:val="000000"/>
                <w:sz w:val="22"/>
                <w:szCs w:val="22"/>
              </w:rPr>
              <w:t>返回冲突并提供最新版本</w:t>
            </w:r>
          </w:p>
        </w:tc>
        <w:tc>
          <w:tcPr>
            <w:tcW w:type="dxa" w:w="2381"/>
            <w:tcMar>
              <w:top w:w="80" w:type="dxa"/>
              <w:left w:w="100" w:type="dxa"/>
              <w:bottom w:w="80" w:type="dxa"/>
              <w:right w:w="100" w:type="dxa"/>
            </w:tcMar>
          </w:tcPr>
          <w:p>
            <w:pPr>
              <w:spacing w:line="300" w:lineRule="auto"/>
            </w:pPr>
            <w:r>
              <w:rPr>
                <w:rFonts w:eastAsia="宋体"/>
                <w:color w:val="000000"/>
                <w:sz w:val="22"/>
                <w:szCs w:val="22"/>
              </w:rPr>
              <w:t>刷新后重新确认</w:t>
            </w:r>
          </w:p>
        </w:tc>
      </w:tr>
    </w:tbl>
    <w:p>
      <w:pPr>
        <w:pStyle w:val="2"/>
        <w:spacing w:before="240" w:after="160"/>
      </w:pPr>
      <w:r>
        <w:rPr>
          <w:rFonts w:eastAsia="黑体"/>
          <w:b/>
          <w:bCs/>
          <w:sz w:val="28"/>
          <w:szCs w:val="28"/>
        </w:rPr>
        <w:t>10.3 可观测性和恢复</w:t>
      </w:r>
    </w:p>
    <w:p>
      <w:pPr>
        <w:spacing w:after="100" w:line="360" w:lineRule="auto"/>
        <w:ind w:firstLine="475"/>
      </w:pPr>
      <w:r>
        <w:rPr>
          <w:rFonts w:eastAsia="宋体"/>
          <w:color w:val="000000"/>
          <w:sz w:val="24"/>
          <w:szCs w:val="24"/>
        </w:rPr>
        <w:t>日志按 traceId、业务对象标识和外部调用标识关联；指标覆盖命令时延、Outbox 积压、消息到达、适配器错误、投影延迟、幂等冲突和人工降级数量。恢复后先恢复领域事实与 Outbox，再重建投影，最后恢复外部派生处理。RPO、RTO 和 MTTR 指标须由后续部署与恢复演练验证。</w:t>
      </w:r>
    </w:p>
    <w:p>
      <w:pPr>
        <w:pStyle w:val="1"/>
        <w:spacing w:before="240" w:after="160"/>
      </w:pPr>
      <w:r>
        <w:rPr>
          <w:rFonts w:eastAsia="黑体"/>
          <w:b/>
          <w:bCs/>
        </w:rPr>
        <w:t>11 安全、性能与可测试性设计</w:t>
      </w:r>
    </w:p>
    <w:p>
      <w:pPr>
        <w:pStyle w:val="2"/>
        <w:spacing w:before="240" w:after="160"/>
      </w:pPr>
      <w:r>
        <w:rPr>
          <w:rFonts w:eastAsia="黑体"/>
          <w:b/>
          <w:bCs/>
          <w:sz w:val="28"/>
          <w:szCs w:val="28"/>
        </w:rPr>
        <w:t>11.1 安全控制</w:t>
      </w:r>
    </w:p>
    <w:p>
      <w:pPr>
        <w:spacing w:after="100" w:line="360" w:lineRule="auto"/>
        <w:ind w:firstLine="475"/>
      </w:pPr>
      <w:r>
        <w:rPr>
          <w:rFonts w:eastAsia="宋体"/>
          <w:color w:val="000000"/>
          <w:sz w:val="24"/>
          <w:szCs w:val="24"/>
        </w:rPr>
        <w:t>统一认证、最小权限、数据范围过滤、敏感操作二次确认、参数白名单、上传引用校验、输出编码、凭据外置、日志脱敏和审计防抵赖贯穿各用例。SCA、漏洞扫描和渗透测试由应用侧执行，高危漏洞清零后方可准出；正式第三方等保测评不默认属于乙方范围。</w:t>
      </w:r>
    </w:p>
    <w:p>
      <w:pPr>
        <w:pStyle w:val="2"/>
        <w:spacing w:before="240" w:after="160"/>
      </w:pPr>
      <w:r>
        <w:rPr>
          <w:rFonts w:eastAsia="黑体"/>
          <w:b/>
          <w:bCs/>
          <w:sz w:val="28"/>
          <w:szCs w:val="28"/>
        </w:rPr>
        <w:t>11.2 性能机制</w:t>
      </w:r>
    </w:p>
    <w:p>
      <w:pPr>
        <w:spacing w:after="100" w:line="360" w:lineRule="auto"/>
        <w:ind w:firstLine="475"/>
      </w:pPr>
      <w:r>
        <w:rPr>
          <w:rFonts w:eastAsia="宋体"/>
          <w:color w:val="000000"/>
          <w:sz w:val="24"/>
          <w:szCs w:val="24"/>
        </w:rPr>
        <w:t>预案发布快照和基础字典可短时缓存，但权限、事件状态和控制前置条件必须实时校验。列表采用分页与覆盖索引，地图采用视窗查询和分层加载，态势使用可重建投影。秒级指标通过服务端埋点、并发脚本和目标环境端到端测试证明，不以设计推断替代实测。</w:t>
      </w:r>
    </w:p>
    <w:p>
      <w:pPr>
        <w:pStyle w:val="2"/>
        <w:spacing w:before="240" w:after="160"/>
      </w:pPr>
      <w:r>
        <w:rPr>
          <w:rFonts w:eastAsia="黑体"/>
          <w:b/>
          <w:bCs/>
          <w:sz w:val="28"/>
          <w:szCs w:val="28"/>
        </w:rPr>
        <w:t>11.3 测试接缝</w:t>
      </w:r>
    </w:p>
    <w:p>
      <w:pPr>
        <w:spacing w:after="100" w:line="360" w:lineRule="auto"/>
        <w:ind w:firstLine="475"/>
      </w:pPr>
      <w:r>
        <w:rPr>
          <w:rFonts w:eastAsia="宋体"/>
          <w:color w:val="000000"/>
          <w:sz w:val="24"/>
          <w:szCs w:val="24"/>
        </w:rPr>
        <w:t>时间、标识生成、消息、视频、定位、中台和各外部端口均以接口注入，支持使用桩和故障模拟器验证超时、重复、乱序、迟到和断连。状态机使用表驱动用例覆盖合法与非法迁移；仓储使用事务集成测试验证并发、约束与回滚；端到端测试覆盖 Web/H5/大屏的相同业务口径。</w:t>
      </w:r>
    </w:p>
    <w:p>
      <w:pPr>
        <w:pStyle w:val="1"/>
        <w:spacing w:before="240" w:after="160"/>
      </w:pPr>
      <w:r>
        <w:rPr>
          <w:rFonts w:eastAsia="黑体"/>
          <w:b/>
          <w:bCs/>
        </w:rPr>
        <w:t>12 需求与验收追踪</w:t>
      </w:r>
    </w:p>
    <w:p>
      <w:pPr>
        <w:pStyle w:val="2"/>
        <w:spacing w:before="240" w:after="160"/>
      </w:pPr>
      <w:r>
        <w:rPr>
          <w:rFonts w:eastAsia="黑体"/>
          <w:b/>
          <w:bCs/>
          <w:sz w:val="28"/>
          <w:szCs w:val="28"/>
        </w:rPr>
        <w:t>12.1 39 FR / 117 AC 详细设计追踪矩阵</w:t>
      </w:r>
    </w:p>
    <w:p>
      <w:pPr>
        <w:spacing w:after="100" w:line="360" w:lineRule="auto"/>
        <w:ind w:firstLine="475"/>
      </w:pPr>
      <w:r>
        <w:rPr>
          <w:rFonts w:eastAsia="宋体"/>
          <w:color w:val="000000"/>
          <w:sz w:val="24"/>
          <w:szCs w:val="24"/>
        </w:rPr>
        <w:t>下表每行覆盖一个 FR、其 3 条 AC、详细设计落点和异常/验证入口。★属性以受控 RTM 为准，34 条★和 5 条非★均明确标识。</w:t>
      </w:r>
    </w:p>
    <w:p>
      <w:pPr>
        <w:keepNext/>
        <w:jc w:val="center"/>
      </w:pPr>
      <w:r>
        <w:rPr>
          <w:rFonts w:eastAsia="黑体"/>
          <w:b/>
          <w:color w:val="000000"/>
          <w:sz w:val="18"/>
        </w:rPr>
        <w:t>表 12-1 39 FR / 117 AC 详细设计追踪矩阵</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4A0" w:firstRow="1" w:lastRow="0" w:firstColumn="1" w:lastColumn="0" w:noHBand="0" w:noVBand="1"/>
      </w:tblPr>
      <w:tblGrid>
        <w:gridCol w:w="2256"/>
        <w:gridCol w:w="2256"/>
        <w:gridCol w:w="2256"/>
        <w:gridCol w:w="2256"/>
      </w:tblGrid>
      <w:tr>
        <w:trPr>
          <w:tblHeader/>
          <w:cantSplit/>
        </w:trPr>
        <w:tc>
          <w:tcPr>
            <w:tcW w:type="dxa" w:w="1474"/>
            <w:shd w:val="clear" w:color="auto" w:fill="DCE6F1"/>
            <w:tcMar>
              <w:top w:w="80" w:type="dxa"/>
              <w:left w:w="100" w:type="dxa"/>
              <w:bottom w:w="80" w:type="dxa"/>
              <w:right w:w="100" w:type="dxa"/>
            </w:tcMar>
          </w:tcPr>
          <w:p>
            <w:pPr>
              <w:spacing w:line="300" w:lineRule="auto"/>
            </w:pPr>
            <w:r>
              <w:rPr>
                <w:rFonts w:eastAsia="宋体"/>
                <w:b/>
                <w:bCs/>
                <w:color w:val="000000"/>
                <w:sz w:val="24"/>
                <w:szCs w:val="24"/>
              </w:rPr>
              <w:t>设计 ID / FR / 属性</w:t>
            </w:r>
          </w:p>
        </w:tc>
        <w:tc>
          <w:tcPr>
            <w:tcW w:type="dxa" w:w="2268"/>
            <w:shd w:val="clear" w:color="auto" w:fill="DCE6F1"/>
            <w:tcMar>
              <w:top w:w="80" w:type="dxa"/>
              <w:left w:w="100" w:type="dxa"/>
              <w:bottom w:w="80" w:type="dxa"/>
              <w:right w:w="100" w:type="dxa"/>
            </w:tcMar>
          </w:tcPr>
          <w:p>
            <w:pPr>
              <w:spacing w:line="300" w:lineRule="auto"/>
            </w:pPr>
            <w:r>
              <w:rPr>
                <w:rFonts w:eastAsia="宋体"/>
                <w:b/>
                <w:bCs/>
                <w:color w:val="000000"/>
                <w:sz w:val="24"/>
                <w:szCs w:val="24"/>
              </w:rPr>
              <w:t>验收标准</w:t>
            </w:r>
          </w:p>
        </w:tc>
        <w:tc>
          <w:tcPr>
            <w:tcW w:type="dxa" w:w="2494"/>
            <w:shd w:val="clear" w:color="auto" w:fill="DCE6F1"/>
            <w:tcMar>
              <w:top w:w="80" w:type="dxa"/>
              <w:left w:w="100" w:type="dxa"/>
              <w:bottom w:w="80" w:type="dxa"/>
              <w:right w:w="100" w:type="dxa"/>
            </w:tcMar>
          </w:tcPr>
          <w:p>
            <w:pPr>
              <w:spacing w:line="300" w:lineRule="auto"/>
            </w:pPr>
            <w:r>
              <w:rPr>
                <w:rFonts w:eastAsia="宋体"/>
                <w:b/>
                <w:bCs/>
                <w:color w:val="000000"/>
                <w:sz w:val="24"/>
                <w:szCs w:val="24"/>
              </w:rPr>
              <w:t>详细设计落点</w:t>
            </w:r>
          </w:p>
        </w:tc>
        <w:tc>
          <w:tcPr>
            <w:tcW w:type="dxa" w:w="2381"/>
            <w:shd w:val="clear" w:color="auto" w:fill="DCE6F1"/>
            <w:tcMar>
              <w:top w:w="80" w:type="dxa"/>
              <w:left w:w="100" w:type="dxa"/>
              <w:bottom w:w="80" w:type="dxa"/>
              <w:right w:w="100" w:type="dxa"/>
            </w:tcMar>
          </w:tcPr>
          <w:p>
            <w:pPr>
              <w:spacing w:line="300" w:lineRule="auto"/>
            </w:pPr>
            <w:r>
              <w:rPr>
                <w:rFonts w:eastAsia="宋体"/>
                <w:b/>
                <w:bCs/>
                <w:color w:val="000000"/>
                <w:sz w:val="24"/>
                <w:szCs w:val="24"/>
              </w:rPr>
              <w:t>异常与验证入口</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DLD-TR-001</w:t>
              <w:br/>
              <w:t>G2-FR-001</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AC-G2-FR-001-01；AC-G2-FR-001-02；AC-G2-FR-001-03</w:t>
            </w:r>
          </w:p>
        </w:tc>
        <w:tc>
          <w:tcPr>
            <w:tcW w:type="dxa" w:w="2494"/>
            <w:tcMar>
              <w:top w:w="80" w:type="dxa"/>
              <w:left w:w="100" w:type="dxa"/>
              <w:bottom w:w="80" w:type="dxa"/>
              <w:right w:w="100" w:type="dxa"/>
            </w:tcMar>
          </w:tcPr>
          <w:p>
            <w:pPr>
              <w:spacing w:line="300" w:lineRule="auto"/>
            </w:pPr>
            <w:r>
              <w:rPr>
                <w:rFonts w:eastAsia="宋体"/>
                <w:color w:val="000000"/>
                <w:sz w:val="22"/>
                <w:szCs w:val="22"/>
              </w:rPr>
              <w:t>PlanAggregate、PlanVersion、PlanPublishPolicy</w:t>
            </w:r>
          </w:p>
        </w:tc>
        <w:tc>
          <w:tcPr>
            <w:tcW w:type="dxa" w:w="2381"/>
            <w:tcMar>
              <w:top w:w="80" w:type="dxa"/>
              <w:left w:w="100" w:type="dxa"/>
              <w:bottom w:w="80" w:type="dxa"/>
              <w:right w:w="100" w:type="dxa"/>
            </w:tcMar>
          </w:tcPr>
          <w:p>
            <w:pPr>
              <w:spacing w:line="300" w:lineRule="auto"/>
            </w:pPr>
            <w:r>
              <w:rPr>
                <w:rFonts w:eastAsia="宋体"/>
                <w:color w:val="000000"/>
                <w:sz w:val="22"/>
                <w:szCs w:val="22"/>
              </w:rPr>
              <w:t>层级/版本/授权测试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DLD-TR-002</w:t>
              <w:br/>
              <w:t>G2-FR-002</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AC-G2-FR-002-01；AC-G2-FR-002-02；AC-G2-FR-002-03</w:t>
            </w:r>
          </w:p>
        </w:tc>
        <w:tc>
          <w:tcPr>
            <w:tcW w:type="dxa" w:w="2494"/>
            <w:tcMar>
              <w:top w:w="80" w:type="dxa"/>
              <w:left w:w="100" w:type="dxa"/>
              <w:bottom w:w="80" w:type="dxa"/>
              <w:right w:w="100" w:type="dxa"/>
            </w:tcMar>
          </w:tcPr>
          <w:p>
            <w:pPr>
              <w:spacing w:line="300" w:lineRule="auto"/>
            </w:pPr>
            <w:r>
              <w:rPr>
                <w:rFonts w:eastAsia="宋体"/>
                <w:color w:val="000000"/>
                <w:sz w:val="22"/>
                <w:szCs w:val="22"/>
              </w:rPr>
              <w:t>FlowGraphValidator、TaskTemplate、VerificationConfig</w:t>
            </w:r>
          </w:p>
        </w:tc>
        <w:tc>
          <w:tcPr>
            <w:tcW w:type="dxa" w:w="2381"/>
            <w:tcMar>
              <w:top w:w="80" w:type="dxa"/>
              <w:left w:w="100" w:type="dxa"/>
              <w:bottom w:w="80" w:type="dxa"/>
              <w:right w:w="100" w:type="dxa"/>
            </w:tcMar>
          </w:tcPr>
          <w:p>
            <w:pPr>
              <w:spacing w:line="300" w:lineRule="auto"/>
            </w:pPr>
            <w:r>
              <w:rPr>
                <w:rFonts w:eastAsia="宋体"/>
                <w:color w:val="000000"/>
                <w:sz w:val="22"/>
                <w:szCs w:val="22"/>
              </w:rPr>
              <w:t>依赖环、失效责任人测试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DLD-TR-003</w:t>
              <w:br/>
              <w:t>G2-FR-003</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AC-G2-FR-003-01；AC-G2-FR-003-02；AC-G2-FR-003-03</w:t>
            </w:r>
          </w:p>
        </w:tc>
        <w:tc>
          <w:tcPr>
            <w:tcW w:type="dxa" w:w="2494"/>
            <w:tcMar>
              <w:top w:w="80" w:type="dxa"/>
              <w:left w:w="100" w:type="dxa"/>
              <w:bottom w:w="80" w:type="dxa"/>
              <w:right w:w="100" w:type="dxa"/>
            </w:tcMar>
          </w:tcPr>
          <w:p>
            <w:pPr>
              <w:spacing w:line="300" w:lineRule="auto"/>
            </w:pPr>
            <w:r>
              <w:rPr>
                <w:rFonts w:eastAsia="宋体"/>
                <w:color w:val="000000"/>
                <w:sz w:val="22"/>
                <w:szCs w:val="22"/>
              </w:rPr>
              <w:t>startResponse、TaskFactory、OutboxPublisher</w:t>
            </w:r>
          </w:p>
        </w:tc>
        <w:tc>
          <w:tcPr>
            <w:tcW w:type="dxa" w:w="2381"/>
            <w:tcMar>
              <w:top w:w="80" w:type="dxa"/>
              <w:left w:w="100" w:type="dxa"/>
              <w:bottom w:w="80" w:type="dxa"/>
              <w:right w:w="100" w:type="dxa"/>
            </w:tcMar>
          </w:tcPr>
          <w:p>
            <w:pPr>
              <w:spacing w:line="300" w:lineRule="auto"/>
            </w:pPr>
            <w:r>
              <w:rPr>
                <w:rFonts w:eastAsia="宋体"/>
                <w:color w:val="000000"/>
                <w:sz w:val="22"/>
                <w:szCs w:val="22"/>
              </w:rPr>
              <w:t>原子回滚、≤3秒待测</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DLD-TR-004</w:t>
              <w:br/>
              <w:t>G2-FR-004</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AC-G2-FR-004-01；AC-G2-FR-004-02；AC-G2-FR-004-03</w:t>
            </w:r>
          </w:p>
        </w:tc>
        <w:tc>
          <w:tcPr>
            <w:tcW w:type="dxa" w:w="2494"/>
            <w:tcMar>
              <w:top w:w="80" w:type="dxa"/>
              <w:left w:w="100" w:type="dxa"/>
              <w:bottom w:w="80" w:type="dxa"/>
              <w:right w:w="100" w:type="dxa"/>
            </w:tcMar>
          </w:tcPr>
          <w:p>
            <w:pPr>
              <w:spacing w:line="300" w:lineRule="auto"/>
            </w:pPr>
            <w:r>
              <w:rPr>
                <w:rFonts w:eastAsia="宋体"/>
                <w:color w:val="000000"/>
                <w:sz w:val="22"/>
                <w:szCs w:val="22"/>
              </w:rPr>
              <w:t>IncidentUpdate、SituationProjectionService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四类时间、投影重建、越权测试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DLD-TR-005</w:t>
              <w:br/>
              <w:t>G2-FR-005</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AC-G2-FR-005-01；AC-G2-FR-005-02；AC-G2-FR-005-03</w:t>
            </w:r>
          </w:p>
        </w:tc>
        <w:tc>
          <w:tcPr>
            <w:tcW w:type="dxa" w:w="2494"/>
            <w:tcMar>
              <w:top w:w="80" w:type="dxa"/>
              <w:left w:w="100" w:type="dxa"/>
              <w:bottom w:w="80" w:type="dxa"/>
              <w:right w:w="100" w:type="dxa"/>
            </w:tcMar>
          </w:tcPr>
          <w:p>
            <w:pPr>
              <w:spacing w:line="300" w:lineRule="auto"/>
            </w:pPr>
            <w:r>
              <w:rPr>
                <w:rFonts w:eastAsia="宋体"/>
                <w:color w:val="000000"/>
                <w:sz w:val="22"/>
                <w:szCs w:val="22"/>
              </w:rPr>
              <w:t>PositionIngestService、PositionFreshnessPolicy</w:t>
            </w:r>
          </w:p>
        </w:tc>
        <w:tc>
          <w:tcPr>
            <w:tcW w:type="dxa" w:w="2381"/>
            <w:tcMar>
              <w:top w:w="80" w:type="dxa"/>
              <w:left w:w="100" w:type="dxa"/>
              <w:bottom w:w="80" w:type="dxa"/>
              <w:right w:w="100" w:type="dxa"/>
            </w:tcMar>
          </w:tcPr>
          <w:p>
            <w:pPr>
              <w:spacing w:line="300" w:lineRule="auto"/>
            </w:pPr>
            <w:r>
              <w:rPr>
                <w:rFonts w:eastAsia="宋体"/>
                <w:color w:val="000000"/>
                <w:sz w:val="22"/>
                <w:szCs w:val="22"/>
              </w:rPr>
              <w:t>精度、≤2秒、过期降级测试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DLD-TR-006</w:t>
              <w:br/>
              <w:t>G2-FR-006</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AC-G2-FR-006-01；AC-G2-FR-006-02；AC-G2-FR-006-03</w:t>
            </w:r>
          </w:p>
        </w:tc>
        <w:tc>
          <w:tcPr>
            <w:tcW w:type="dxa" w:w="2494"/>
            <w:tcMar>
              <w:top w:w="80" w:type="dxa"/>
              <w:left w:w="100" w:type="dxa"/>
              <w:bottom w:w="80" w:type="dxa"/>
              <w:right w:w="100" w:type="dxa"/>
            </w:tcMar>
          </w:tcPr>
          <w:p>
            <w:pPr>
              <w:spacing w:line="300" w:lineRule="auto"/>
            </w:pPr>
            <w:r>
              <w:rPr>
                <w:rFonts w:eastAsia="宋体"/>
                <w:color w:val="000000"/>
                <w:sz w:val="22"/>
                <w:szCs w:val="22"/>
              </w:rPr>
              <w:t>VideoPort、VideoAdapter、AuditRecorder</w:t>
            </w:r>
          </w:p>
        </w:tc>
        <w:tc>
          <w:tcPr>
            <w:tcW w:type="dxa" w:w="2381"/>
            <w:tcMar>
              <w:top w:w="80" w:type="dxa"/>
              <w:left w:w="100" w:type="dxa"/>
              <w:bottom w:w="80" w:type="dxa"/>
              <w:right w:w="100" w:type="dxa"/>
            </w:tcMar>
          </w:tcPr>
          <w:p>
            <w:pPr>
              <w:spacing w:line="300" w:lineRule="auto"/>
            </w:pPr>
            <w:r>
              <w:rPr>
                <w:rFonts w:eastAsia="宋体"/>
                <w:color w:val="000000"/>
                <w:sz w:val="22"/>
                <w:szCs w:val="22"/>
              </w:rPr>
              <w:t>实时/回放、≤3秒首帧待测</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DLD-TR-007</w:t>
              <w:br/>
              <w:t>G2-FR-007</w:t>
              <w:br/>
              <w:t>非★</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AC-G2-FR-007-01；AC-G2-FR-007-02；AC-G2-FR-007-03</w:t>
            </w:r>
          </w:p>
        </w:tc>
        <w:tc>
          <w:tcPr>
            <w:tcW w:type="dxa" w:w="2494"/>
            <w:tcMar>
              <w:top w:w="80" w:type="dxa"/>
              <w:left w:w="100" w:type="dxa"/>
              <w:bottom w:w="80" w:type="dxa"/>
              <w:right w:w="100" w:type="dxa"/>
            </w:tcMar>
          </w:tcPr>
          <w:p>
            <w:pPr>
              <w:spacing w:line="300" w:lineRule="auto"/>
            </w:pPr>
            <w:r>
              <w:rPr>
                <w:rFonts w:eastAsia="宋体"/>
                <w:color w:val="000000"/>
                <w:sz w:val="22"/>
                <w:szCs w:val="22"/>
              </w:rPr>
              <w:t>MaterialQueryService、SituationProjection</w:t>
            </w:r>
          </w:p>
        </w:tc>
        <w:tc>
          <w:tcPr>
            <w:tcW w:type="dxa" w:w="2381"/>
            <w:tcMar>
              <w:top w:w="80" w:type="dxa"/>
              <w:left w:w="100" w:type="dxa"/>
              <w:bottom w:w="80" w:type="dxa"/>
              <w:right w:w="100" w:type="dxa"/>
            </w:tcMar>
          </w:tcPr>
          <w:p>
            <w:pPr>
              <w:spacing w:line="300" w:lineRule="auto"/>
            </w:pPr>
            <w:r>
              <w:rPr>
                <w:rFonts w:eastAsia="宋体"/>
                <w:color w:val="000000"/>
                <w:sz w:val="22"/>
                <w:szCs w:val="22"/>
              </w:rPr>
              <w:t>地图加载、无数据、越权测试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DLD-TR-008</w:t>
              <w:br/>
              <w:t>G2-FR-008</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AC-G2-FR-008-01；AC-G2-FR-008-02；AC-G2-FR-008-03</w:t>
            </w:r>
          </w:p>
        </w:tc>
        <w:tc>
          <w:tcPr>
            <w:tcW w:type="dxa" w:w="2494"/>
            <w:tcMar>
              <w:top w:w="80" w:type="dxa"/>
              <w:left w:w="100" w:type="dxa"/>
              <w:bottom w:w="80" w:type="dxa"/>
              <w:right w:w="100" w:type="dxa"/>
            </w:tcMar>
          </w:tcPr>
          <w:p>
            <w:pPr>
              <w:spacing w:line="300" w:lineRule="auto"/>
            </w:pPr>
            <w:r>
              <w:rPr>
                <w:rFonts w:eastAsia="宋体"/>
                <w:color w:val="000000"/>
                <w:sz w:val="22"/>
                <w:szCs w:val="22"/>
              </w:rPr>
              <w:t>MaterialLedgerService、OptimisticVersion</w:t>
            </w:r>
          </w:p>
        </w:tc>
        <w:tc>
          <w:tcPr>
            <w:tcW w:type="dxa" w:w="2381"/>
            <w:tcMar>
              <w:top w:w="80" w:type="dxa"/>
              <w:left w:w="100" w:type="dxa"/>
              <w:bottom w:w="80" w:type="dxa"/>
              <w:right w:w="100" w:type="dxa"/>
            </w:tcMar>
          </w:tcPr>
          <w:p>
            <w:pPr>
              <w:spacing w:line="300" w:lineRule="auto"/>
            </w:pPr>
            <w:r>
              <w:rPr>
                <w:rFonts w:eastAsia="宋体"/>
                <w:color w:val="000000"/>
                <w:sz w:val="22"/>
                <w:szCs w:val="22"/>
              </w:rPr>
              <w:t>临期边界、并发更新测试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DLD-TR-009</w:t>
              <w:br/>
              <w:t>G2-FR-009</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AC-G2-FR-009-01；AC-G2-FR-009-02；AC-G2-FR-009-03</w:t>
            </w:r>
          </w:p>
        </w:tc>
        <w:tc>
          <w:tcPr>
            <w:tcW w:type="dxa" w:w="2494"/>
            <w:tcMar>
              <w:top w:w="80" w:type="dxa"/>
              <w:left w:w="100" w:type="dxa"/>
              <w:bottom w:w="80" w:type="dxa"/>
              <w:right w:w="100" w:type="dxa"/>
            </w:tcMar>
          </w:tcPr>
          <w:p>
            <w:pPr>
              <w:spacing w:line="300" w:lineRule="auto"/>
            </w:pPr>
            <w:r>
              <w:rPr>
                <w:rFonts w:eastAsia="宋体"/>
                <w:color w:val="000000"/>
                <w:sz w:val="22"/>
                <w:szCs w:val="22"/>
              </w:rPr>
              <w:t>InventorySnapshot、DifferenceCalculator、AdjustmentService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快照、差异、复核事务测试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DLD-TR-010</w:t>
              <w:br/>
              <w:t>G2-FR-010</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AC-G2-FR-010-01；AC-G2-FR-010-02；AC-G2-FR-010-03</w:t>
            </w:r>
          </w:p>
        </w:tc>
        <w:tc>
          <w:tcPr>
            <w:tcW w:type="dxa" w:w="2494"/>
            <w:tcMar>
              <w:top w:w="80" w:type="dxa"/>
              <w:left w:w="100" w:type="dxa"/>
              <w:bottom w:w="80" w:type="dxa"/>
              <w:right w:w="100" w:type="dxa"/>
            </w:tcMar>
          </w:tcPr>
          <w:p>
            <w:pPr>
              <w:spacing w:line="300" w:lineRule="auto"/>
            </w:pPr>
            <w:r>
              <w:rPr>
                <w:rFonts w:eastAsia="宋体"/>
                <w:color w:val="000000"/>
                <w:sz w:val="22"/>
                <w:szCs w:val="22"/>
              </w:rPr>
              <w:t>DrillPlanAggregate、DrillDeadlineScheduler</w:t>
            </w:r>
          </w:p>
        </w:tc>
        <w:tc>
          <w:tcPr>
            <w:tcW w:type="dxa" w:w="2381"/>
            <w:tcMar>
              <w:top w:w="80" w:type="dxa"/>
              <w:left w:w="100" w:type="dxa"/>
              <w:bottom w:w="80" w:type="dxa"/>
              <w:right w:w="100" w:type="dxa"/>
            </w:tcMar>
          </w:tcPr>
          <w:p>
            <w:pPr>
              <w:spacing w:line="300" w:lineRule="auto"/>
            </w:pPr>
            <w:r>
              <w:rPr>
                <w:rFonts w:eastAsia="宋体"/>
                <w:color w:val="000000"/>
                <w:sz w:val="22"/>
                <w:szCs w:val="22"/>
              </w:rPr>
              <w:t>频次、取消补演、到期测试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DLD-TR-011</w:t>
              <w:br/>
              <w:t>G2-FR-011</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AC-G2-FR-011-01；AC-G2-FR-011-02；AC-G2-FR-011-03</w:t>
            </w:r>
          </w:p>
        </w:tc>
        <w:tc>
          <w:tcPr>
            <w:tcW w:type="dxa" w:w="2494"/>
            <w:tcMar>
              <w:top w:w="80" w:type="dxa"/>
              <w:left w:w="100" w:type="dxa"/>
              <w:bottom w:w="80" w:type="dxa"/>
              <w:right w:w="100" w:type="dxa"/>
            </w:tcMar>
          </w:tcPr>
          <w:p>
            <w:pPr>
              <w:spacing w:line="300" w:lineRule="auto"/>
            </w:pPr>
            <w:r>
              <w:rPr>
                <w:rFonts w:eastAsia="宋体"/>
                <w:color w:val="000000"/>
                <w:sz w:val="22"/>
                <w:szCs w:val="22"/>
              </w:rPr>
              <w:t>DrillExecutionFactory、OutboxPublisher</w:t>
            </w:r>
          </w:p>
        </w:tc>
        <w:tc>
          <w:tcPr>
            <w:tcW w:type="dxa" w:w="2381"/>
            <w:tcMar>
              <w:top w:w="80" w:type="dxa"/>
              <w:left w:w="100" w:type="dxa"/>
              <w:bottom w:w="80" w:type="dxa"/>
              <w:right w:w="100" w:type="dxa"/>
            </w:tcMar>
          </w:tcPr>
          <w:p>
            <w:pPr>
              <w:spacing w:line="300" w:lineRule="auto"/>
            </w:pPr>
            <w:r>
              <w:rPr>
                <w:rFonts w:eastAsia="宋体"/>
                <w:color w:val="000000"/>
                <w:sz w:val="22"/>
                <w:szCs w:val="22"/>
              </w:rPr>
              <w:t>周期触发、下发失败恢复测试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DLD-TR-012</w:t>
              <w:br/>
              <w:t>G2-FR-012</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AC-G2-FR-012-01；AC-G2-FR-012-02；AC-G2-FR-012-03</w:t>
            </w:r>
          </w:p>
        </w:tc>
        <w:tc>
          <w:tcPr>
            <w:tcW w:type="dxa" w:w="2494"/>
            <w:tcMar>
              <w:top w:w="80" w:type="dxa"/>
              <w:left w:w="100" w:type="dxa"/>
              <w:bottom w:w="80" w:type="dxa"/>
              <w:right w:w="100" w:type="dxa"/>
            </w:tcMar>
          </w:tcPr>
          <w:p>
            <w:pPr>
              <w:spacing w:line="300" w:lineRule="auto"/>
            </w:pPr>
            <w:r>
              <w:rPr>
                <w:rFonts w:eastAsia="宋体"/>
                <w:color w:val="000000"/>
                <w:sz w:val="22"/>
                <w:szCs w:val="22"/>
              </w:rPr>
              <w:t>EvaluationTemplateVersion、ImprovementAction</w:t>
            </w:r>
          </w:p>
        </w:tc>
        <w:tc>
          <w:tcPr>
            <w:tcW w:type="dxa" w:w="2381"/>
            <w:tcMar>
              <w:top w:w="80" w:type="dxa"/>
              <w:left w:w="100" w:type="dxa"/>
              <w:bottom w:w="80" w:type="dxa"/>
              <w:right w:w="100" w:type="dxa"/>
            </w:tcMar>
          </w:tcPr>
          <w:p>
            <w:pPr>
              <w:spacing w:line="300" w:lineRule="auto"/>
            </w:pPr>
            <w:r>
              <w:rPr>
                <w:rFonts w:eastAsia="宋体"/>
                <w:color w:val="000000"/>
                <w:sz w:val="22"/>
                <w:szCs w:val="22"/>
              </w:rPr>
              <w:t>版本回溯、整改闭环测试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DLD-TR-013</w:t>
              <w:br/>
              <w:t>G2-FR-013</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AC-G2-FR-013-01；AC-G2-FR-013-02；AC-G2-FR-013-03</w:t>
            </w:r>
          </w:p>
        </w:tc>
        <w:tc>
          <w:tcPr>
            <w:tcW w:type="dxa" w:w="2494"/>
            <w:tcMar>
              <w:top w:w="80" w:type="dxa"/>
              <w:left w:w="100" w:type="dxa"/>
              <w:bottom w:w="80" w:type="dxa"/>
              <w:right w:w="100" w:type="dxa"/>
            </w:tcMar>
          </w:tcPr>
          <w:p>
            <w:pPr>
              <w:spacing w:line="300" w:lineRule="auto"/>
            </w:pPr>
            <w:r>
              <w:rPr>
                <w:rFonts w:eastAsia="宋体"/>
                <w:color w:val="000000"/>
                <w:sz w:val="22"/>
                <w:szCs w:val="22"/>
              </w:rPr>
              <w:t>IncidentApplicationService、AttachmentRef</w:t>
            </w:r>
          </w:p>
        </w:tc>
        <w:tc>
          <w:tcPr>
            <w:tcW w:type="dxa" w:w="2381"/>
            <w:tcMar>
              <w:top w:w="80" w:type="dxa"/>
              <w:left w:w="100" w:type="dxa"/>
              <w:bottom w:w="80" w:type="dxa"/>
              <w:right w:w="100" w:type="dxa"/>
            </w:tcMar>
          </w:tcPr>
          <w:p>
            <w:pPr>
              <w:spacing w:line="300" w:lineRule="auto"/>
            </w:pPr>
            <w:r>
              <w:rPr>
                <w:rFonts w:eastAsia="宋体"/>
                <w:color w:val="000000"/>
                <w:sz w:val="22"/>
                <w:szCs w:val="22"/>
              </w:rPr>
              <w:t>Web/H5 创建、检索、越权测试</w:t>
            </w:r>
          </w:p>
        </w:tc>
      </w:tr>
    </w:tbl>
    <w:p>
      <w:pPr>
        <w:keepNext/>
        <w:jc w:val="center"/>
      </w:pPr>
      <w:r>
        <w:rPr>
          <w:rFonts w:eastAsia="黑体"/>
          <w:b/>
          <w:color w:val="000000"/>
          <w:sz w:val="18"/>
        </w:rPr>
        <w:t>表 12-2 39 FR / 117 AC 详细设计追踪矩阵</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4A0" w:firstRow="1" w:lastRow="0" w:firstColumn="1" w:lastColumn="0" w:noHBand="0" w:noVBand="1"/>
      </w:tblPr>
      <w:tblGrid>
        <w:gridCol w:w="2256"/>
        <w:gridCol w:w="2256"/>
        <w:gridCol w:w="2256"/>
        <w:gridCol w:w="2256"/>
      </w:tblGrid>
      <w:tr>
        <w:trPr>
          <w:tblHeader/>
          <w:cantSplit/>
        </w:trPr>
        <w:tc>
          <w:tcPr>
            <w:tcW w:type="dxa" w:w="1474"/>
            <w:shd w:val="clear" w:color="auto" w:fill="DCE6F1"/>
            <w:tcMar>
              <w:top w:w="80" w:type="dxa"/>
              <w:left w:w="100" w:type="dxa"/>
              <w:bottom w:w="80" w:type="dxa"/>
              <w:right w:w="100" w:type="dxa"/>
            </w:tcMar>
          </w:tcPr>
          <w:p>
            <w:pPr>
              <w:spacing w:line="300" w:lineRule="auto"/>
            </w:pPr>
            <w:r>
              <w:rPr>
                <w:rFonts w:eastAsia="宋体"/>
                <w:b/>
                <w:bCs/>
                <w:color w:val="000000"/>
                <w:sz w:val="24"/>
                <w:szCs w:val="24"/>
              </w:rPr>
              <w:t>设计 ID / FR / 属性</w:t>
            </w:r>
          </w:p>
        </w:tc>
        <w:tc>
          <w:tcPr>
            <w:tcW w:type="dxa" w:w="2268"/>
            <w:shd w:val="clear" w:color="auto" w:fill="DCE6F1"/>
            <w:tcMar>
              <w:top w:w="80" w:type="dxa"/>
              <w:left w:w="100" w:type="dxa"/>
              <w:bottom w:w="80" w:type="dxa"/>
              <w:right w:w="100" w:type="dxa"/>
            </w:tcMar>
          </w:tcPr>
          <w:p>
            <w:pPr>
              <w:spacing w:line="300" w:lineRule="auto"/>
            </w:pPr>
            <w:r>
              <w:rPr>
                <w:rFonts w:eastAsia="宋体"/>
                <w:b/>
                <w:bCs/>
                <w:color w:val="000000"/>
                <w:sz w:val="24"/>
                <w:szCs w:val="24"/>
              </w:rPr>
              <w:t>验收标准</w:t>
            </w:r>
          </w:p>
        </w:tc>
        <w:tc>
          <w:tcPr>
            <w:tcW w:type="dxa" w:w="2494"/>
            <w:shd w:val="clear" w:color="auto" w:fill="DCE6F1"/>
            <w:tcMar>
              <w:top w:w="80" w:type="dxa"/>
              <w:left w:w="100" w:type="dxa"/>
              <w:bottom w:w="80" w:type="dxa"/>
              <w:right w:w="100" w:type="dxa"/>
            </w:tcMar>
          </w:tcPr>
          <w:p>
            <w:pPr>
              <w:spacing w:line="300" w:lineRule="auto"/>
            </w:pPr>
            <w:r>
              <w:rPr>
                <w:rFonts w:eastAsia="宋体"/>
                <w:b/>
                <w:bCs/>
                <w:color w:val="000000"/>
                <w:sz w:val="24"/>
                <w:szCs w:val="24"/>
              </w:rPr>
              <w:t>详细设计落点</w:t>
            </w:r>
          </w:p>
        </w:tc>
        <w:tc>
          <w:tcPr>
            <w:tcW w:type="dxa" w:w="2381"/>
            <w:shd w:val="clear" w:color="auto" w:fill="DCE6F1"/>
            <w:tcMar>
              <w:top w:w="80" w:type="dxa"/>
              <w:left w:w="100" w:type="dxa"/>
              <w:bottom w:w="80" w:type="dxa"/>
              <w:right w:w="100" w:type="dxa"/>
            </w:tcMar>
          </w:tcPr>
          <w:p>
            <w:pPr>
              <w:spacing w:line="300" w:lineRule="auto"/>
            </w:pPr>
            <w:r>
              <w:rPr>
                <w:rFonts w:eastAsia="宋体"/>
                <w:b/>
                <w:bCs/>
                <w:color w:val="000000"/>
                <w:sz w:val="24"/>
                <w:szCs w:val="24"/>
              </w:rPr>
              <w:t>异常与验证入口</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DLD-TR-014</w:t>
              <w:br/>
              <w:t>G2-FR-014</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AC-G2-FR-014-01；AC-G2-FR-014-02；AC-G2-FR-014-03</w:t>
            </w:r>
          </w:p>
        </w:tc>
        <w:tc>
          <w:tcPr>
            <w:tcW w:type="dxa" w:w="2494"/>
            <w:tcMar>
              <w:top w:w="80" w:type="dxa"/>
              <w:left w:w="100" w:type="dxa"/>
              <w:bottom w:w="80" w:type="dxa"/>
              <w:right w:w="100" w:type="dxa"/>
            </w:tcMar>
          </w:tcPr>
          <w:p>
            <w:pPr>
              <w:spacing w:line="300" w:lineRule="auto"/>
            </w:pPr>
            <w:r>
              <w:rPr>
                <w:rFonts w:eastAsia="宋体"/>
                <w:color w:val="000000"/>
                <w:sz w:val="22"/>
                <w:szCs w:val="22"/>
              </w:rPr>
              <w:t>ExternalAlertDeduplicator、VerificationConfig、IncidentStateMachine</w:t>
            </w:r>
          </w:p>
        </w:tc>
        <w:tc>
          <w:tcPr>
            <w:tcW w:type="dxa" w:w="2381"/>
            <w:tcMar>
              <w:top w:w="80" w:type="dxa"/>
              <w:left w:w="100" w:type="dxa"/>
              <w:bottom w:w="80" w:type="dxa"/>
              <w:right w:w="100" w:type="dxa"/>
            </w:tcMar>
          </w:tcPr>
          <w:p>
            <w:pPr>
              <w:spacing w:line="300" w:lineRule="auto"/>
            </w:pPr>
            <w:r>
              <w:rPr>
                <w:rFonts w:eastAsia="宋体"/>
                <w:color w:val="000000"/>
                <w:sz w:val="22"/>
                <w:szCs w:val="22"/>
              </w:rPr>
              <w:t>重复告警、超时升级、核实启动测试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DLD-TR-015</w:t>
              <w:br/>
              <w:t>G2-FR-015</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AC-G2-FR-015-01；AC-G2-FR-015-02；AC-G2-FR-015-03</w:t>
            </w:r>
          </w:p>
        </w:tc>
        <w:tc>
          <w:tcPr>
            <w:tcW w:type="dxa" w:w="2494"/>
            <w:tcMar>
              <w:top w:w="80" w:type="dxa"/>
              <w:left w:w="100" w:type="dxa"/>
              <w:bottom w:w="80" w:type="dxa"/>
              <w:right w:w="100" w:type="dxa"/>
            </w:tcMar>
          </w:tcPr>
          <w:p>
            <w:pPr>
              <w:spacing w:line="300" w:lineRule="auto"/>
            </w:pPr>
            <w:r>
              <w:rPr>
                <w:rFonts w:eastAsia="宋体"/>
                <w:color w:val="000000"/>
                <w:sz w:val="22"/>
                <w:szCs w:val="22"/>
              </w:rPr>
              <w:t>ResponseTaskAggregate、reassign、TaskFeedback</w:t>
            </w:r>
          </w:p>
        </w:tc>
        <w:tc>
          <w:tcPr>
            <w:tcW w:type="dxa" w:w="2381"/>
            <w:tcMar>
              <w:top w:w="80" w:type="dxa"/>
              <w:left w:w="100" w:type="dxa"/>
              <w:bottom w:w="80" w:type="dxa"/>
              <w:right w:w="100" w:type="dxa"/>
            </w:tcMar>
          </w:tcPr>
          <w:p>
            <w:pPr>
              <w:spacing w:line="300" w:lineRule="auto"/>
            </w:pPr>
            <w:r>
              <w:rPr>
                <w:rFonts w:eastAsia="宋体"/>
                <w:color w:val="000000"/>
                <w:sz w:val="22"/>
                <w:szCs w:val="22"/>
              </w:rPr>
              <w:t>下发、催办、重指派/改期测试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DLD-TR-016</w:t>
              <w:br/>
              <w:t>G2-FR-016</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AC-G2-FR-016-01；AC-G2-FR-016-02；AC-G2-FR-016-03</w:t>
            </w:r>
          </w:p>
        </w:tc>
        <w:tc>
          <w:tcPr>
            <w:tcW w:type="dxa" w:w="2494"/>
            <w:tcMar>
              <w:top w:w="80" w:type="dxa"/>
              <w:left w:w="100" w:type="dxa"/>
              <w:bottom w:w="80" w:type="dxa"/>
              <w:right w:w="100" w:type="dxa"/>
            </w:tcMar>
          </w:tcPr>
          <w:p>
            <w:pPr>
              <w:spacing w:line="300" w:lineRule="auto"/>
            </w:pPr>
            <w:r>
              <w:rPr>
                <w:rFonts w:eastAsia="宋体"/>
                <w:color w:val="000000"/>
                <w:sz w:val="22"/>
                <w:szCs w:val="22"/>
              </w:rPr>
              <w:t>ClosurePolicy、IncidentClosure、KnowledgeApplicationService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关闭前置、报告、知识沉淀测试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DLD-TR-017</w:t>
              <w:br/>
              <w:t>G2-FR-017</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AC-G2-FR-017-01；AC-G2-FR-017-02；AC-G2-FR-017-03</w:t>
            </w:r>
          </w:p>
        </w:tc>
        <w:tc>
          <w:tcPr>
            <w:tcW w:type="dxa" w:w="2494"/>
            <w:tcMar>
              <w:top w:w="80" w:type="dxa"/>
              <w:left w:w="100" w:type="dxa"/>
              <w:bottom w:w="80" w:type="dxa"/>
              <w:right w:w="100" w:type="dxa"/>
            </w:tcMar>
          </w:tcPr>
          <w:p>
            <w:pPr>
              <w:spacing w:line="300" w:lineRule="auto"/>
            </w:pPr>
            <w:r>
              <w:rPr>
                <w:rFonts w:eastAsia="宋体"/>
                <w:color w:val="000000"/>
                <w:sz w:val="22"/>
                <w:szCs w:val="22"/>
              </w:rPr>
              <w:t>DutyScheduleAggregate、ScheduleConflictPolicy</w:t>
            </w:r>
          </w:p>
        </w:tc>
        <w:tc>
          <w:tcPr>
            <w:tcW w:type="dxa" w:w="2381"/>
            <w:tcMar>
              <w:top w:w="80" w:type="dxa"/>
              <w:left w:w="100" w:type="dxa"/>
              <w:bottom w:w="80" w:type="dxa"/>
              <w:right w:w="100" w:type="dxa"/>
            </w:tcMar>
          </w:tcPr>
          <w:p>
            <w:pPr>
              <w:spacing w:line="300" w:lineRule="auto"/>
            </w:pPr>
            <w:r>
              <w:rPr>
                <w:rFonts w:eastAsia="宋体"/>
                <w:color w:val="000000"/>
                <w:sz w:val="22"/>
                <w:szCs w:val="22"/>
              </w:rPr>
              <w:t>发布冲突、代执行审计测试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DLD-TR-018</w:t>
              <w:br/>
              <w:t>G2-FR-018</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AC-G2-FR-018-01；AC-G2-FR-018-02；AC-G2-FR-018-03</w:t>
            </w:r>
          </w:p>
        </w:tc>
        <w:tc>
          <w:tcPr>
            <w:tcW w:type="dxa" w:w="2494"/>
            <w:tcMar>
              <w:top w:w="80" w:type="dxa"/>
              <w:left w:w="100" w:type="dxa"/>
              <w:bottom w:w="80" w:type="dxa"/>
              <w:right w:w="100" w:type="dxa"/>
            </w:tcMar>
          </w:tcPr>
          <w:p>
            <w:pPr>
              <w:spacing w:line="300" w:lineRule="auto"/>
            </w:pPr>
            <w:r>
              <w:rPr>
                <w:rFonts w:eastAsia="宋体"/>
                <w:color w:val="000000"/>
                <w:sz w:val="22"/>
                <w:szCs w:val="22"/>
              </w:rPr>
              <w:t>CheckPoint、AttendanceRuleVersion</w:t>
            </w:r>
          </w:p>
        </w:tc>
        <w:tc>
          <w:tcPr>
            <w:tcW w:type="dxa" w:w="2381"/>
            <w:tcMar>
              <w:top w:w="80" w:type="dxa"/>
              <w:left w:w="100" w:type="dxa"/>
              <w:bottom w:w="80" w:type="dxa"/>
              <w:right w:w="100" w:type="dxa"/>
            </w:tcMar>
          </w:tcPr>
          <w:p>
            <w:pPr>
              <w:spacing w:line="300" w:lineRule="auto"/>
            </w:pPr>
            <w:r>
              <w:rPr>
                <w:rFonts w:eastAsia="宋体"/>
                <w:color w:val="000000"/>
                <w:sz w:val="22"/>
                <w:szCs w:val="22"/>
              </w:rPr>
              <w:t>地图拾取、二维码版本、半径测试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DLD-TR-019</w:t>
              <w:br/>
              <w:t>G2-FR-019</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AC-G2-FR-019-01；AC-G2-FR-019-02；AC-G2-FR-019-03</w:t>
            </w:r>
          </w:p>
        </w:tc>
        <w:tc>
          <w:tcPr>
            <w:tcW w:type="dxa" w:w="2494"/>
            <w:tcMar>
              <w:top w:w="80" w:type="dxa"/>
              <w:left w:w="100" w:type="dxa"/>
              <w:bottom w:w="80" w:type="dxa"/>
              <w:right w:w="100" w:type="dxa"/>
            </w:tcMar>
          </w:tcPr>
          <w:p>
            <w:pPr>
              <w:spacing w:line="300" w:lineRule="auto"/>
            </w:pPr>
            <w:r>
              <w:rPr>
                <w:rFonts w:eastAsia="宋体"/>
                <w:color w:val="000000"/>
                <w:sz w:val="22"/>
                <w:szCs w:val="22"/>
              </w:rPr>
              <w:t>AttendanceQueryService、ExportPolicy</w:t>
            </w:r>
          </w:p>
        </w:tc>
        <w:tc>
          <w:tcPr>
            <w:tcW w:type="dxa" w:w="2381"/>
            <w:tcMar>
              <w:top w:w="80" w:type="dxa"/>
              <w:left w:w="100" w:type="dxa"/>
              <w:bottom w:w="80" w:type="dxa"/>
              <w:right w:w="100" w:type="dxa"/>
            </w:tcMar>
          </w:tcPr>
          <w:p>
            <w:pPr>
              <w:spacing w:line="300" w:lineRule="auto"/>
            </w:pPr>
            <w:r>
              <w:rPr>
                <w:rFonts w:eastAsia="宋体"/>
                <w:color w:val="000000"/>
                <w:sz w:val="22"/>
                <w:szCs w:val="22"/>
              </w:rPr>
              <w:t>三维统计、筛选导出、越权测试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DLD-TR-020</w:t>
              <w:br/>
              <w:t>G2-FR-020</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AC-G2-FR-020-01；AC-G2-FR-020-02；AC-G2-FR-020-03</w:t>
            </w:r>
          </w:p>
        </w:tc>
        <w:tc>
          <w:tcPr>
            <w:tcW w:type="dxa" w:w="2494"/>
            <w:tcMar>
              <w:top w:w="80" w:type="dxa"/>
              <w:left w:w="100" w:type="dxa"/>
              <w:bottom w:w="80" w:type="dxa"/>
              <w:right w:w="100" w:type="dxa"/>
            </w:tcMar>
          </w:tcPr>
          <w:p>
            <w:pPr>
              <w:spacing w:line="300" w:lineRule="auto"/>
            </w:pPr>
            <w:r>
              <w:rPr>
                <w:rFonts w:eastAsia="宋体"/>
                <w:color w:val="000000"/>
                <w:sz w:val="22"/>
                <w:szCs w:val="22"/>
              </w:rPr>
              <w:t>AttendanceDeadlineScanner、MessageDispatchPolicy</w:t>
            </w:r>
          </w:p>
        </w:tc>
        <w:tc>
          <w:tcPr>
            <w:tcW w:type="dxa" w:w="2381"/>
            <w:tcMar>
              <w:top w:w="80" w:type="dxa"/>
              <w:left w:w="100" w:type="dxa"/>
              <w:bottom w:w="80" w:type="dxa"/>
              <w:right w:w="100" w:type="dxa"/>
            </w:tcMar>
          </w:tcPr>
          <w:p>
            <w:pPr>
              <w:spacing w:line="300" w:lineRule="auto"/>
            </w:pPr>
            <w:r>
              <w:rPr>
                <w:rFonts w:eastAsia="宋体"/>
                <w:color w:val="000000"/>
                <w:sz w:val="22"/>
                <w:szCs w:val="22"/>
              </w:rPr>
              <w:t>缺卡、重试回执、20路/99%待测</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DLD-TR-021</w:t>
              <w:br/>
              <w:t>G2-FR-021</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AC-G2-FR-021-01；AC-G2-FR-021-02；AC-G2-FR-021-03</w:t>
            </w:r>
          </w:p>
        </w:tc>
        <w:tc>
          <w:tcPr>
            <w:tcW w:type="dxa" w:w="2494"/>
            <w:tcMar>
              <w:top w:w="80" w:type="dxa"/>
              <w:left w:w="100" w:type="dxa"/>
              <w:bottom w:w="80" w:type="dxa"/>
              <w:right w:w="100" w:type="dxa"/>
            </w:tcMar>
          </w:tcPr>
          <w:p>
            <w:pPr>
              <w:spacing w:line="300" w:lineRule="auto"/>
            </w:pPr>
            <w:r>
              <w:rPr>
                <w:rFonts w:eastAsia="宋体"/>
                <w:color w:val="000000"/>
                <w:sz w:val="22"/>
                <w:szCs w:val="22"/>
              </w:rPr>
              <w:t>MobileFacade、IncidentApplicationService、AttachmentPort</w:t>
            </w:r>
          </w:p>
        </w:tc>
        <w:tc>
          <w:tcPr>
            <w:tcW w:type="dxa" w:w="2381"/>
            <w:tcMar>
              <w:top w:w="80" w:type="dxa"/>
              <w:left w:w="100" w:type="dxa"/>
              <w:bottom w:w="80" w:type="dxa"/>
              <w:right w:w="100" w:type="dxa"/>
            </w:tcMar>
          </w:tcPr>
          <w:p>
            <w:pPr>
              <w:spacing w:line="300" w:lineRule="auto"/>
            </w:pPr>
            <w:r>
              <w:rPr>
                <w:rFonts w:eastAsia="宋体"/>
                <w:color w:val="000000"/>
                <w:sz w:val="22"/>
                <w:szCs w:val="22"/>
              </w:rPr>
              <w:t>H5 上报、个人列表、断网上传测试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DLD-TR-022</w:t>
              <w:br/>
              <w:t>G2-FR-022</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AC-G2-FR-022-01；AC-G2-FR-022-02；AC-G2-FR-022-03</w:t>
            </w:r>
          </w:p>
        </w:tc>
        <w:tc>
          <w:tcPr>
            <w:tcW w:type="dxa" w:w="2494"/>
            <w:tcMar>
              <w:top w:w="80" w:type="dxa"/>
              <w:left w:w="100" w:type="dxa"/>
              <w:bottom w:w="80" w:type="dxa"/>
              <w:right w:w="100" w:type="dxa"/>
            </w:tcMar>
          </w:tcPr>
          <w:p>
            <w:pPr>
              <w:spacing w:line="300" w:lineRule="auto"/>
            </w:pPr>
            <w:r>
              <w:rPr>
                <w:rFonts w:eastAsia="宋体"/>
                <w:color w:val="000000"/>
                <w:sz w:val="22"/>
                <w:szCs w:val="22"/>
              </w:rPr>
              <w:t>MobileFacade、ResponseTaskAggregate、TaskFeedback</w:t>
            </w:r>
          </w:p>
        </w:tc>
        <w:tc>
          <w:tcPr>
            <w:tcW w:type="dxa" w:w="2381"/>
            <w:tcMar>
              <w:top w:w="80" w:type="dxa"/>
              <w:left w:w="100" w:type="dxa"/>
              <w:bottom w:w="80" w:type="dxa"/>
              <w:right w:w="100" w:type="dxa"/>
            </w:tcMar>
          </w:tcPr>
          <w:p>
            <w:pPr>
              <w:spacing w:line="300" w:lineRule="auto"/>
            </w:pPr>
            <w:r>
              <w:rPr>
                <w:rFonts w:eastAsia="宋体"/>
                <w:color w:val="000000"/>
                <w:sz w:val="22"/>
                <w:szCs w:val="22"/>
              </w:rPr>
              <w:t>确认、附件反馈、迟到回执测试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DLD-TR-023</w:t>
              <w:br/>
              <w:t>G2-FR-023</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AC-G2-FR-023-01；AC-G2-FR-023-02；AC-G2-FR-023-03</w:t>
            </w:r>
          </w:p>
        </w:tc>
        <w:tc>
          <w:tcPr>
            <w:tcW w:type="dxa" w:w="2494"/>
            <w:tcMar>
              <w:top w:w="80" w:type="dxa"/>
              <w:left w:w="100" w:type="dxa"/>
              <w:bottom w:w="80" w:type="dxa"/>
              <w:right w:w="100" w:type="dxa"/>
            </w:tcMar>
          </w:tcPr>
          <w:p>
            <w:pPr>
              <w:spacing w:line="300" w:lineRule="auto"/>
            </w:pPr>
            <w:r>
              <w:rPr>
                <w:rFonts w:eastAsia="宋体"/>
                <w:color w:val="000000"/>
                <w:sz w:val="22"/>
                <w:szCs w:val="22"/>
              </w:rPr>
              <w:t>MobileFacade、DrillExecution、ImprovementAction</w:t>
            </w:r>
          </w:p>
        </w:tc>
        <w:tc>
          <w:tcPr>
            <w:tcW w:type="dxa" w:w="2381"/>
            <w:tcMar>
              <w:top w:w="80" w:type="dxa"/>
              <w:left w:w="100" w:type="dxa"/>
              <w:bottom w:w="80" w:type="dxa"/>
              <w:right w:w="100" w:type="dxa"/>
            </w:tcMar>
          </w:tcPr>
          <w:p>
            <w:pPr>
              <w:spacing w:line="300" w:lineRule="auto"/>
            </w:pPr>
            <w:r>
              <w:rPr>
                <w:rFonts w:eastAsia="宋体"/>
                <w:color w:val="000000"/>
                <w:sz w:val="22"/>
                <w:szCs w:val="22"/>
              </w:rPr>
              <w:t>列表、提交、无权/关闭测试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DLD-TR-024</w:t>
              <w:br/>
              <w:t>G2-FR-024</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AC-G2-FR-024-01；AC-G2-FR-024-02；AC-G2-FR-024-03</w:t>
            </w:r>
          </w:p>
        </w:tc>
        <w:tc>
          <w:tcPr>
            <w:tcW w:type="dxa" w:w="2494"/>
            <w:tcMar>
              <w:top w:w="80" w:type="dxa"/>
              <w:left w:w="100" w:type="dxa"/>
              <w:bottom w:w="80" w:type="dxa"/>
              <w:right w:w="100" w:type="dxa"/>
            </w:tcMar>
          </w:tcPr>
          <w:p>
            <w:pPr>
              <w:spacing w:line="300" w:lineRule="auto"/>
            </w:pPr>
            <w:r>
              <w:rPr>
                <w:rFonts w:eastAsia="宋体"/>
                <w:color w:val="000000"/>
                <w:sz w:val="22"/>
                <w:szCs w:val="22"/>
              </w:rPr>
              <w:t>AttendanceApplicationService、QrTokenValidator、IdempotencyGuard</w:t>
            </w:r>
          </w:p>
        </w:tc>
        <w:tc>
          <w:tcPr>
            <w:tcW w:type="dxa" w:w="2381"/>
            <w:tcMar>
              <w:top w:w="80" w:type="dxa"/>
              <w:left w:w="100" w:type="dxa"/>
              <w:bottom w:w="80" w:type="dxa"/>
              <w:right w:w="100" w:type="dxa"/>
            </w:tcMar>
          </w:tcPr>
          <w:p>
            <w:pPr>
              <w:spacing w:line="300" w:lineRule="auto"/>
            </w:pPr>
            <w:r>
              <w:rPr>
                <w:rFonts w:eastAsia="宋体"/>
                <w:color w:val="000000"/>
                <w:sz w:val="22"/>
                <w:szCs w:val="22"/>
              </w:rPr>
              <w:t>有效/过期/越界、≤1秒待测</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DLD-TR-025</w:t>
              <w:br/>
              <w:t>G2-FR-025</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AC-G2-FR-025-01；AC-G2-FR-025-02；AC-G2-FR-025-03</w:t>
            </w:r>
          </w:p>
        </w:tc>
        <w:tc>
          <w:tcPr>
            <w:tcW w:type="dxa" w:w="2494"/>
            <w:tcMar>
              <w:top w:w="80" w:type="dxa"/>
              <w:left w:w="100" w:type="dxa"/>
              <w:bottom w:w="80" w:type="dxa"/>
              <w:right w:w="100" w:type="dxa"/>
            </w:tcMar>
          </w:tcPr>
          <w:p>
            <w:pPr>
              <w:spacing w:line="300" w:lineRule="auto"/>
            </w:pPr>
            <w:r>
              <w:rPr>
                <w:rFonts w:eastAsia="宋体"/>
                <w:color w:val="000000"/>
                <w:sz w:val="22"/>
                <w:szCs w:val="22"/>
              </w:rPr>
              <w:t>MobileInventoryFacade、DifferenceCalculator、AdjustmentService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移动盘点、差异、调整事务测试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DLD-TR-026</w:t>
              <w:br/>
              <w:t>G2-FR-026</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AC-G2-FR-026-01；AC-G2-FR-026-02；AC-G2-FR-026-03</w:t>
            </w:r>
          </w:p>
        </w:tc>
        <w:tc>
          <w:tcPr>
            <w:tcW w:type="dxa" w:w="2494"/>
            <w:tcMar>
              <w:top w:w="80" w:type="dxa"/>
              <w:left w:w="100" w:type="dxa"/>
              <w:bottom w:w="80" w:type="dxa"/>
              <w:right w:w="100" w:type="dxa"/>
            </w:tcMar>
          </w:tcPr>
          <w:p>
            <w:pPr>
              <w:spacing w:line="300" w:lineRule="auto"/>
            </w:pPr>
            <w:r>
              <w:rPr>
                <w:rFonts w:eastAsia="宋体"/>
                <w:color w:val="000000"/>
                <w:sz w:val="22"/>
                <w:szCs w:val="22"/>
              </w:rPr>
              <w:t>SituationProjectionService、ExternalStatusAdapter</w:t>
            </w:r>
          </w:p>
        </w:tc>
        <w:tc>
          <w:tcPr>
            <w:tcW w:type="dxa" w:w="2381"/>
            <w:tcMar>
              <w:top w:w="80" w:type="dxa"/>
              <w:left w:w="100" w:type="dxa"/>
              <w:bottom w:w="80" w:type="dxa"/>
              <w:right w:w="100" w:type="dxa"/>
            </w:tcMar>
          </w:tcPr>
          <w:p>
            <w:pPr>
              <w:spacing w:line="300" w:lineRule="auto"/>
            </w:pPr>
            <w:r>
              <w:rPr>
                <w:rFonts w:eastAsia="宋体"/>
                <w:color w:val="000000"/>
                <w:sz w:val="22"/>
                <w:szCs w:val="22"/>
              </w:rPr>
              <w:t>状态统计、跳转、≤30秒待测</w:t>
            </w:r>
          </w:p>
        </w:tc>
      </w:tr>
    </w:tbl>
    <w:p>
      <w:pPr>
        <w:keepNext/>
        <w:jc w:val="center"/>
      </w:pPr>
      <w:r>
        <w:rPr>
          <w:rFonts w:eastAsia="黑体"/>
          <w:b/>
          <w:color w:val="000000"/>
          <w:sz w:val="18"/>
        </w:rPr>
        <w:t>表 12-3 39 FR / 117 AC 详细设计追踪矩阵</w:t>
      </w:r>
    </w:p>
    <w:tbl>
      <w:tblPr>
        <w:tblW w:w="5000" w:type="pct"/>
        <w:tblBorders>
          <w:top w:val="single" w:sz="2" w:space="0" w:color="8A9BA8"/>
          <w:left w:val="single" w:sz="2" w:space="0" w:color="8A9BA8"/>
          <w:bottom w:val="single" w:sz="2" w:space="0" w:color="8A9BA8"/>
          <w:right w:val="single" w:sz="2" w:space="0" w:color="8A9BA8"/>
          <w:insideH w:val="single" w:sz="2" w:space="0" w:color="8A9BA8"/>
          <w:insideV w:val="single" w:sz="2" w:space="0" w:color="8A9BA8"/>
        </w:tblBorders>
        <w:tblCellMar>
          <w:left w:w="10" w:type="dxa"/>
          <w:right w:w="10" w:type="dxa"/>
        </w:tblCellMar>
        <w:tblLook w:val="04A0" w:firstRow="1" w:lastRow="0" w:firstColumn="1" w:lastColumn="0" w:noHBand="0" w:noVBand="1"/>
      </w:tblPr>
      <w:tblGrid>
        <w:gridCol w:w="2256"/>
        <w:gridCol w:w="2256"/>
        <w:gridCol w:w="2256"/>
        <w:gridCol w:w="2256"/>
      </w:tblGrid>
      <w:tr>
        <w:trPr>
          <w:tblHeader/>
          <w:cantSplit/>
        </w:trPr>
        <w:tc>
          <w:tcPr>
            <w:tcW w:type="dxa" w:w="1474"/>
            <w:shd w:val="clear" w:color="auto" w:fill="DCE6F1"/>
            <w:tcMar>
              <w:top w:w="80" w:type="dxa"/>
              <w:left w:w="100" w:type="dxa"/>
              <w:bottom w:w="80" w:type="dxa"/>
              <w:right w:w="100" w:type="dxa"/>
            </w:tcMar>
          </w:tcPr>
          <w:p>
            <w:pPr>
              <w:spacing w:line="300" w:lineRule="auto"/>
            </w:pPr>
            <w:r>
              <w:rPr>
                <w:rFonts w:eastAsia="宋体"/>
                <w:b/>
                <w:bCs/>
                <w:color w:val="000000"/>
                <w:sz w:val="24"/>
                <w:szCs w:val="24"/>
              </w:rPr>
              <w:t>设计 ID / FR / 属性</w:t>
            </w:r>
          </w:p>
        </w:tc>
        <w:tc>
          <w:tcPr>
            <w:tcW w:type="dxa" w:w="2268"/>
            <w:shd w:val="clear" w:color="auto" w:fill="DCE6F1"/>
            <w:tcMar>
              <w:top w:w="80" w:type="dxa"/>
              <w:left w:w="100" w:type="dxa"/>
              <w:bottom w:w="80" w:type="dxa"/>
              <w:right w:w="100" w:type="dxa"/>
            </w:tcMar>
          </w:tcPr>
          <w:p>
            <w:pPr>
              <w:spacing w:line="300" w:lineRule="auto"/>
            </w:pPr>
            <w:r>
              <w:rPr>
                <w:rFonts w:eastAsia="宋体"/>
                <w:b/>
                <w:bCs/>
                <w:color w:val="000000"/>
                <w:sz w:val="24"/>
                <w:szCs w:val="24"/>
              </w:rPr>
              <w:t>验收标准</w:t>
            </w:r>
          </w:p>
        </w:tc>
        <w:tc>
          <w:tcPr>
            <w:tcW w:type="dxa" w:w="2494"/>
            <w:shd w:val="clear" w:color="auto" w:fill="DCE6F1"/>
            <w:tcMar>
              <w:top w:w="80" w:type="dxa"/>
              <w:left w:w="100" w:type="dxa"/>
              <w:bottom w:w="80" w:type="dxa"/>
              <w:right w:w="100" w:type="dxa"/>
            </w:tcMar>
          </w:tcPr>
          <w:p>
            <w:pPr>
              <w:spacing w:line="300" w:lineRule="auto"/>
            </w:pPr>
            <w:r>
              <w:rPr>
                <w:rFonts w:eastAsia="宋体"/>
                <w:b/>
                <w:bCs/>
                <w:color w:val="000000"/>
                <w:sz w:val="24"/>
                <w:szCs w:val="24"/>
              </w:rPr>
              <w:t>详细设计落点</w:t>
            </w:r>
          </w:p>
        </w:tc>
        <w:tc>
          <w:tcPr>
            <w:tcW w:type="dxa" w:w="2381"/>
            <w:shd w:val="clear" w:color="auto" w:fill="DCE6F1"/>
            <w:tcMar>
              <w:top w:w="80" w:type="dxa"/>
              <w:left w:w="100" w:type="dxa"/>
              <w:bottom w:w="80" w:type="dxa"/>
              <w:right w:w="100" w:type="dxa"/>
            </w:tcMar>
          </w:tcPr>
          <w:p>
            <w:pPr>
              <w:spacing w:line="300" w:lineRule="auto"/>
            </w:pPr>
            <w:r>
              <w:rPr>
                <w:rFonts w:eastAsia="宋体"/>
                <w:b/>
                <w:bCs/>
                <w:color w:val="000000"/>
                <w:sz w:val="24"/>
                <w:szCs w:val="24"/>
              </w:rPr>
              <w:t>异常与验证入口</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DLD-TR-027</w:t>
              <w:br/>
              <w:t>G2-FR-027</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AC-G2-FR-027-01；AC-G2-FR-027-02；AC-G2-FR-027-03</w:t>
            </w:r>
          </w:p>
        </w:tc>
        <w:tc>
          <w:tcPr>
            <w:tcW w:type="dxa" w:w="2494"/>
            <w:tcMar>
              <w:top w:w="80" w:type="dxa"/>
              <w:left w:w="100" w:type="dxa"/>
              <w:bottom w:w="80" w:type="dxa"/>
              <w:right w:w="100" w:type="dxa"/>
            </w:tcMar>
          </w:tcPr>
          <w:p>
            <w:pPr>
              <w:spacing w:line="300" w:lineRule="auto"/>
            </w:pPr>
            <w:r>
              <w:rPr>
                <w:rFonts w:eastAsia="宋体"/>
                <w:color w:val="000000"/>
                <w:sz w:val="22"/>
                <w:szCs w:val="22"/>
              </w:rPr>
              <w:t>AlertAdapter、ExternalAlertDeduplicator、QuarantineStore</w:t>
            </w:r>
          </w:p>
        </w:tc>
        <w:tc>
          <w:tcPr>
            <w:tcW w:type="dxa" w:w="2381"/>
            <w:tcMar>
              <w:top w:w="80" w:type="dxa"/>
              <w:left w:w="100" w:type="dxa"/>
              <w:bottom w:w="80" w:type="dxa"/>
              <w:right w:w="100" w:type="dxa"/>
            </w:tcMar>
          </w:tcPr>
          <w:p>
            <w:pPr>
              <w:spacing w:line="300" w:lineRule="auto"/>
            </w:pPr>
            <w:r>
              <w:rPr>
                <w:rFonts w:eastAsia="宋体"/>
                <w:color w:val="000000"/>
                <w:sz w:val="22"/>
                <w:szCs w:val="22"/>
              </w:rPr>
              <w:t>转事件、断连补传、未知载荷测试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DLD-TR-028</w:t>
              <w:br/>
              <w:t>G2-FR-028</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AC-G2-FR-028-01；AC-G2-FR-028-02；AC-G2-FR-028-03</w:t>
            </w:r>
          </w:p>
        </w:tc>
        <w:tc>
          <w:tcPr>
            <w:tcW w:type="dxa" w:w="2494"/>
            <w:tcMar>
              <w:top w:w="80" w:type="dxa"/>
              <w:left w:w="100" w:type="dxa"/>
              <w:bottom w:w="80" w:type="dxa"/>
              <w:right w:w="100" w:type="dxa"/>
            </w:tcMar>
          </w:tcPr>
          <w:p>
            <w:pPr>
              <w:spacing w:line="300" w:lineRule="auto"/>
            </w:pPr>
            <w:r>
              <w:rPr>
                <w:rFonts w:eastAsia="宋体"/>
                <w:color w:val="000000"/>
                <w:sz w:val="22"/>
                <w:szCs w:val="22"/>
              </w:rPr>
              <w:t>IdentityPort、OrganizationPort、FilePort、WorkflowPort</w:t>
            </w:r>
          </w:p>
        </w:tc>
        <w:tc>
          <w:tcPr>
            <w:tcW w:type="dxa" w:w="2381"/>
            <w:tcMar>
              <w:top w:w="80" w:type="dxa"/>
              <w:left w:w="100" w:type="dxa"/>
              <w:bottom w:w="80" w:type="dxa"/>
              <w:right w:w="100" w:type="dxa"/>
            </w:tcMar>
          </w:tcPr>
          <w:p>
            <w:pPr>
              <w:spacing w:line="300" w:lineRule="auto"/>
            </w:pPr>
            <w:r>
              <w:rPr>
                <w:rFonts w:eastAsia="宋体"/>
                <w:color w:val="000000"/>
                <w:sz w:val="22"/>
                <w:szCs w:val="22"/>
              </w:rPr>
              <w:t>授权、通用能力、中台降级测试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DLD-TR-029</w:t>
              <w:br/>
              <w:t>G2-FR-029</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AC-G2-FR-029-01；AC-G2-FR-029-02；AC-G2-FR-029-03</w:t>
            </w:r>
          </w:p>
        </w:tc>
        <w:tc>
          <w:tcPr>
            <w:tcW w:type="dxa" w:w="2494"/>
            <w:tcMar>
              <w:top w:w="80" w:type="dxa"/>
              <w:left w:w="100" w:type="dxa"/>
              <w:bottom w:w="80" w:type="dxa"/>
              <w:right w:w="100" w:type="dxa"/>
            </w:tcMar>
          </w:tcPr>
          <w:p>
            <w:pPr>
              <w:spacing w:line="300" w:lineRule="auto"/>
            </w:pPr>
            <w:r>
              <w:rPr>
                <w:rFonts w:eastAsia="宋体"/>
                <w:color w:val="000000"/>
                <w:sz w:val="22"/>
                <w:szCs w:val="22"/>
              </w:rPr>
              <w:t>VideoAdapter、ControlCommand、AccessControlAdapter</w:t>
            </w:r>
          </w:p>
        </w:tc>
        <w:tc>
          <w:tcPr>
            <w:tcW w:type="dxa" w:w="2381"/>
            <w:tcMar>
              <w:top w:w="80" w:type="dxa"/>
              <w:left w:w="100" w:type="dxa"/>
              <w:bottom w:w="80" w:type="dxa"/>
              <w:right w:w="100" w:type="dxa"/>
            </w:tcMar>
          </w:tcPr>
          <w:p>
            <w:pPr>
              <w:spacing w:line="300" w:lineRule="auto"/>
            </w:pPr>
            <w:r>
              <w:rPr>
                <w:rFonts w:eastAsia="宋体"/>
                <w:color w:val="000000"/>
                <w:sz w:val="22"/>
                <w:szCs w:val="22"/>
              </w:rPr>
              <w:t>回放、授权下发、联锁失败测试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DLD-TR-030</w:t>
              <w:br/>
              <w:t>G2-FR-030</w:t>
              <w:br/>
              <w:t>非★</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AC-G2-FR-030-01；AC-G2-FR-030-02；AC-G2-FR-030-03</w:t>
            </w:r>
          </w:p>
        </w:tc>
        <w:tc>
          <w:tcPr>
            <w:tcW w:type="dxa" w:w="2494"/>
            <w:tcMar>
              <w:top w:w="80" w:type="dxa"/>
              <w:left w:w="100" w:type="dxa"/>
              <w:bottom w:w="80" w:type="dxa"/>
              <w:right w:w="100" w:type="dxa"/>
            </w:tcMar>
          </w:tcPr>
          <w:p>
            <w:pPr>
              <w:spacing w:line="300" w:lineRule="auto"/>
            </w:pPr>
            <w:r>
              <w:rPr>
                <w:rFonts w:eastAsia="宋体"/>
                <w:color w:val="000000"/>
                <w:sz w:val="22"/>
                <w:szCs w:val="22"/>
              </w:rPr>
              <w:t>PlanVersion、AttachmentRef、AuthorizationPolicy</w:t>
            </w:r>
          </w:p>
        </w:tc>
        <w:tc>
          <w:tcPr>
            <w:tcW w:type="dxa" w:w="2381"/>
            <w:tcMar>
              <w:top w:w="80" w:type="dxa"/>
              <w:left w:w="100" w:type="dxa"/>
              <w:bottom w:w="80" w:type="dxa"/>
              <w:right w:w="100" w:type="dxa"/>
            </w:tcMar>
          </w:tcPr>
          <w:p>
            <w:pPr>
              <w:spacing w:line="300" w:lineRule="auto"/>
            </w:pPr>
            <w:r>
              <w:rPr>
                <w:rFonts w:eastAsia="宋体"/>
                <w:color w:val="000000"/>
                <w:sz w:val="22"/>
                <w:szCs w:val="22"/>
              </w:rPr>
              <w:t>上传关联、版本、无权测试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DLD-TR-031</w:t>
              <w:br/>
              <w:t>G2-FR-031</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AC-G2-FR-031-01；AC-G2-FR-031-02；AC-G2-FR-031-03</w:t>
            </w:r>
          </w:p>
        </w:tc>
        <w:tc>
          <w:tcPr>
            <w:tcW w:type="dxa" w:w="2494"/>
            <w:tcMar>
              <w:top w:w="80" w:type="dxa"/>
              <w:left w:w="100" w:type="dxa"/>
              <w:bottom w:w="80" w:type="dxa"/>
              <w:right w:w="100" w:type="dxa"/>
            </w:tcMar>
          </w:tcPr>
          <w:p>
            <w:pPr>
              <w:spacing w:line="300" w:lineRule="auto"/>
            </w:pPr>
            <w:r>
              <w:rPr>
                <w:rFonts w:eastAsia="宋体"/>
                <w:color w:val="000000"/>
                <w:sz w:val="22"/>
                <w:szCs w:val="22"/>
              </w:rPr>
              <w:t>PersonRef、EmergencyGroup、GroupMemberPolicy</w:t>
            </w:r>
          </w:p>
        </w:tc>
        <w:tc>
          <w:tcPr>
            <w:tcW w:type="dxa" w:w="2381"/>
            <w:tcMar>
              <w:top w:w="80" w:type="dxa"/>
              <w:left w:w="100" w:type="dxa"/>
              <w:bottom w:w="80" w:type="dxa"/>
              <w:right w:w="100" w:type="dxa"/>
            </w:tcMar>
          </w:tcPr>
          <w:p>
            <w:pPr>
              <w:spacing w:line="300" w:lineRule="auto"/>
            </w:pPr>
            <w:r>
              <w:rPr>
                <w:rFonts w:eastAsia="宋体"/>
                <w:color w:val="000000"/>
                <w:sz w:val="22"/>
                <w:szCs w:val="22"/>
              </w:rPr>
              <w:t>档案、小组、失效阻断测试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DLD-TR-032</w:t>
              <w:br/>
              <w:t>G2-FR-032</w:t>
              <w:br/>
              <w:t>非★</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AC-G2-FR-032-01；AC-G2-FR-032-02；AC-G2-FR-032-03</w:t>
            </w:r>
          </w:p>
        </w:tc>
        <w:tc>
          <w:tcPr>
            <w:tcW w:type="dxa" w:w="2494"/>
            <w:tcMar>
              <w:top w:w="80" w:type="dxa"/>
              <w:left w:w="100" w:type="dxa"/>
              <w:bottom w:w="80" w:type="dxa"/>
              <w:right w:w="100" w:type="dxa"/>
            </w:tcMar>
          </w:tcPr>
          <w:p>
            <w:pPr>
              <w:spacing w:line="300" w:lineRule="auto"/>
            </w:pPr>
            <w:r>
              <w:rPr>
                <w:rFonts w:eastAsia="宋体"/>
                <w:color w:val="000000"/>
                <w:sz w:val="22"/>
                <w:szCs w:val="22"/>
              </w:rPr>
              <w:t>DutyScheduleAggregate、AttendanceRuleVersion</w:t>
            </w:r>
          </w:p>
        </w:tc>
        <w:tc>
          <w:tcPr>
            <w:tcW w:type="dxa" w:w="2381"/>
            <w:tcMar>
              <w:top w:w="80" w:type="dxa"/>
              <w:left w:w="100" w:type="dxa"/>
              <w:bottom w:w="80" w:type="dxa"/>
              <w:right w:w="100" w:type="dxa"/>
            </w:tcMar>
          </w:tcPr>
          <w:p>
            <w:pPr>
              <w:spacing w:line="300" w:lineRule="auto"/>
            </w:pPr>
            <w:r>
              <w:rPr>
                <w:rFonts w:eastAsia="宋体"/>
                <w:color w:val="000000"/>
                <w:sz w:val="22"/>
                <w:szCs w:val="22"/>
              </w:rPr>
              <w:t>发布、调整留痕、冲突测试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DLD-TR-033</w:t>
              <w:br/>
              <w:t>G2-FR-033</w:t>
              <w:br/>
              <w:t>非★</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AC-G2-FR-033-01；AC-G2-FR-033-02；AC-G2-FR-033-03</w:t>
            </w:r>
          </w:p>
        </w:tc>
        <w:tc>
          <w:tcPr>
            <w:tcW w:type="dxa" w:w="2494"/>
            <w:tcMar>
              <w:top w:w="80" w:type="dxa"/>
              <w:left w:w="100" w:type="dxa"/>
              <w:bottom w:w="80" w:type="dxa"/>
              <w:right w:w="100" w:type="dxa"/>
            </w:tcMar>
          </w:tcPr>
          <w:p>
            <w:pPr>
              <w:spacing w:line="300" w:lineRule="auto"/>
            </w:pPr>
            <w:r>
              <w:rPr>
                <w:rFonts w:eastAsia="宋体"/>
                <w:color w:val="000000"/>
                <w:sz w:val="22"/>
                <w:szCs w:val="22"/>
              </w:rPr>
              <w:t>PlanType、PlanAggregate、AuditRecorder</w:t>
            </w:r>
          </w:p>
        </w:tc>
        <w:tc>
          <w:tcPr>
            <w:tcW w:type="dxa" w:w="2381"/>
            <w:tcMar>
              <w:top w:w="80" w:type="dxa"/>
              <w:left w:w="100" w:type="dxa"/>
              <w:bottom w:w="80" w:type="dxa"/>
              <w:right w:w="100" w:type="dxa"/>
            </w:tcMar>
          </w:tcPr>
          <w:p>
            <w:pPr>
              <w:spacing w:line="300" w:lineRule="auto"/>
            </w:pPr>
            <w:r>
              <w:rPr>
                <w:rFonts w:eastAsia="宋体"/>
                <w:color w:val="000000"/>
                <w:sz w:val="22"/>
                <w:szCs w:val="22"/>
              </w:rPr>
              <w:t>增改、停用回溯、无权测试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DLD-TR-034</w:t>
              <w:br/>
              <w:t>G2-FR-034</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AC-G2-FR-034-01；AC-G2-FR-034-02；AC-G2-FR-034-03</w:t>
            </w:r>
          </w:p>
        </w:tc>
        <w:tc>
          <w:tcPr>
            <w:tcW w:type="dxa" w:w="2494"/>
            <w:tcMar>
              <w:top w:w="80" w:type="dxa"/>
              <w:left w:w="100" w:type="dxa"/>
              <w:bottom w:w="80" w:type="dxa"/>
              <w:right w:w="100" w:type="dxa"/>
            </w:tcMar>
          </w:tcPr>
          <w:p>
            <w:pPr>
              <w:spacing w:line="300" w:lineRule="auto"/>
            </w:pPr>
            <w:r>
              <w:rPr>
                <w:rFonts w:eastAsia="宋体"/>
                <w:color w:val="000000"/>
                <w:sz w:val="22"/>
                <w:szCs w:val="22"/>
              </w:rPr>
              <w:t>IncidentType、IncidentAggregate、AuditRecorder</w:t>
            </w:r>
          </w:p>
        </w:tc>
        <w:tc>
          <w:tcPr>
            <w:tcW w:type="dxa" w:w="2381"/>
            <w:tcMar>
              <w:top w:w="80" w:type="dxa"/>
              <w:left w:w="100" w:type="dxa"/>
              <w:bottom w:w="80" w:type="dxa"/>
              <w:right w:w="100" w:type="dxa"/>
            </w:tcMar>
          </w:tcPr>
          <w:p>
            <w:pPr>
              <w:spacing w:line="300" w:lineRule="auto"/>
            </w:pPr>
            <w:r>
              <w:rPr>
                <w:rFonts w:eastAsia="宋体"/>
                <w:color w:val="000000"/>
                <w:sz w:val="22"/>
                <w:szCs w:val="22"/>
              </w:rPr>
              <w:t>类型维护、预置调整、停用测试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DLD-TR-035</w:t>
              <w:br/>
              <w:t>G2-FR-035</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AC-G2-FR-035-01；AC-G2-FR-035-02；AC-G2-FR-035-03</w:t>
            </w:r>
          </w:p>
        </w:tc>
        <w:tc>
          <w:tcPr>
            <w:tcW w:type="dxa" w:w="2494"/>
            <w:tcMar>
              <w:top w:w="80" w:type="dxa"/>
              <w:left w:w="100" w:type="dxa"/>
              <w:bottom w:w="80" w:type="dxa"/>
              <w:right w:w="100" w:type="dxa"/>
            </w:tcMar>
          </w:tcPr>
          <w:p>
            <w:pPr>
              <w:spacing w:line="300" w:lineRule="auto"/>
            </w:pPr>
            <w:r>
              <w:rPr>
                <w:rFonts w:eastAsia="宋体"/>
                <w:color w:val="000000"/>
                <w:sz w:val="22"/>
                <w:szCs w:val="22"/>
              </w:rPr>
              <w:t>MaterialSite、SpatialMappingValidator</w:t>
            </w:r>
          </w:p>
        </w:tc>
        <w:tc>
          <w:tcPr>
            <w:tcW w:type="dxa" w:w="2381"/>
            <w:tcMar>
              <w:top w:w="80" w:type="dxa"/>
              <w:left w:w="100" w:type="dxa"/>
              <w:bottom w:w="80" w:type="dxa"/>
              <w:right w:w="100" w:type="dxa"/>
            </w:tcMar>
          </w:tcPr>
          <w:p>
            <w:pPr>
              <w:spacing w:line="300" w:lineRule="auto"/>
            </w:pPr>
            <w:r>
              <w:rPr>
                <w:rFonts w:eastAsia="宋体"/>
                <w:color w:val="000000"/>
                <w:sz w:val="22"/>
                <w:szCs w:val="22"/>
              </w:rPr>
              <w:t>空间配置、钻取、非法映射测试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DLD-TR-036</w:t>
              <w:br/>
              <w:t>G2-FR-036</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AC-G2-FR-036-01；AC-G2-FR-036-02；AC-G2-FR-036-03</w:t>
            </w:r>
          </w:p>
        </w:tc>
        <w:tc>
          <w:tcPr>
            <w:tcW w:type="dxa" w:w="2494"/>
            <w:tcMar>
              <w:top w:w="80" w:type="dxa"/>
              <w:left w:w="100" w:type="dxa"/>
              <w:bottom w:w="80" w:type="dxa"/>
              <w:right w:w="100" w:type="dxa"/>
            </w:tcMar>
          </w:tcPr>
          <w:p>
            <w:pPr>
              <w:spacing w:line="300" w:lineRule="auto"/>
            </w:pPr>
            <w:r>
              <w:rPr>
                <w:rFonts w:eastAsia="宋体"/>
                <w:color w:val="000000"/>
                <w:sz w:val="22"/>
                <w:szCs w:val="22"/>
              </w:rPr>
              <w:t>EvaluationTemplateVersion、DrillEvaluation</w:t>
            </w:r>
          </w:p>
        </w:tc>
        <w:tc>
          <w:tcPr>
            <w:tcW w:type="dxa" w:w="2381"/>
            <w:tcMar>
              <w:top w:w="80" w:type="dxa"/>
              <w:left w:w="100" w:type="dxa"/>
              <w:bottom w:w="80" w:type="dxa"/>
              <w:right w:w="100" w:type="dxa"/>
            </w:tcMar>
          </w:tcPr>
          <w:p>
            <w:pPr>
              <w:spacing w:line="300" w:lineRule="auto"/>
            </w:pPr>
            <w:r>
              <w:rPr>
                <w:rFonts w:eastAsia="宋体"/>
                <w:color w:val="000000"/>
                <w:sz w:val="22"/>
                <w:szCs w:val="22"/>
              </w:rPr>
              <w:t>编辑、版本引用、停用回溯测试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DLD-TR-037</w:t>
              <w:br/>
              <w:t>G2-FR-037</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AC-G2-FR-037-01；AC-G2-FR-037-02；AC-G2-FR-037-03</w:t>
            </w:r>
          </w:p>
        </w:tc>
        <w:tc>
          <w:tcPr>
            <w:tcW w:type="dxa" w:w="2494"/>
            <w:tcMar>
              <w:top w:w="80" w:type="dxa"/>
              <w:left w:w="100" w:type="dxa"/>
              <w:bottom w:w="80" w:type="dxa"/>
              <w:right w:w="100" w:type="dxa"/>
            </w:tcMar>
          </w:tcPr>
          <w:p>
            <w:pPr>
              <w:spacing w:line="300" w:lineRule="auto"/>
            </w:pPr>
            <w:r>
              <w:rPr>
                <w:rFonts w:eastAsia="宋体"/>
                <w:color w:val="000000"/>
                <w:sz w:val="22"/>
                <w:szCs w:val="22"/>
              </w:rPr>
              <w:t>VerificationConfig、VerificationRouter</w:t>
            </w:r>
          </w:p>
        </w:tc>
        <w:tc>
          <w:tcPr>
            <w:tcW w:type="dxa" w:w="2381"/>
            <w:tcMar>
              <w:top w:w="80" w:type="dxa"/>
              <w:left w:w="100" w:type="dxa"/>
              <w:bottom w:w="80" w:type="dxa"/>
              <w:right w:w="100" w:type="dxa"/>
            </w:tcMar>
          </w:tcPr>
          <w:p>
            <w:pPr>
              <w:spacing w:line="300" w:lineRule="auto"/>
            </w:pPr>
            <w:r>
              <w:rPr>
                <w:rFonts w:eastAsia="宋体"/>
                <w:color w:val="000000"/>
                <w:sz w:val="22"/>
                <w:szCs w:val="22"/>
              </w:rPr>
              <w:t>发布、实例路由、缺人/时限测试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DLD-TR-038</w:t>
              <w:br/>
              <w:t>G2-FR-038</w:t>
              <w:br/>
              <w:t>非★</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AC-G2-FR-038-01；AC-G2-FR-038-02；AC-G2-FR-038-03</w:t>
            </w:r>
          </w:p>
        </w:tc>
        <w:tc>
          <w:tcPr>
            <w:tcW w:type="dxa" w:w="2494"/>
            <w:tcMar>
              <w:top w:w="80" w:type="dxa"/>
              <w:left w:w="100" w:type="dxa"/>
              <w:bottom w:w="80" w:type="dxa"/>
              <w:right w:w="100" w:type="dxa"/>
            </w:tcMar>
          </w:tcPr>
          <w:p>
            <w:pPr>
              <w:spacing w:line="300" w:lineRule="auto"/>
            </w:pPr>
            <w:r>
              <w:rPr>
                <w:rFonts w:eastAsia="宋体"/>
                <w:color w:val="000000"/>
                <w:sz w:val="22"/>
                <w:szCs w:val="22"/>
              </w:rPr>
              <w:t>KnowledgeItemAggregate、KnowledgeSearchService</w:t>
            </w:r>
          </w:p>
        </w:tc>
        <w:tc>
          <w:tcPr>
            <w:tcW w:type="dxa" w:w="2381"/>
            <w:tcMar>
              <w:top w:w="80" w:type="dxa"/>
              <w:left w:w="100" w:type="dxa"/>
              <w:bottom w:w="80" w:type="dxa"/>
              <w:right w:w="100" w:type="dxa"/>
            </w:tcMar>
          </w:tcPr>
          <w:p>
            <w:pPr>
              <w:spacing w:line="300" w:lineRule="auto"/>
            </w:pPr>
            <w:r>
              <w:rPr>
                <w:rFonts w:eastAsia="宋体"/>
                <w:color w:val="000000"/>
                <w:sz w:val="22"/>
                <w:szCs w:val="22"/>
              </w:rPr>
              <w:t>分类、关键字、受限内容测试</w:t>
            </w:r>
          </w:p>
        </w:tc>
      </w:tr>
      <w:tr>
        <w:trPr>
          <w:cantSplit/>
        </w:trPr>
        <w:tc>
          <w:tcPr>
            <w:tcW w:type="dxa" w:w="1474"/>
            <w:tcMar>
              <w:top w:w="80" w:type="dxa"/>
              <w:left w:w="100" w:type="dxa"/>
              <w:bottom w:w="80" w:type="dxa"/>
              <w:right w:w="100" w:type="dxa"/>
            </w:tcMar>
          </w:tcPr>
          <w:p>
            <w:pPr>
              <w:spacing w:line="300" w:lineRule="auto"/>
            </w:pPr>
            <w:r>
              <w:rPr>
                <w:rFonts w:eastAsia="宋体"/>
                <w:color w:val="000000"/>
                <w:sz w:val="22"/>
                <w:szCs w:val="22"/>
              </w:rPr>
              <w:t>DLD-TR-039</w:t>
              <w:br/>
              <w:t>G2-FR-039</w:t>
              <w:br/>
              <w:t>★</w:t>
            </w:r>
          </w:p>
        </w:tc>
        <w:tc>
          <w:tcPr>
            <w:tcW w:type="dxa" w:w="2268"/>
            <w:tcMar>
              <w:top w:w="80" w:type="dxa"/>
              <w:left w:w="100" w:type="dxa"/>
              <w:bottom w:w="80" w:type="dxa"/>
              <w:right w:w="100" w:type="dxa"/>
            </w:tcMar>
          </w:tcPr>
          <w:p>
            <w:pPr>
              <w:spacing w:line="300" w:lineRule="auto"/>
            </w:pPr>
            <w:r>
              <w:rPr>
                <w:rFonts w:eastAsia="宋体"/>
                <w:color w:val="000000"/>
                <w:sz w:val="22"/>
                <w:szCs w:val="22"/>
              </w:rPr>
              <w:t>AC-G2-FR-039-01；AC-G2-FR-039-02；AC-G2-FR-039-03</w:t>
            </w:r>
          </w:p>
        </w:tc>
        <w:tc>
          <w:tcPr>
            <w:tcW w:type="dxa" w:w="2494"/>
            <w:tcMar>
              <w:top w:w="80" w:type="dxa"/>
              <w:left w:w="100" w:type="dxa"/>
              <w:bottom w:w="80" w:type="dxa"/>
              <w:right w:w="100" w:type="dxa"/>
            </w:tcMar>
          </w:tcPr>
          <w:p>
            <w:pPr>
              <w:spacing w:line="300" w:lineRule="auto"/>
            </w:pPr>
            <w:r>
              <w:rPr>
                <w:rFonts w:eastAsia="宋体"/>
                <w:color w:val="000000"/>
                <w:sz w:val="22"/>
                <w:szCs w:val="22"/>
              </w:rPr>
              <w:t>SituationProjectionService、MetricDefinition</w:t>
            </w:r>
          </w:p>
        </w:tc>
        <w:tc>
          <w:tcPr>
            <w:tcW w:type="dxa" w:w="2381"/>
            <w:tcMar>
              <w:top w:w="80" w:type="dxa"/>
              <w:left w:w="100" w:type="dxa"/>
              <w:bottom w:w="80" w:type="dxa"/>
              <w:right w:w="100" w:type="dxa"/>
            </w:tcMar>
          </w:tcPr>
          <w:p>
            <w:pPr>
              <w:spacing w:line="300" w:lineRule="auto"/>
            </w:pPr>
            <w:r>
              <w:rPr>
                <w:rFonts w:eastAsia="宋体"/>
                <w:color w:val="000000"/>
                <w:sz w:val="22"/>
                <w:szCs w:val="22"/>
              </w:rPr>
              <w:t>统计、钻取、≤60秒待测</w:t>
            </w:r>
          </w:p>
        </w:tc>
      </w:tr>
    </w:tbl>
    <w:p>
      <w:pPr>
        <w:pStyle w:val="2"/>
        <w:spacing w:before="240" w:after="160"/>
      </w:pPr>
      <w:r>
        <w:rPr>
          <w:rFonts w:eastAsia="黑体"/>
          <w:b/>
          <w:bCs/>
          <w:sz w:val="28"/>
          <w:szCs w:val="28"/>
        </w:rPr>
        <w:t>12.2 关键数字和责任边界检查</w:t>
      </w:r>
    </w:p>
    <w:p>
      <w:pPr>
        <w:spacing w:after="100" w:line="360" w:lineRule="auto"/>
        <w:ind w:firstLine="475"/>
      </w:pPr>
      <w:r>
        <w:rPr>
          <w:rFonts w:eastAsia="宋体"/>
          <w:color w:val="000000"/>
          <w:sz w:val="24"/>
          <w:szCs w:val="24"/>
        </w:rPr>
        <w:t>本设计保留预案启动≤3秒、告警/定位刷新≤2秒、视频首帧≤3秒、95%页面≤3秒、打卡≤1秒、设备态势≤30秒、统计≤60秒、峰值并发≥100人、消息并发≥20路且到达率≥99%、试运行可用性≥99.5%、MTTR≤2小时等受控要求。上述均为待实现和待验证目标，不是本阶段实测结论。</w:t>
      </w:r>
    </w:p>
    <w:p>
      <w:pPr>
        <w:pStyle w:val="1"/>
        <w:spacing w:before="240" w:after="160"/>
      </w:pPr>
      <w:r>
        <w:rPr>
          <w:rFonts w:eastAsia="黑体"/>
          <w:b/>
          <w:bCs/>
        </w:rPr>
        <w:t>13 实现约束、未决事项与 G3-06 交接</w:t>
      </w:r>
    </w:p>
    <w:p>
      <w:pPr>
        <w:pStyle w:val="2"/>
        <w:spacing w:before="240" w:after="160"/>
      </w:pPr>
      <w:r>
        <w:rPr>
          <w:rFonts w:eastAsia="黑体"/>
          <w:b/>
          <w:bCs/>
          <w:sz w:val="28"/>
          <w:szCs w:val="28"/>
        </w:rPr>
        <w:t>13.1 实现约束</w:t>
      </w:r>
    </w:p>
    <w:p>
      <w:pPr>
        <w:spacing w:after="100" w:line="360" w:lineRule="auto"/>
        <w:ind w:firstLine="475"/>
      </w:pPr>
      <w:r>
        <w:rPr>
          <w:rFonts w:eastAsia="宋体"/>
          <w:color w:val="000000"/>
          <w:sz w:val="24"/>
          <w:szCs w:val="24"/>
        </w:rPr>
        <w:t>实现不得绕过模块主责直接写表，不得把投影视为事实源，不得把外部回执当作重复业务命令，不得在日志或配置库保存明文凭据。任何状态新增、端口合并、自动重试策略或责任边界变化均须通过 ADR/Change 更新本文及 RTM。</w:t>
      </w:r>
    </w:p>
    <w:p>
      <w:pPr>
        <w:pStyle w:val="2"/>
        <w:spacing w:before="240" w:after="160"/>
      </w:pPr>
      <w:r>
        <w:rPr>
          <w:rFonts w:eastAsia="黑体"/>
          <w:b/>
          <w:bCs/>
          <w:sz w:val="28"/>
          <w:szCs w:val="28"/>
        </w:rPr>
        <w:t>13.2 未决事项</w:t>
      </w:r>
    </w:p>
    <w:p>
      <w:pPr>
        <w:pStyle w:val="a4"/>
        <w:spacing w:after="60" w:line="340" w:lineRule="auto"/>
        <w:ind w:left="420" w:hanging="210"/>
      </w:pPr>
      <w:r>
        <w:rPr>
          <w:rFonts w:eastAsia="宋体"/>
          <w:sz w:val="24"/>
          <w:szCs w:val="24"/>
        </w:rPr>
        <w:t xml:space="preserve">• </w:t>
      </w:r>
      <w:r>
        <w:rPr>
          <w:rFonts w:eastAsia="宋体" w:ascii="Consolas" w:hAnsi="Consolas"/>
          <w:sz w:val="21"/>
          <w:szCs w:val="24"/>
        </w:rPr>
        <w:t>ISSUE-G3-01-001</w:t>
      </w:r>
      <w:r>
        <w:rPr>
          <w:rFonts w:eastAsia="宋体"/>
          <w:sz w:val="24"/>
          <w:szCs w:val="24"/>
        </w:rPr>
        <w:t>：视频与统一消息真实字段、认证、回执和性能证据待甲方资料及现场联调；状态保持 OPEN。</w:t>
      </w:r>
    </w:p>
    <w:p>
      <w:pPr>
        <w:pStyle w:val="a4"/>
        <w:spacing w:after="60" w:line="340" w:lineRule="auto"/>
        <w:ind w:left="420" w:hanging="210"/>
      </w:pPr>
      <w:r>
        <w:rPr>
          <w:rFonts w:eastAsia="宋体"/>
          <w:sz w:val="24"/>
          <w:szCs w:val="24"/>
        </w:rPr>
        <w:t>• 数据库产品、技术框架、物理包路径、消息中间件和缓存产品尚未完成 ADR，本文不作供应商绑定。</w:t>
      </w:r>
    </w:p>
    <w:p>
      <w:pPr>
        <w:pStyle w:val="a4"/>
        <w:spacing w:after="60" w:line="340" w:lineRule="auto"/>
        <w:ind w:left="420" w:hanging="210"/>
      </w:pPr>
      <w:r>
        <w:rPr>
          <w:rFonts w:eastAsia="宋体"/>
          <w:sz w:val="24"/>
          <w:szCs w:val="24"/>
        </w:rPr>
        <w:t>• 地图坐标参考、楼层编码和宿主 APP 版本矩阵须由后续接口/部署设计确认。</w:t>
      </w:r>
    </w:p>
    <w:p>
      <w:pPr>
        <w:pStyle w:val="a4"/>
        <w:spacing w:after="60" w:line="340" w:lineRule="auto"/>
        <w:ind w:left="420" w:hanging="210"/>
      </w:pPr>
      <w:r>
        <w:t>• 人员姓名、审批签章和真实项目组织信息均标记【课程模拟确认】，不得虚构。</w:t>
      </w:r>
    </w:p>
    <w:p>
      <w:pPr>
        <w:pStyle w:val="2"/>
        <w:spacing w:before="240" w:after="160"/>
      </w:pPr>
      <w:r>
        <w:rPr>
          <w:rFonts w:eastAsia="黑体"/>
          <w:b/>
          <w:bCs/>
          <w:sz w:val="28"/>
          <w:szCs w:val="28"/>
        </w:rPr>
        <w:t>13.3 G3-06 必须固化的接口内容</w:t>
      </w:r>
    </w:p>
    <w:p>
      <w:pPr>
        <w:spacing w:after="100" w:line="360" w:lineRule="auto"/>
        <w:ind w:firstLine="475"/>
      </w:pPr>
      <w:r>
        <w:rPr>
          <w:rFonts w:eastAsia="宋体"/>
          <w:color w:val="000000"/>
          <w:sz w:val="24"/>
          <w:szCs w:val="24"/>
        </w:rPr>
        <w:t>G3-06 应基于本文端口补齐 OpenAPI：资源路径、请求/响应 Schema、错误码、权限、幂等键、分页、版本策略和示例；同时为八类外部端口形成字段映射、认证、超时、重试、回执、脱敏和联调证据清单。</w:t>
      </w:r>
      <w:r>
        <w:rPr>
          <w:rFonts w:eastAsia="宋体" w:ascii="Consolas" w:hAnsi="Consolas"/>
          <w:color w:val="000000"/>
          <w:sz w:val="21"/>
          <w:szCs w:val="24"/>
        </w:rPr>
        <w:t>ISSUE-G3-01-001</w:t>
      </w:r>
      <w:r>
        <w:rPr>
          <w:rFonts w:eastAsia="宋体"/>
          <w:color w:val="000000"/>
          <w:sz w:val="24"/>
          <w:szCs w:val="24"/>
        </w:rPr>
        <w:t xml:space="preserve"> 未关闭前，视频和消息只能以待确认 Schema 发布评审候选，不能标记生产可用。</w:t>
      </w:r>
    </w:p>
    <w:p>
      <w:pPr>
        <w:pStyle w:val="1"/>
        <w:spacing w:before="240" w:after="160"/>
      </w:pPr>
      <w:r>
        <w:rPr>
          <w:rFonts w:eastAsia="黑体"/>
          <w:b/>
          <w:bCs/>
        </w:rPr>
        <w:t>14 设计自检结论</w:t>
      </w:r>
    </w:p>
    <w:p>
      <w:pPr>
        <w:spacing w:after="100" w:line="360" w:lineRule="auto"/>
        <w:ind w:firstLine="475"/>
      </w:pPr>
      <w:r>
        <w:rPr>
          <w:rFonts w:eastAsia="宋体"/>
          <w:color w:val="000000"/>
          <w:sz w:val="24"/>
          <w:szCs w:val="24"/>
        </w:rPr>
        <w:t>结构、模块职责、逻辑类设计、关键流程、状态迁移、事务/幂等、异常/补偿、安全、性能和测试接缝已完成；39 条 FR、34 条★及 117 条 AC 已逐行挂接。与 G3-03 模块边界和 G3-04 数据主责未发现冲突。本稿由 B 自检后进入 REVIEW，仍需 A 技术/总体一致性复核与 C 合规/追踪复核，通过前不得标记 DONE。</w:t>
      </w:r>
    </w:p>
    <w:p>
      <w:r>
        <w:br w:type="page"/>
      </w:r>
    </w:p>
    <w:p>
      <w:pPr>
        <w:pStyle w:val="1"/>
      </w:pPr>
      <w:r>
        <w:t>课程项目模拟确认补充</w:t>
      </w:r>
    </w:p>
    <w:p>
      <w:pPr>
        <w:jc w:val="both"/>
      </w:pPr>
      <w:r>
        <w:t>课程模拟确认（SIMULATED_OWNER_CONFIRMATION）：H5 登录态换取短期 Token，定位与扫码由宿主 JS Bridge 提供，文件上传至中台文件服务，消息采用 Push + Deep Link；不要求后台定位和通讯录。</w:t>
      </w:r>
    </w:p>
    <w:sectPr w:rsidR="00E579DC" w:rsidRPr="00747781">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7621B" w14:textId="77777777" w:rsidR="00F5270A" w:rsidRDefault="00F5270A">
      <w:r>
        <w:separator/>
      </w:r>
    </w:p>
  </w:endnote>
  <w:endnote w:type="continuationSeparator" w:id="0">
    <w:p w14:paraId="70705255" w14:textId="77777777" w:rsidR="00F5270A" w:rsidRDefault="00F52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76D93" w14:textId="77777777" w:rsidR="00E579DC" w:rsidRDefault="00CA04C0">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E34EE9">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D593E" w14:textId="77777777" w:rsidR="00F5270A" w:rsidRDefault="00F5270A">
      <w:r>
        <w:separator/>
      </w:r>
    </w:p>
  </w:footnote>
  <w:footnote w:type="continuationSeparator" w:id="0">
    <w:p w14:paraId="3C2763A2" w14:textId="77777777" w:rsidR="00F5270A" w:rsidRDefault="00F527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B5502"/>
    <w:multiLevelType w:val="hybridMultilevel"/>
    <w:tmpl w:val="D7FA34F2"/>
    <w:lvl w:ilvl="0" w:tplc="ADAE7CF6">
      <w:start w:val="1"/>
      <w:numFmt w:val="bullet"/>
      <w:lvlText w:val="●"/>
      <w:lvlJc w:val="left"/>
      <w:pPr>
        <w:ind w:left="720" w:hanging="360"/>
      </w:pPr>
    </w:lvl>
    <w:lvl w:ilvl="1" w:tplc="73CE31A0">
      <w:start w:val="1"/>
      <w:numFmt w:val="bullet"/>
      <w:lvlText w:val="○"/>
      <w:lvlJc w:val="left"/>
      <w:pPr>
        <w:ind w:left="1440" w:hanging="360"/>
      </w:pPr>
    </w:lvl>
    <w:lvl w:ilvl="2" w:tplc="3BD0EC88">
      <w:start w:val="1"/>
      <w:numFmt w:val="bullet"/>
      <w:lvlText w:val="■"/>
      <w:lvlJc w:val="left"/>
      <w:pPr>
        <w:ind w:left="2160" w:hanging="360"/>
      </w:pPr>
    </w:lvl>
    <w:lvl w:ilvl="3" w:tplc="A31844E4">
      <w:start w:val="1"/>
      <w:numFmt w:val="bullet"/>
      <w:lvlText w:val="●"/>
      <w:lvlJc w:val="left"/>
      <w:pPr>
        <w:ind w:left="2880" w:hanging="360"/>
      </w:pPr>
    </w:lvl>
    <w:lvl w:ilvl="4" w:tplc="734A4FD2">
      <w:start w:val="1"/>
      <w:numFmt w:val="bullet"/>
      <w:lvlText w:val="○"/>
      <w:lvlJc w:val="left"/>
      <w:pPr>
        <w:ind w:left="3600" w:hanging="360"/>
      </w:pPr>
    </w:lvl>
    <w:lvl w:ilvl="5" w:tplc="8D243294">
      <w:start w:val="1"/>
      <w:numFmt w:val="bullet"/>
      <w:lvlText w:val="■"/>
      <w:lvlJc w:val="left"/>
      <w:pPr>
        <w:ind w:left="4320" w:hanging="360"/>
      </w:pPr>
    </w:lvl>
    <w:lvl w:ilvl="6" w:tplc="B754A5E0">
      <w:start w:val="1"/>
      <w:numFmt w:val="bullet"/>
      <w:lvlText w:val="●"/>
      <w:lvlJc w:val="left"/>
      <w:pPr>
        <w:ind w:left="5040" w:hanging="360"/>
      </w:pPr>
    </w:lvl>
    <w:lvl w:ilvl="7" w:tplc="05FCDCBA">
      <w:start w:val="1"/>
      <w:numFmt w:val="bullet"/>
      <w:lvlText w:val="●"/>
      <w:lvlJc w:val="left"/>
      <w:pPr>
        <w:ind w:left="5760" w:hanging="360"/>
      </w:pPr>
    </w:lvl>
    <w:lvl w:ilvl="8" w:tplc="8682A60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9DC"/>
    <w:rsid w:val="00747781"/>
    <w:rsid w:val="00C4010C"/>
    <w:rsid w:val="00CA04C0"/>
    <w:rsid w:val="00E0488F"/>
    <w:rsid w:val="00E34EE9"/>
    <w:rsid w:val="00E579DC"/>
    <w:rsid w:val="00F527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35134"/>
  <w15:docId w15:val="{17884C19-89ED-48A1-A5FD-07816DE26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uiPriority w:val="9"/>
    <w:qFormat/>
    <w:pPr>
      <w:outlineLvl w:val="0"/>
    </w:pPr>
    <w:rPr>
      <w:color w:val="000000"/>
      <w:sz w:val="32"/>
      <w:szCs w:val="32"/>
    </w:rPr>
  </w:style>
  <w:style w:type="paragraph" w:styleId="2">
    <w:name w:val="heading 2"/>
    <w:uiPriority w:val="9"/>
    <w:unhideWhenUsed/>
    <w:qFormat/>
    <w:pPr>
      <w:outlineLvl w:val="1"/>
    </w:pPr>
    <w:rPr>
      <w:color w:val="000000"/>
      <w:sz w:val="26"/>
      <w:szCs w:val="26"/>
    </w:rPr>
  </w:style>
  <w:style w:type="paragraph" w:styleId="3">
    <w:name w:val="heading 3"/>
    <w:uiPriority w:val="9"/>
    <w:semiHidden/>
    <w:unhideWhenUsed/>
    <w:qFormat/>
    <w:pPr>
      <w:outlineLvl w:val="2"/>
    </w:pPr>
    <w:rPr>
      <w:color w:val="000000"/>
      <w:sz w:val="24"/>
      <w:szCs w:val="24"/>
    </w:rPr>
  </w:style>
  <w:style w:type="paragraph" w:styleId="4">
    <w:name w:val="heading 4"/>
    <w:uiPriority w:val="9"/>
    <w:semiHidden/>
    <w:unhideWhenUsed/>
    <w:qFormat/>
    <w:pPr>
      <w:outlineLvl w:val="3"/>
    </w:pPr>
    <w:rPr>
      <w:i/>
      <w:iCs/>
      <w:color w:val="000000"/>
    </w:rPr>
  </w:style>
  <w:style w:type="paragraph" w:styleId="5">
    <w:name w:val="heading 5"/>
    <w:uiPriority w:val="9"/>
    <w:semiHidden/>
    <w:unhideWhenUsed/>
    <w:qFormat/>
    <w:pPr>
      <w:outlineLvl w:val="4"/>
    </w:pPr>
    <w:rPr>
      <w:color w:val="000000"/>
    </w:rPr>
  </w:style>
  <w:style w:type="paragraph" w:styleId="6">
    <w:name w:val="heading 6"/>
    <w:uiPriority w:val="9"/>
    <w:semiHidden/>
    <w:unhideWhenUsed/>
    <w:qFormat/>
    <w:pPr>
      <w:outlineLvl w:val="5"/>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color w:val="000000"/>
      <w:sz w:val="56"/>
      <w:szCs w:val="56"/>
    </w:rPr>
  </w:style>
  <w:style w:type="paragraph" w:customStyle="1" w:styleId="10">
    <w:name w:val="要点1"/>
    <w:qFormat/>
    <w:rPr>
      <w:b/>
      <w:bCs/>
      <w:color w:val="000000"/>
    </w:rPr>
  </w:style>
  <w:style w:type="paragraph" w:styleId="a4">
    <w:name w:val="List Paragraph"/>
    <w:qFormat/>
    <w:rPr>
      <w:color w:val="000000"/>
    </w:rPr>
  </w:style>
  <w:style w:type="character" w:styleId="a5">
    <w:name w:val="Hyperlink"/>
    <w:uiPriority w:val="99"/>
    <w:unhideWhenUsed/>
    <w:rPr>
      <w:color w:val="000000"/>
      <w:u w:val="single"/>
    </w:rPr>
  </w:style>
  <w:style w:type="character" w:styleId="a6">
    <w:name w:val="footnote reference"/>
    <w:uiPriority w:val="99"/>
    <w:semiHidden/>
    <w:unhideWhenUsed/>
    <w:rPr>
      <w:color w:val="000000"/>
      <w:vertAlign w:val="superscript"/>
    </w:rPr>
  </w:style>
  <w:style w:type="paragraph" w:styleId="a7">
    <w:name w:val="footnote text"/>
    <w:link w:val="a8"/>
    <w:uiPriority w:val="99"/>
    <w:semiHidden/>
    <w:unhideWhenUsed/>
    <w:rPr>
      <w:color w:val="000000"/>
    </w:rPr>
  </w:style>
  <w:style w:type="character" w:customStyle="1" w:styleId="a8">
    <w:name w:val="脚注文本 字符"/>
    <w:link w:val="a7"/>
    <w:uiPriority w:val="99"/>
    <w:semiHidden/>
    <w:unhideWhenUsed/>
    <w:rPr>
      <w:color w:val="000000"/>
      <w:sz w:val="20"/>
      <w:szCs w:val="20"/>
    </w:rPr>
  </w:style>
  <w:style w:type="character" w:styleId="a9">
    <w:name w:val="endnote reference"/>
    <w:uiPriority w:val="99"/>
    <w:semiHidden/>
    <w:unhideWhenUsed/>
    <w:rPr>
      <w:color w:val="000000"/>
      <w:vertAlign w:val="superscript"/>
    </w:rPr>
  </w:style>
  <w:style w:type="paragraph" w:styleId="aa">
    <w:name w:val="endnote text"/>
    <w:link w:val="ab"/>
    <w:uiPriority w:val="99"/>
    <w:semiHidden/>
    <w:unhideWhenUsed/>
    <w:rPr>
      <w:color w:val="000000"/>
    </w:rPr>
  </w:style>
  <w:style w:type="character" w:customStyle="1" w:styleId="ab">
    <w:name w:val="尾注文本 字符"/>
    <w:link w:val="aa"/>
    <w:uiPriority w:val="99"/>
    <w:semiHidden/>
    <w:unhideWhenUsed/>
    <w:rPr>
      <w:color w:val="000000"/>
      <w:sz w:val="20"/>
      <w:szCs w:val="20"/>
    </w:rPr>
  </w:style>
  <w:style w:type="paragraph" w:styleId="ac">
    <w:name w:val="header"/>
    <w:basedOn w:val="a"/>
    <w:link w:val="ad"/>
    <w:uiPriority w:val="99"/>
    <w:unhideWhenUsed/>
    <w:rsid w:val="00E34EE9"/>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E34EE9"/>
    <w:rPr>
      <w:sz w:val="18"/>
      <w:szCs w:val="18"/>
    </w:rPr>
  </w:style>
  <w:style w:type="paragraph" w:styleId="ae">
    <w:name w:val="footer"/>
    <w:basedOn w:val="a"/>
    <w:link w:val="af"/>
    <w:uiPriority w:val="99"/>
    <w:unhideWhenUsed/>
    <w:rsid w:val="00E34EE9"/>
    <w:pPr>
      <w:tabs>
        <w:tab w:val="center" w:pos="4153"/>
        <w:tab w:val="right" w:pos="8306"/>
      </w:tabs>
      <w:snapToGrid w:val="0"/>
      <w:jc w:val="left"/>
    </w:pPr>
    <w:rPr>
      <w:sz w:val="18"/>
      <w:szCs w:val="18"/>
    </w:rPr>
  </w:style>
  <w:style w:type="character" w:customStyle="1" w:styleId="af">
    <w:name w:val="页脚 字符"/>
    <w:basedOn w:val="a0"/>
    <w:link w:val="ae"/>
    <w:uiPriority w:val="99"/>
    <w:rsid w:val="00E34EE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1637</Words>
  <Characters>9332</Characters>
  <Application>Microsoft Office Word</Application>
  <DocSecurity>0</DocSecurity>
  <Lines>77</Lines>
  <Paragraphs>21</Paragraphs>
  <ScaleCrop>false</ScaleCrop>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详细设计说明书</dc:title>
  <dc:creator>020202项目组</dc:creator>
  <cp:lastModifiedBy>晓雷 李</cp:lastModifiedBy>
  <cp:revision>3</cp:revision>
  <dcterms:created xsi:type="dcterms:W3CDTF">2026-08-29T14:22:00Z</dcterms:created>
  <dcterms:modified xsi:type="dcterms:W3CDTF">2026-09-06T14:26:00Z</dcterms:modified>
  <dc:subject>某自然博物馆智能运营中心建设项目——应急管理子系统 G3-05</dc:subject>
  <dc:description>SIMULATED_OWNER_CONFIRMATION / SIMULATED_EVIDENCE; not real-site evidence</dc:description>
</cp:coreProperties>
</file>