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5F4992" w14:textId="77777777" w:rsidR="00461786" w:rsidRDefault="00587D90">
      <w:pPr>
        <w:spacing w:after="80"/>
        <w:jc w:val="right"/>
      </w:pPr>
      <w:r>
        <w:rPr>
          <w:rFonts w:ascii="Times New Roman" w:hAnsi="Times New Roman" w:eastAsia="宋体"/>
        </w:rPr>
        <w:t>文档编号：YJGL-G3-09　　版本号：V0.2</w:t>
      </w:r>
    </w:p>
    <w:p w14:paraId="67964EA3" w14:textId="77777777" w:rsidR="00461786" w:rsidRDefault="00587D90">
      <w:pPr>
        <w:spacing w:before="1200" w:after="360"/>
        <w:jc w:val="right"/>
      </w:pPr>
      <w:r>
        <w:rPr>
          <w:rFonts w:ascii="Times New Roman" w:hAnsi="Times New Roman" w:eastAsia="宋体"/>
        </w:rPr>
        <w:t>密　　级：内部 · 教学用</w:t>
      </w:r>
    </w:p>
    <w:p w14:paraId="0C53B2F0" w14:textId="77777777" w:rsidR="00461786" w:rsidRDefault="00461786">
      <w:pPr>
        <w:spacing w:before="2000" w:after="480"/>
        <w:jc w:val="center"/>
      </w:pPr>
    </w:p>
    <w:p w14:paraId="02044E00" w14:textId="77777777" w:rsidR="00461786" w:rsidRDefault="00587D90">
      <w:pPr>
        <w:pBdr>
          <w:bottom w:val="single" w:sz="12" w:space="8" w:color="000000"/>
        </w:pBdr>
        <w:spacing w:before="240" w:after="360"/>
        <w:jc w:val="center"/>
      </w:pPr>
      <w:r>
        <w:rPr>
          <w:rFonts w:ascii="Times New Roman" w:hAnsi="Times New Roman" w:eastAsia="宋体"/>
        </w:rPr>
        <w:t>某自然博物馆智能运营中心建设项目——应急管理子系统</w:t>
      </w:r>
    </w:p>
    <w:p w14:paraId="7A30FAF0" w14:textId="77777777" w:rsidR="00461786" w:rsidRDefault="00587D90">
      <w:pPr>
        <w:spacing w:before="520" w:after="200"/>
        <w:jc w:val="center"/>
      </w:pPr>
      <w:r>
        <w:rPr>
          <w:rFonts w:ascii="Times New Roman" w:hAnsi="Times New Roman" w:eastAsia="宋体"/>
        </w:rPr>
        <w:t>测试计划</w:t>
      </w:r>
    </w:p>
    <w:p w14:paraId="4417B815" w14:textId="77777777" w:rsidR="00461786" w:rsidRDefault="00587D90">
      <w:pPr>
        <w:spacing w:after="80"/>
        <w:jc w:val="center"/>
      </w:pPr>
      <w:r>
        <w:rPr>
          <w:rFonts w:ascii="Times New Roman" w:hAnsi="Times New Roman" w:eastAsia="宋体"/>
        </w:rPr>
        <w:t>（G3-09 评审候选）</w:t>
      </w:r>
    </w:p>
    <w:p w14:paraId="5CFDE7F3" w14:textId="77777777" w:rsidR="00461786" w:rsidRDefault="00461786">
      <w:pPr>
        <w:spacing w:before="1600" w:after="80"/>
        <w:jc w:val="center"/>
      </w:pPr>
    </w:p>
    <w:p w14:paraId="13B84BD1" w14:textId="77777777" w:rsidR="00461786" w:rsidRDefault="00587D90" w:rsidP="003B6320">
      <w:pPr>
        <w:spacing w:after="200"/>
        <w:ind w:leftChars="1276" w:left="2552"/>
        <w:jc w:val="left"/>
      </w:pPr>
      <w:r>
        <w:t>编制单位：020202项目组</w:t>
      </w:r>
    </w:p>
    <w:p w14:paraId="2041520A" w14:textId="77777777" w:rsidR="00461786" w:rsidRDefault="00587D90" w:rsidP="003B6320">
      <w:pPr>
        <w:spacing w:after="200"/>
        <w:ind w:leftChars="1276" w:left="2552"/>
        <w:jc w:val="left"/>
      </w:pPr>
      <w:r>
        <w:t>编　　制：任俊强（需求与测试负责人）</w:t>
      </w:r>
    </w:p>
    <w:p w14:paraId="04F51D8E" w14:textId="77777777" w:rsidR="00461786" w:rsidRDefault="00587D90" w:rsidP="003B6320">
      <w:pPr>
        <w:spacing w:after="200"/>
        <w:ind w:leftChars="1276" w:left="2552"/>
        <w:jc w:val="left"/>
      </w:pPr>
      <w:r>
        <w:rPr>
          <w:rFonts w:ascii="Times New Roman" w:hAnsi="Times New Roman" w:eastAsia="宋体"/>
        </w:rPr>
        <w:t>审　　核：A（OVR-025 单人复核）</w:t>
      </w:r>
    </w:p>
    <w:p w14:paraId="4A7B94D8" w14:textId="77777777" w:rsidR="00461786" w:rsidRDefault="00587D90" w:rsidP="003B6320">
      <w:pPr>
        <w:spacing w:after="200"/>
        <w:ind w:leftChars="1276" w:left="2552"/>
        <w:jc w:val="left"/>
      </w:pPr>
      <w:r>
        <w:t>批　　准：李晓雷　签章日期：2026.09.26</w:t>
      </w:r>
    </w:p>
    <w:p w14:paraId="020A0E85" w14:textId="77777777" w:rsidR="00461786" w:rsidRDefault="00587D90" w:rsidP="003B6320">
      <w:pPr>
        <w:spacing w:before="200" w:after="80"/>
        <w:ind w:leftChars="1276" w:left="2552"/>
        <w:jc w:val="left"/>
      </w:pPr>
      <w:r>
        <w:rPr>
          <w:rFonts w:ascii="Times New Roman" w:hAnsi="Times New Roman" w:eastAsia="宋体"/>
        </w:rPr>
        <w:t>编制日期：2026 年 9 月 19 日</w:t>
      </w:r>
    </w:p>
    <w:p w14:paraId="56DBB4F2" w14:textId="77777777" w:rsidR="00461786" w:rsidRDefault="00587D90">
      <w:r>
        <w:rPr>
          <w:color w:val="000000"/>
        </w:rPr>
        <w:br w:type="page"/>
      </w:r>
    </w:p>
    <w:p w14:paraId="45B97D56" w14:textId="77777777" w:rsidR="00461786" w:rsidRDefault="00587D90">
      <w:pPr>
        <w:spacing w:before="120" w:after="120"/>
        <w:jc w:val="center"/>
      </w:pPr>
      <w:r>
        <w:rPr>
          <w:rFonts w:ascii="Times New Roman" w:hAnsi="Times New Roman" w:eastAsia="宋体"/>
        </w:rPr>
        <w:t>修订记录</w:t>
      </w:r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88"/>
        <w:gridCol w:w="1360"/>
        <w:gridCol w:w="3265"/>
        <w:gridCol w:w="1360"/>
        <w:gridCol w:w="1995"/>
      </w:tblGrid>
      <w:tr w:rsidR="00461786" w14:paraId="61C8C775" w14:textId="77777777" w:rsidTr="003B6320">
        <w:trPr>
          <w:jc w:val="center"/>
          <w:tblHeader w:val="true"/>
        </w:trPr>
        <w:tc>
          <w:tcPr>
            <w:tcW w:w="1088" w:type="dxa"/>
            <w:shd w:val="clear" w:color="auto" w:fill="D9E2EC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5"/>
              </w:rPr>
              <w:t>版本</w:t>
            </w:r>
          </w:p>
        </w:tc>
        <w:tc>
          <w:tcPr>
            <w:tcW w:w="1360" w:type="dxa"/>
            <w:shd w:val="clear" w:color="auto" w:fill="D9E2EC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5"/>
              </w:rPr>
              <w:t>日期</w:t>
            </w:r>
          </w:p>
        </w:tc>
        <w:tc>
          <w:tcPr>
            <w:tcW w:w="3265" w:type="dxa"/>
            <w:shd w:val="clear" w:color="auto" w:fill="D9E2EC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5"/>
              </w:rPr>
              <w:t>修订章节</w:t>
            </w:r>
          </w:p>
        </w:tc>
        <w:tc>
          <w:tcPr>
            <w:tcW w:w="1360" w:type="dxa"/>
            <w:shd w:val="clear" w:color="auto" w:fill="D9E2EC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5"/>
              </w:rPr>
              <w:t>修订说明</w:t>
            </w:r>
          </w:p>
        </w:tc>
        <w:tc>
          <w:tcPr>
            <w:tcW w:w="1995" w:type="dxa"/>
            <w:shd w:val="clear" w:color="auto" w:fill="D9E2EC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5"/>
              </w:rPr>
              <w:t>编制/修订人</w:t>
            </w:r>
          </w:p>
        </w:tc>
      </w:tr>
      <w:tr>
        <w:tc>
          <w:tcPr>
            <w:tcW w:type="dxa" w:w="108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V0.1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2026-09-19</w:t>
            </w:r>
          </w:p>
        </w:tc>
        <w:tc>
          <w:tcPr>
            <w:tcW w:type="dxa" w:w="32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全文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建立 G3-09 测试计划评审候选，锁定 117 个 AC 级测试编号和测试左移门禁。</w:t>
            </w:r>
          </w:p>
        </w:tc>
        <w:tc>
          <w:tcPr>
            <w:tcW w:type="dxa" w:w="199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C</w:t>
            </w:r>
          </w:p>
        </w:tc>
      </w:tr>
      <w:tr>
        <w:tc>
          <w:tcPr>
            <w:tcW w:type="dxa" w:w="108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V0.2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2026-09-19</w:t>
            </w:r>
          </w:p>
        </w:tc>
        <w:tc>
          <w:tcPr>
            <w:tcW w:type="dxa" w:w="32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封面、目录、5、8、10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按 A 审核修正复核主体、目录导航、长表可读性和图 3-1 替代文本。</w:t>
            </w:r>
          </w:p>
        </w:tc>
        <w:tc>
          <w:tcPr>
            <w:tcW w:type="dxa" w:w="199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C</w:t>
            </w:r>
          </w:p>
        </w:tc>
      </w:tr>
    </w:tbl>
    <w:p w14:paraId="3C2D93A5" w14:textId="77777777" w:rsidR="00461786" w:rsidRDefault="00587D90">
      <w:pPr>
        <w:spacing w:before="160" w:after="120"/>
        <w:jc w:val="left"/>
      </w:pPr>
      <w:r>
        <w:rPr>
          <w:rFonts w:ascii="Times New Roman" w:hAnsi="Times New Roman" w:eastAsia="宋体"/>
        </w:rPr>
        <w:t>注：本表只记录可核验版本事件；执行结果将在后续测试报告和 RTM v4 中形成。</w:t>
      </w:r>
    </w:p>
    <w:p w14:paraId="3B85F9BB" w14:textId="434A4DED" w:rsidR="00461786" w:rsidRDefault="00587D90">
      <w:pPr>
        <w:rPr>
          <w:color w:val="000000"/>
        </w:rPr>
      </w:pPr>
      <w:r>
        <w:rPr>
          <w:color w:val="000000"/>
        </w:rPr>
        <w:br w:type="page"/>
      </w:r>
    </w:p>
    <w:p w14:paraId="6A52A23E" w14:textId="77777777" w:rsidR="003B6320" w:rsidRDefault="003B6320">
      <w:pPr>
        <w:sectPr w:rsidR="003B6320" w:rsidSect="003B6320">
          <w:footerReference w:type="default" r:id="rId8"/>
          <w:pgSz w:w="11906" w:h="16838"/>
          <w:pgMar w:top="1440" w:right="1440" w:bottom="1440" w:left="1440" w:header="708" w:footer="708" w:gutter="0"/>
          <w:cols w:space="720"/>
          <w:titlePg/>
          <w:docGrid w:linePitch="360"/>
        </w:sectPr>
      </w:pPr>
    </w:p>
    <w:p>
      <w:pPr>
        <w:pStyle w:val="TOCHeading"/>
        <w:jc w:val="center"/>
      </w:pPr>
      <w:r>
        <w:t>目 录</w:t>
      </w:r>
    </w:p>
    <w:p>
      <w:pPr>
        <w:pStyle w:val="TOC1"/>
        <w:tabs>
          <w:tab w:val="right" w:leader="dot" w:pos="8500"/>
        </w:tabs>
      </w:pPr>
      <w:r>
        <w:t>1 引言</w:t>
      </w:r>
      <w:r>
        <w:tab/>
      </w:r>
      <w:r>
        <w:t>1</w:t>
      </w:r>
    </w:p>
    <w:p>
      <w:pPr>
        <w:pStyle w:val="TOC2"/>
        <w:tabs>
          <w:tab w:val="right" w:leader="dot" w:pos="8500"/>
        </w:tabs>
      </w:pPr>
      <w:r>
        <w:t>1.1 编写目的</w:t>
      </w:r>
      <w:r>
        <w:tab/>
      </w:r>
      <w:r>
        <w:t>1</w:t>
      </w:r>
    </w:p>
    <w:p>
      <w:pPr>
        <w:pStyle w:val="TOC2"/>
        <w:tabs>
          <w:tab w:val="right" w:leader="dot" w:pos="8500"/>
        </w:tabs>
      </w:pPr>
      <w:r>
        <w:t>1.2 测试依据</w:t>
      </w:r>
      <w:r>
        <w:tab/>
      </w:r>
      <w:r>
        <w:t>1</w:t>
      </w:r>
    </w:p>
    <w:p>
      <w:pPr>
        <w:pStyle w:val="TOC2"/>
        <w:tabs>
          <w:tab w:val="right" w:leader="dot" w:pos="8500"/>
        </w:tabs>
      </w:pPr>
      <w:r>
        <w:t>1.3 证据纪律</w:t>
      </w:r>
      <w:r>
        <w:tab/>
      </w:r>
      <w:r>
        <w:t>1</w:t>
      </w:r>
    </w:p>
    <w:p>
      <w:pPr>
        <w:pStyle w:val="TOC1"/>
        <w:tabs>
          <w:tab w:val="right" w:leader="dot" w:pos="8500"/>
        </w:tabs>
      </w:pPr>
      <w:r>
        <w:t>2 测试范围</w:t>
      </w:r>
      <w:r>
        <w:tab/>
      </w:r>
      <w:r>
        <w:t>1</w:t>
      </w:r>
    </w:p>
    <w:p>
      <w:pPr>
        <w:pStyle w:val="TOC2"/>
        <w:tabs>
          <w:tab w:val="right" w:leader="dot" w:pos="8500"/>
        </w:tabs>
      </w:pPr>
      <w:r>
        <w:t>2.1 测试对象与基线</w:t>
      </w:r>
      <w:r>
        <w:tab/>
      </w:r>
      <w:r>
        <w:t>1</w:t>
      </w:r>
    </w:p>
    <w:p>
      <w:pPr>
        <w:pStyle w:val="TOC2"/>
        <w:tabs>
          <w:tab w:val="right" w:leader="dot" w:pos="8500"/>
        </w:tabs>
      </w:pPr>
      <w:r>
        <w:t>2.2 测试级别</w:t>
      </w:r>
      <w:r>
        <w:tab/>
      </w:r>
      <w:r>
        <w:t>1</w:t>
      </w:r>
    </w:p>
    <w:p>
      <w:pPr>
        <w:pStyle w:val="TOC2"/>
        <w:tabs>
          <w:tab w:val="right" w:leader="dot" w:pos="8500"/>
        </w:tabs>
      </w:pPr>
      <w:r>
        <w:t>2.3 覆盖规则</w:t>
      </w:r>
      <w:r>
        <w:tab/>
      </w:r>
      <w:r>
        <w:t>2</w:t>
      </w:r>
    </w:p>
    <w:p>
      <w:pPr>
        <w:pStyle w:val="TOC2"/>
        <w:tabs>
          <w:tab w:val="right" w:leader="dot" w:pos="8500"/>
        </w:tabs>
      </w:pPr>
      <w:r>
        <w:t>2.4 不测与延期范围</w:t>
      </w:r>
      <w:r>
        <w:tab/>
      </w:r>
      <w:r>
        <w:t>2</w:t>
      </w:r>
    </w:p>
    <w:p>
      <w:pPr>
        <w:pStyle w:val="TOC1"/>
        <w:tabs>
          <w:tab w:val="right" w:leader="dot" w:pos="8500"/>
        </w:tabs>
      </w:pPr>
      <w:r>
        <w:t>3 测试策略</w:t>
      </w:r>
      <w:r>
        <w:tab/>
      </w:r>
      <w:r>
        <w:t>2</w:t>
      </w:r>
    </w:p>
    <w:p>
      <w:pPr>
        <w:pStyle w:val="TOC2"/>
        <w:tabs>
          <w:tab w:val="right" w:leader="dot" w:pos="8500"/>
        </w:tabs>
      </w:pPr>
      <w:r>
        <w:t>3.1 测试左移与证据链</w:t>
      </w:r>
      <w:r>
        <w:tab/>
      </w:r>
      <w:r>
        <w:t>2</w:t>
      </w:r>
    </w:p>
    <w:p>
      <w:pPr>
        <w:pStyle w:val="TOC2"/>
        <w:tabs>
          <w:tab w:val="right" w:leader="dot" w:pos="8500"/>
        </w:tabs>
      </w:pPr>
      <w:r>
        <w:t>3.2 分级策略</w:t>
      </w:r>
      <w:r>
        <w:tab/>
      </w:r>
      <w:r>
        <w:t>3</w:t>
      </w:r>
    </w:p>
    <w:p>
      <w:pPr>
        <w:pStyle w:val="TOC2"/>
        <w:tabs>
          <w:tab w:val="right" w:leader="dot" w:pos="8500"/>
        </w:tabs>
      </w:pPr>
      <w:r>
        <w:t>3.3 测试环境与数据</w:t>
      </w:r>
      <w:r>
        <w:tab/>
      </w:r>
      <w:r>
        <w:t>3</w:t>
      </w:r>
    </w:p>
    <w:p>
      <w:pPr>
        <w:pStyle w:val="TOC2"/>
        <w:tabs>
          <w:tab w:val="right" w:leader="dot" w:pos="8500"/>
        </w:tabs>
      </w:pPr>
      <w:r>
        <w:t>3.4 缺陷与回归</w:t>
      </w:r>
      <w:r>
        <w:tab/>
      </w:r>
      <w:r>
        <w:t>3</w:t>
      </w:r>
    </w:p>
    <w:p>
      <w:pPr>
        <w:pStyle w:val="TOC1"/>
        <w:tabs>
          <w:tab w:val="right" w:leader="dot" w:pos="8500"/>
        </w:tabs>
      </w:pPr>
      <w:r>
        <w:t>4 准入与准出</w:t>
      </w:r>
      <w:r>
        <w:tab/>
      </w:r>
      <w:r>
        <w:t>3</w:t>
      </w:r>
    </w:p>
    <w:p>
      <w:pPr>
        <w:pStyle w:val="TOC1"/>
        <w:tabs>
          <w:tab w:val="right" w:leader="dot" w:pos="8500"/>
        </w:tabs>
      </w:pPr>
      <w:r>
        <w:t>5 进度、角色与交付</w:t>
      </w:r>
      <w:r>
        <w:tab/>
      </w:r>
      <w:r>
        <w:t>4</w:t>
      </w:r>
    </w:p>
    <w:p>
      <w:pPr>
        <w:pStyle w:val="TOC2"/>
        <w:tabs>
          <w:tab w:val="right" w:leader="dot" w:pos="8500"/>
        </w:tabs>
      </w:pPr>
      <w:r>
        <w:t>5.1 进度安排</w:t>
      </w:r>
      <w:r>
        <w:tab/>
      </w:r>
      <w:r>
        <w:t>4</w:t>
      </w:r>
    </w:p>
    <w:p>
      <w:pPr>
        <w:pStyle w:val="TOC2"/>
        <w:tabs>
          <w:tab w:val="right" w:leader="dot" w:pos="8500"/>
        </w:tabs>
      </w:pPr>
      <w:r>
        <w:t>5.2 角色分工</w:t>
      </w:r>
      <w:r>
        <w:tab/>
      </w:r>
      <w:r>
        <w:t>4</w:t>
      </w:r>
    </w:p>
    <w:p>
      <w:pPr>
        <w:pStyle w:val="TOC1"/>
        <w:tabs>
          <w:tab w:val="right" w:leader="dot" w:pos="8500"/>
        </w:tabs>
      </w:pPr>
      <w:r>
        <w:t>6 P0 场景与外部联动</w:t>
      </w:r>
      <w:r>
        <w:tab/>
      </w:r>
      <w:r>
        <w:t>4</w:t>
      </w:r>
    </w:p>
    <w:p>
      <w:pPr>
        <w:pStyle w:val="TOC1"/>
        <w:tabs>
          <w:tab w:val="right" w:leader="dot" w:pos="8500"/>
        </w:tabs>
      </w:pPr>
      <w:r>
        <w:t>7 非功能与关键数字验证</w:t>
      </w:r>
      <w:r>
        <w:tab/>
      </w:r>
      <w:r>
        <w:t>5</w:t>
      </w:r>
    </w:p>
    <w:p>
      <w:pPr>
        <w:pStyle w:val="TOC1"/>
        <w:tabs>
          <w:tab w:val="right" w:leader="dot" w:pos="8500"/>
        </w:tabs>
      </w:pPr>
      <w:r>
        <w:t>8 117 个 AC 级测试设计索引</w:t>
      </w:r>
      <w:r>
        <w:tab/>
      </w:r>
      <w:r>
        <w:t>5</w:t>
      </w:r>
    </w:p>
    <w:p>
      <w:pPr>
        <w:pStyle w:val="TOC1"/>
        <w:tabs>
          <w:tab w:val="right" w:leader="dot" w:pos="8500"/>
        </w:tabs>
      </w:pPr>
      <w:r>
        <w:t>9 风险与应对</w:t>
      </w:r>
      <w:r>
        <w:tab/>
      </w:r>
      <w:r>
        <w:t>7</w:t>
      </w:r>
    </w:p>
    <w:p>
      <w:pPr>
        <w:pStyle w:val="TOC1"/>
        <w:tabs>
          <w:tab w:val="right" w:leader="dot" w:pos="8500"/>
        </w:tabs>
      </w:pPr>
      <w:r>
        <w:t>10 配置、报告与准出结论</w:t>
      </w:r>
      <w:r>
        <w:tab/>
      </w:r>
      <w:r>
        <w:t>8</w:t>
      </w:r>
    </w:p>
    <w:p>
      <w:pPr>
        <w:pStyle w:val="TOC1"/>
        <w:tabs>
          <w:tab w:val="right" w:leader="dot" w:pos="8500"/>
        </w:tabs>
      </w:pPr>
      <w:r>
        <w:t>附录 A 证据包最小字段</w:t>
      </w:r>
      <w:r>
        <w:tab/>
      </w:r>
      <w:r>
        <w:t>8</w:t>
      </w:r>
    </w:p>
    <w:p w14:paraId="4EE021BF" w14:textId="77777777" w:rsidR="003B6320" w:rsidRDefault="003B6320">
      <w:pPr>
        <w:sectPr w:rsidR="003B6320" w:rsidSect="003B6320">
          <w:pgSz w:w="11906" w:h="16838"/>
          <w:pgMar w:top="1440" w:right="1440" w:bottom="1440" w:left="1440" w:header="708" w:footer="708" w:gutter="0"/>
          <w:pgNumType w:fmt="upperRoman" w:start="1"/>
          <w:cols w:space="720"/>
          <w:docGrid w:linePitch="360"/>
        </w:sectPr>
      </w:pPr>
    </w:p>
    <w:p w14:paraId="149C4F72" w14:textId="3EF818E7" w:rsidR="003B6320" w:rsidRDefault="003B6320"/>
    <w:p>
      <w:pPr>
        <w:pStyle w:val="1"/>
        <w:keepNext/>
      </w:pPr>
      <w:r>
        <w:rPr>
          <w:rFonts w:ascii="Times New Roman" w:hAnsi="Times New Roman" w:eastAsia="黑体"/>
          <w:b/>
        </w:rPr>
        <w:t>1 引言</w:t>
      </w:r>
    </w:p>
    <w:p>
      <w:pPr>
        <w:pStyle w:val="2"/>
        <w:keepNext/>
      </w:pPr>
      <w:r>
        <w:rPr>
          <w:rFonts w:ascii="Times New Roman" w:hAnsi="Times New Roman" w:eastAsia="黑体"/>
          <w:b/>
        </w:rPr>
        <w:t>1.1 编写目的</w:t>
      </w:r>
    </w:p>
    <w:p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本计划在设计完成时锁定测试范围、级别、策略、进度、准入准出、环境和证据口径，使 39 条 FR、34 条★、117 条 AC 以及 PE/NFR/接口边界可在后续实现阶段直接转化为可重复测试。G3-09 只形成测试计划和用例设计，不把尚未执行的测试预填为通过。</w:t>
      </w:r>
    </w:p>
    <w:p>
      <w:pPr>
        <w:pStyle w:val="2"/>
        <w:keepNext/>
      </w:pPr>
      <w:r>
        <w:rPr>
          <w:rFonts w:ascii="Times New Roman" w:hAnsi="Times New Roman" w:eastAsia="黑体"/>
          <w:b/>
        </w:rPr>
        <w:t>1.2 测试依据</w:t>
      </w:r>
    </w:p>
    <w:p>
      <w:pPr>
        <w:pStyle w:val="a4"/>
        <w:spacing w:after="100" w:line="300" w:lineRule="auto"/>
      </w:pPr>
      <w:r>
        <w:rPr>
          <w:rFonts w:ascii="Times New Roman" w:hAnsi="Times New Roman" w:eastAsia="宋体"/>
          <w:sz w:val="21"/>
        </w:rPr>
        <w:t>docs/work/B_TECH/spec.md：39 条 FR、117 条 Given/When/Then AC 与 G2-RCLR-001—010。</w:t>
      </w:r>
    </w:p>
    <w:p>
      <w:pPr>
        <w:pStyle w:val="a4"/>
        <w:spacing w:after="100" w:line="300" w:lineRule="auto"/>
      </w:pPr>
      <w:r>
        <w:rPr>
          <w:rFonts w:ascii="Times New Roman" w:hAnsi="Times New Roman" w:eastAsia="宋体"/>
          <w:sz w:val="21"/>
        </w:rPr>
        <w:t>docs/work/C_REQ/rtm_v1.md：FR—AC—ARCH/DLD/DBD/API—测试占位双向追踪。</w:t>
      </w:r>
    </w:p>
    <w:p>
      <w:pPr>
        <w:pStyle w:val="a4"/>
        <w:spacing w:after="100" w:line="300" w:lineRule="auto"/>
      </w:pPr>
      <w:r>
        <w:rPr>
          <w:rFonts w:ascii="Times New Roman" w:hAnsi="Times New Roman" w:eastAsia="宋体"/>
          <w:sz w:val="21"/>
        </w:rPr>
        <w:t>G3-03—G3-07：概要、详细、数据库、接口/OpenAPI、ADR 与非功能设计。</w:t>
      </w:r>
    </w:p>
    <w:p>
      <w:pPr>
        <w:pStyle w:val="a4"/>
        <w:spacing w:after="100" w:line="300" w:lineRule="auto"/>
      </w:pPr>
      <w:r>
        <w:rPr>
          <w:rFonts w:ascii="Times New Roman" w:hAnsi="Times New Roman" w:eastAsia="宋体"/>
          <w:sz w:val="21"/>
        </w:rPr>
        <w:t>control/facts.md、control/key_numbers.md、control/issues.md：事实、数字、责任边界和开放阻断。</w:t>
      </w:r>
    </w:p>
    <w:p>
      <w:pPr>
        <w:pStyle w:val="a4"/>
        <w:spacing w:after="100" w:line="300" w:lineRule="auto"/>
      </w:pPr>
      <w:r>
        <w:rPr>
          <w:rFonts w:ascii="Times New Roman" w:hAnsi="Times New Roman" w:eastAsia="宋体"/>
          <w:sz w:val="21"/>
        </w:rPr>
        <w:t>GB/T 15532-2008：测试级别、计划、用例、执行、缺陷与结果记录组织依据。</w:t>
      </w:r>
    </w:p>
    <w:p>
      <w:pPr>
        <w:pStyle w:val="a4"/>
        <w:spacing w:after="100" w:line="300" w:lineRule="auto"/>
      </w:pPr>
      <w:r>
        <w:rPr>
          <w:rFonts w:ascii="Times New Roman" w:hAnsi="Times New Roman" w:eastAsia="宋体"/>
          <w:sz w:val="21"/>
        </w:rPr>
        <w:t>GB/T 25000.10 质量特性映射：性能效率、可靠性、安全性、兼容性、易用性、可维护性和可移植性测试分类依据。</w:t>
      </w:r>
    </w:p>
    <w:p>
      <w:pPr>
        <w:pStyle w:val="2"/>
        <w:keepNext/>
      </w:pPr>
      <w:r>
        <w:rPr>
          <w:rFonts w:ascii="Times New Roman" w:hAnsi="Times New Roman" w:eastAsia="黑体"/>
          <w:b/>
        </w:rPr>
        <w:t>1.3 证据纪律</w:t>
      </w:r>
    </w:p>
    <w:p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每次执行必须记录版本、环境、数据集、脚本或步骤、起止时间、操作者、原始结果、缺陷号和结论。Mock、桩、静态扫描、文档检查和渲染 QA 只能证明其对应层级，不得替代真实接口、目标环境性能、安全、恢复或验收证据。ISSUE-G3-01-001 保持 OPEN，视频和统一消息通道的真实字段、认证、回执与连通结论不得预填。</w:t>
      </w:r>
    </w:p>
    <w:p>
      <w:pPr>
        <w:pStyle w:val="1"/>
        <w:keepNext/>
      </w:pPr>
      <w:r>
        <w:rPr>
          <w:rFonts w:ascii="Times New Roman" w:hAnsi="Times New Roman" w:eastAsia="黑体"/>
          <w:b/>
        </w:rPr>
        <w:t>2 测试范围</w:t>
      </w:r>
    </w:p>
    <w:p>
      <w:pPr>
        <w:pStyle w:val="2"/>
        <w:keepNext/>
      </w:pPr>
      <w:r>
        <w:rPr>
          <w:rFonts w:ascii="Times New Roman" w:hAnsi="Times New Roman" w:eastAsia="黑体"/>
          <w:b/>
        </w:rPr>
        <w:t>2.1 测试对象与基线</w:t>
      </w:r>
    </w:p>
    <w:p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表 2-1 测试对象与基线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27"/>
        <w:gridCol w:w="2433"/>
        <w:gridCol w:w="2765"/>
        <w:gridCol w:w="2544"/>
      </w:tblGrid>
      <w:tr>
        <w:trPr>
          <w:tblHeader w:val="true"/>
        </w:trP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测试对象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受控规模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主要依据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本计划状态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功能需求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39 FR、117 AC、34★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spec、SRS、RTM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117 个 AC 级测试设计已编号，待实现/执行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设计与数据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39 DLD-TR、39 DBD-TR、39 API-TR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11—15 号交付物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设计可追踪，代码与数据库未实现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接口契约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OpenAPI 57 项操作、8 个外部端口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14、15 号交付物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静态契约可检查，真实联调待环境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非功能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PE-01—12、容量/可靠性/安全/兼容/易用/维护/移植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18 号交付物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方法与证据口径已定义，结果待测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澄清裁决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G2-RCLR-001—010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spec §3.6、RTM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纳入相关 AC 的正例、反例和异常场景</w:t>
            </w:r>
          </w:p>
        </w:tc>
      </w:tr>
    </w:tbl>
    <w:p>
      <w:pPr>
        <w:pStyle w:val="2"/>
        <w:keepNext/>
      </w:pPr>
      <w:r>
        <w:rPr>
          <w:rFonts w:ascii="Times New Roman" w:hAnsi="Times New Roman" w:eastAsia="黑体"/>
          <w:b/>
        </w:rPr>
        <w:t>2.2 测试级别</w:t>
      </w:r>
    </w:p>
    <w:p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表 2-2 测试级别、责任与目标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27"/>
        <w:gridCol w:w="2433"/>
        <w:gridCol w:w="2765"/>
        <w:gridCol w:w="2544"/>
      </w:tblGrid>
      <w:tr>
        <w:trPr>
          <w:tblHeader w:val="true"/>
        </w:trP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级别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目标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主要范围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主责 / 复核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单元测试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验证状态机、校验、幂等、权限和计算规则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领域服务、规则、值对象、映射器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B / A、C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组件与集成测试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验证模块、数据库、Outbox、文件和外部适配器协作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MOD-*、DBD-TR、DLD-TR、EXT-*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B / C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契约测试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阻断 OpenAPI、错误码和事件结构漂移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57 项操作、API-TR-001—039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B / A、C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系统测试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按业务角色执行 39 FR/117 AC 端到端场景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Web、H5、应用服务、数据与地图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C / A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专项测试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验证性能、可靠性、安全、兼容、易用、恢复和部署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PE/NFR/ENG 与关键数字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C 组织，B 技术支持，A 协调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验收支持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整理可由甲方复核的测试包和偏差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★、关键数字、外部接口、交付物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A 组织，B/C 支持</w:t>
            </w:r>
          </w:p>
        </w:tc>
      </w:tr>
    </w:tbl>
    <w:p>
      <w:pPr>
        <w:pStyle w:val="2"/>
        <w:keepNext/>
      </w:pPr>
      <w:r>
        <w:rPr>
          <w:rFonts w:ascii="Times New Roman" w:hAnsi="Times New Roman" w:eastAsia="黑体"/>
          <w:b/>
        </w:rPr>
        <w:t>2.3 覆盖规则</w:t>
      </w:r>
    </w:p>
    <w:p>
      <w:pPr>
        <w:pStyle w:val="a4"/>
        <w:spacing w:after="100" w:line="300" w:lineRule="auto"/>
      </w:pPr>
      <w:r>
        <w:rPr>
          <w:rFonts w:ascii="Times New Roman" w:hAnsi="Times New Roman" w:eastAsia="宋体"/>
          <w:sz w:val="21"/>
        </w:rPr>
        <w:t>1. 每条 AC 对应一个稳定测试编号 TC-G2-FR-nnn-xx，共 117 个；一个设计用例可由多条自动化函数或人工步骤实现。</w:t>
      </w:r>
    </w:p>
    <w:p>
      <w:pPr>
        <w:pStyle w:val="a4"/>
        <w:spacing w:after="100" w:line="300" w:lineRule="auto"/>
      </w:pPr>
      <w:r>
        <w:rPr>
          <w:rFonts w:ascii="Times New Roman" w:hAnsi="Times New Roman" w:eastAsia="宋体"/>
          <w:sz w:val="21"/>
        </w:rPr>
        <w:t>2. 34 条★的 102 个 AC 必须全部执行并通过；任何失败或缺证据均阻断发布候选。</w:t>
      </w:r>
    </w:p>
    <w:p>
      <w:pPr>
        <w:pStyle w:val="a4"/>
        <w:spacing w:after="100" w:line="300" w:lineRule="auto"/>
      </w:pPr>
      <w:r>
        <w:rPr>
          <w:rFonts w:ascii="Times New Roman" w:hAnsi="Times New Roman" w:eastAsia="宋体"/>
          <w:sz w:val="21"/>
        </w:rPr>
        <w:t>3. 每条 FR 至少覆盖正常路径和权限、边界或失败路径；性能型 AC 必须记录环境、数据规模、分位值、错误率和资源使用。</w:t>
      </w:r>
    </w:p>
    <w:p>
      <w:pPr>
        <w:pStyle w:val="a4"/>
        <w:spacing w:after="100" w:line="300" w:lineRule="auto"/>
      </w:pPr>
      <w:r>
        <w:rPr>
          <w:rFonts w:ascii="Times New Roman" w:hAnsi="Times New Roman" w:eastAsia="宋体"/>
          <w:sz w:val="21"/>
        </w:rPr>
        <w:t>4. 每条测试必须反向回指 AC、设计 ID、执行结果和缺陷；无需求来源的孤儿用例不得纳入覆盖率。</w:t>
      </w:r>
    </w:p>
    <w:p>
      <w:pPr>
        <w:pStyle w:val="a4"/>
        <w:spacing w:after="100" w:line="300" w:lineRule="auto"/>
      </w:pPr>
      <w:r>
        <w:rPr>
          <w:rFonts w:ascii="Times New Roman" w:hAnsi="Times New Roman" w:eastAsia="宋体"/>
          <w:sz w:val="21"/>
        </w:rPr>
        <w:t>5. 核心单元测试覆盖率目标为 ≥70%，39 FR 功能覆盖与验收用例通过率目标为 100%；这些均是后续执行门禁，不是 G3-09 已测结论。</w:t>
      </w:r>
    </w:p>
    <w:p>
      <w:pPr>
        <w:pStyle w:val="2"/>
        <w:keepNext/>
      </w:pPr>
      <w:r>
        <w:rPr>
          <w:rFonts w:ascii="Times New Roman" w:hAnsi="Times New Roman" w:eastAsia="黑体"/>
          <w:b/>
        </w:rPr>
        <w:t>2.4 不测与延期范围</w:t>
      </w:r>
    </w:p>
    <w:p>
      <w:pPr>
        <w:pStyle w:val="a4"/>
        <w:spacing w:after="100" w:line="300" w:lineRule="auto"/>
      </w:pPr>
      <w:r>
        <w:rPr>
          <w:rFonts w:ascii="Times New Roman" w:hAnsi="Times New Roman" w:eastAsia="宋体"/>
          <w:sz w:val="21"/>
        </w:rPr>
        <w:t>不验证甲方既有视频系统的录像存储实现，只验证本项目接口调阅、回放及甲方提供的 ≥30 天保存证据。</w:t>
      </w:r>
    </w:p>
    <w:p>
      <w:pPr>
        <w:pStyle w:val="a4"/>
        <w:spacing w:after="100" w:line="300" w:lineRule="auto"/>
      </w:pPr>
      <w:r>
        <w:rPr>
          <w:rFonts w:ascii="Times New Roman" w:hAnsi="Times New Roman" w:eastAsia="宋体"/>
          <w:sz w:val="21"/>
        </w:rPr>
        <w:t>不重新测绘、不制作三维模型，不测试宿主 APP 原生功能；只测试甲方服务加载、叠加和 H5 嵌入适配。</w:t>
      </w:r>
    </w:p>
    <w:p>
      <w:pPr>
        <w:pStyle w:val="a4"/>
        <w:spacing w:after="100" w:line="300" w:lineRule="auto"/>
      </w:pPr>
      <w:r>
        <w:rPr>
          <w:rFonts w:ascii="Times New Roman" w:hAnsi="Times New Roman" w:eastAsia="宋体"/>
          <w:sz w:val="21"/>
        </w:rPr>
        <w:t>不把第三方中台、定位、门禁、消防、入侵和物联网内部实现纳入白盒测试，只验证适配契约、授权边界、错误、降级和审计。</w:t>
      </w:r>
    </w:p>
    <w:p>
      <w:pPr>
        <w:pStyle w:val="a4"/>
        <w:spacing w:after="100" w:line="300" w:lineRule="auto"/>
      </w:pPr>
      <w:r>
        <w:rPr>
          <w:rFonts w:ascii="Times New Roman" w:hAnsi="Times New Roman" w:eastAsia="宋体"/>
          <w:sz w:val="21"/>
        </w:rPr>
        <w:t>ISSUE-G3-01-001 关闭前，PE-04、PE-06 以及视频/消息真实联调只能保持 BLOCKED/PENDING，不能用桩测结果替代。</w:t>
      </w:r>
    </w:p>
    <w:p>
      <w:pPr>
        <w:pStyle w:val="1"/>
        <w:keepNext/>
      </w:pPr>
      <w:r>
        <w:rPr>
          <w:rFonts w:ascii="Times New Roman" w:hAnsi="Times New Roman" w:eastAsia="黑体"/>
          <w:b/>
        </w:rPr>
        <w:t>3 测试策略</w:t>
      </w:r>
    </w:p>
    <w:p>
      <w:pPr>
        <w:pStyle w:val="2"/>
        <w:keepNext/>
      </w:pPr>
      <w:r>
        <w:rPr>
          <w:rFonts w:ascii="Times New Roman" w:hAnsi="Times New Roman" w:eastAsia="黑体"/>
          <w:b/>
        </w:rPr>
        <w:t>3.1 测试左移与证据链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72000" cy="2052000"/>
            <wp:docPr id="1" name="Picture 1" title="图 3-1 四级测试与验收证据链" descr="展示单元测试、集成测试、系统测试到验收测试的四级证据递进关系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-图9-2-四级测试与验收证据链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05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图 3-1 四级测试与验收证据链</w:t>
      </w:r>
    </w:p>
    <w:p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设计评审即检查 AC 的可测试性、设计 ID 落点和失败语义；开发时先建立可失败的单元、契约或集成断言；系统测试按 RTM 运行端到端场景；验收阶段只接收具有版本、环境、原始结果和缺陷闭环的证据。</w:t>
      </w:r>
    </w:p>
    <w:p>
      <w:pPr>
        <w:pStyle w:val="2"/>
        <w:keepNext/>
      </w:pPr>
      <w:r>
        <w:rPr>
          <w:rFonts w:ascii="Times New Roman" w:hAnsi="Times New Roman" w:eastAsia="黑体"/>
          <w:b/>
        </w:rPr>
        <w:t>3.2 分级策略</w:t>
      </w:r>
    </w:p>
    <w:p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表 3-1 测试策略与执行规则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27"/>
        <w:gridCol w:w="2433"/>
        <w:gridCol w:w="2765"/>
        <w:gridCol w:w="2544"/>
      </w:tblGrid>
      <w:tr>
        <w:trPr>
          <w:tblHeader w:val="true"/>
        </w:trP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策略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执行方法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证据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失败处置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单元与属性测试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对状态转移、幂等键、时限、权限和统计规则覆盖正常、边界、非法输入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测试日志、覆盖率、断言明细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阻断合并，修复后回归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契约测试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解析 OpenAPI，校验 schema、必填字段、错误码、traceId、版本兼容和破坏性差异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校验报告、契约快照、差异报告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破坏性变更进入 Change/ADR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数据与迁移测试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在空库、升级库和回滚路径执行迁移，核对约束、索引、审计和引用完整性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迁移日志、校验 SQL、摘要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阻断部署候选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集成与故障注入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对 8 个 EXT 端口覆盖成功、无权、超时、断连、重复和未知载荷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请求响应/回执、适配器日志、告警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进入重试、降级或人工处置并建缺陷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系统与回归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按角色从 Web/H5 执行 117 个 AC 级场景，变更影响集纳入回归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截图/录像索引、业务记录、审计、结果表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失败 AC 标红并阻断准出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性能与容量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采用受控数据、预热、重复轮次，记录 P50/P95/P99、吞吐、错误率、CPU/内存/连接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脚本、原始数据、资源曲线、报告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未达指标不得以平均值掩盖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安全测试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执行 SCA、漏洞扫描、鉴权、越权、输入、导出、日志脱敏和高危复测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扫描报告、请求证据、复测记录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高危未清零禁止发布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恢复与兼容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演练进程/数据库/适配器故障和备份恢复；按甲方确认矩阵测试浏览器/H5 宿主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演练记录、恢复摘要、兼容矩阵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恢复失败或矩阵未确认不得准出对应项</w:t>
            </w:r>
          </w:p>
        </w:tc>
      </w:tr>
    </w:tbl>
    <w:p>
      <w:pPr>
        <w:pStyle w:val="2"/>
        <w:keepNext/>
      </w:pPr>
      <w:r>
        <w:rPr>
          <w:rFonts w:ascii="Times New Roman" w:hAnsi="Times New Roman" w:eastAsia="黑体"/>
          <w:b/>
        </w:rPr>
        <w:t>3.3 测试环境与数据</w:t>
      </w:r>
    </w:p>
    <w:p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表 3-2 环境、数据与隔离规则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27"/>
        <w:gridCol w:w="2433"/>
        <w:gridCol w:w="2765"/>
        <w:gridCol w:w="2544"/>
      </w:tblGrid>
      <w:tr>
        <w:trPr>
          <w:tblHeader w:val="true"/>
        </w:trP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环境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用途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数据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约束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CI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单元、静态检查、OpenAPI 和迁移检查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合成最小数据、桩外部端口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不产生真实联调或性能结论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集成环境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数据库、Outbox、模块和适配器故障注入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可重复生成的脱敏/合成数据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每次执行固定版本和初始化脚本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系统测试环境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117 AC、Web/H5、地图和业务闭环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受控角色、事件、任务、站点、物资、打卡与演练数据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与目标配置差异必须记录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目标/验收环境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PE、外部联调、兼容和验收支持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甲方确认的数据与账号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账号、窗口、接口版本和合法数据权由甲方提供/协调</w:t>
            </w:r>
          </w:p>
        </w:tc>
      </w:tr>
    </w:tbl>
    <w:p>
      <w:pPr>
        <w:pStyle w:val="2"/>
        <w:keepNext/>
      </w:pPr>
      <w:r>
        <w:rPr>
          <w:rFonts w:ascii="Times New Roman" w:hAnsi="Times New Roman" w:eastAsia="黑体"/>
          <w:b/>
        </w:rPr>
        <w:t>3.4 缺陷与回归</w:t>
      </w:r>
    </w:p>
    <w:p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缺陷至少记录严重度、影响 AC/设计 ID、环境、步骤、期望、实际、证据、责任人、修复版本和复测结论。致命或严重缺陷、★失败、RTM 断链、高危安全问题、恢复失败均阻断候选；修复必须回归直接 AC、同模块关联 AC 和受影响契约。</w:t>
      </w:r>
    </w:p>
    <w:p>
      <w:pPr>
        <w:pStyle w:val="1"/>
        <w:keepNext/>
      </w:pPr>
      <w:r>
        <w:rPr>
          <w:rFonts w:ascii="Times New Roman" w:hAnsi="Times New Roman" w:eastAsia="黑体"/>
          <w:b/>
        </w:rPr>
        <w:t>4 准入与准出</w:t>
      </w:r>
    </w:p>
    <w:p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表 4-1 分级准入与准出门禁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27"/>
        <w:gridCol w:w="2433"/>
        <w:gridCol w:w="2765"/>
        <w:gridCol w:w="2544"/>
      </w:tblGrid>
      <w:tr>
        <w:trPr>
          <w:tblHeader w:val="true"/>
        </w:trP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阶段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准入条件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准出条件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阻断项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设计测试准备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G3-03—08 DONE，117 AC 可追踪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测试计划 REVIEW，TC 编号无缺失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AC/设计断链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单元/契约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代码、迁移、OpenAPI 有版本；测试可重复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用例全绿，核心覆盖率≥70%，OpenAPI 零 schema error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核心失败、契约破坏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集成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单元/契约准出，依赖版本和桩口径明确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跨模块链路全绿，重试/降级/审计可观察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数据不一致、不可恢复副作用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系统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候选可部署，39 FR/117 AC 数据就绪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117 AC 100% 有结果；34★全部通过；致命/严重缺陷清零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缺证据、★失败、严重缺陷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专项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主链路稳定，环境/规模/矩阵已确认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PE/NFR 逐项有原始证据；安全高危清零；恢复演练通过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环境不等价、指标失败、高危、恢复失败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验收支持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系统与专项准出，文档/RTM/缺陷一致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甲方签认或明确遗留与偏差，不静默豁免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ISSUE-G3-01-001 未按真实证据或书面裁决关闭</w:t>
            </w:r>
          </w:p>
        </w:tc>
      </w:tr>
    </w:tbl>
    <w:p>
      <w:pPr>
        <w:pStyle w:val="1"/>
        <w:keepNext/>
      </w:pPr>
      <w:r>
        <w:rPr>
          <w:rFonts w:ascii="Times New Roman" w:hAnsi="Times New Roman" w:eastAsia="黑体"/>
          <w:b/>
        </w:rPr>
        <w:t>5 进度、角色与交付</w:t>
      </w:r>
    </w:p>
    <w:p>
      <w:pPr>
        <w:pStyle w:val="2"/>
        <w:keepNext/>
      </w:pPr>
      <w:r>
        <w:rPr>
          <w:rFonts w:ascii="Times New Roman" w:hAnsi="Times New Roman" w:eastAsia="黑体"/>
          <w:b/>
        </w:rPr>
        <w:t>5.1 进度安排</w:t>
      </w:r>
    </w:p>
    <w:p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表 5-1 测试活动进度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27"/>
        <w:gridCol w:w="2433"/>
        <w:gridCol w:w="2765"/>
        <w:gridCol w:w="2544"/>
      </w:tblGrid>
      <w:tr>
        <w:trPr>
          <w:tblHeader w:val="true"/>
        </w:trP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活动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工作日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主责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产出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计划、TC 编号与门禁冻结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D7—D8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C，A 单人复核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本计划、RTM 测试挂接候选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单元、契约和迁移测试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D9—D15 随开发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B/功能实现人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CI、覆盖率、契约和迁移报告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集成与系统测试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D15—D16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C 组织，B 支持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117 AC 结果、接口与数据证据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性能、安全、兼容与恢复专项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D16—D17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C 组织，A/B 支持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专项报告、扫描和演练记录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回归、缺陷收口与验收包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D17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全组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回归结果、缺陷看板、RTM v4 候选</w:t>
            </w:r>
          </w:p>
        </w:tc>
      </w:tr>
    </w:tbl>
    <w:p>
      <w:pPr>
        <w:pStyle w:val="2"/>
        <w:keepNext/>
      </w:pPr>
      <w:r>
        <w:rPr>
          <w:rFonts w:ascii="Times New Roman" w:hAnsi="Times New Roman" w:eastAsia="黑体"/>
          <w:b/>
        </w:rPr>
        <w:t>5.2 角色分工</w:t>
      </w:r>
    </w:p>
    <w:p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表 5-2 测试职责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12"/>
        <w:gridCol w:w="3024"/>
        <w:gridCol w:w="4536"/>
      </w:tblGrid>
      <w:tr>
        <w:trPr>
          <w:tblHeader w:val="true"/>
        </w:trP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角色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职责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不得替代的复核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C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维护计划、TC/RTM、测试数据、执行组织、结果与符合性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A 对 G3-09 准出与计划一致性的单人复核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B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提供环境、脚本、桩、可观测性，支持性能/接口/恢复并修复缺陷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本轮提供技术支持，不作为 G3-09 复核人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A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协调版本、窗口、资源、评审和验收包，裁定计划偏差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按 OVR-025 独立完成 G3-09 正式复核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甲方/教师模拟角色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提供或确认外部环境、账号、数据、兼容矩阵和验收窗口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乙方不能代造其真实环境证据</w:t>
            </w:r>
          </w:p>
        </w:tc>
      </w:tr>
    </w:tbl>
    <w:p>
      <w:pPr>
        <w:pStyle w:val="1"/>
        <w:keepNext/>
      </w:pPr>
      <w:r>
        <w:rPr>
          <w:rFonts w:ascii="Times New Roman" w:hAnsi="Times New Roman" w:eastAsia="黑体"/>
          <w:b/>
        </w:rPr>
        <w:t>6 P0 场景与外部联动</w:t>
      </w:r>
    </w:p>
    <w:p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表 6-1 P0 场景设计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88"/>
        <w:gridCol w:w="1360"/>
        <w:gridCol w:w="3265"/>
        <w:gridCol w:w="1360"/>
        <w:gridCol w:w="1995"/>
      </w:tblGrid>
      <w:tr>
        <w:trPr>
          <w:tblHeader w:val="true"/>
        </w:trPr>
        <w:tc>
          <w:tcPr>
            <w:tcW w:type="dxa" w:w="108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5"/>
              </w:rPr>
              <w:t>场景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5"/>
              </w:rPr>
              <w:t>正常路径</w:t>
            </w:r>
          </w:p>
        </w:tc>
        <w:tc>
          <w:tcPr>
            <w:tcW w:type="dxa" w:w="32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5"/>
              </w:rPr>
              <w:t>无权/非法路径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5"/>
              </w:rPr>
              <w:t>超时/失败路径</w:t>
            </w:r>
          </w:p>
        </w:tc>
        <w:tc>
          <w:tcPr>
            <w:tcW w:type="dxa" w:w="199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5"/>
              </w:rPr>
              <w:t>主要证据</w:t>
            </w:r>
          </w:p>
        </w:tc>
      </w:tr>
      <w:tr>
        <w:tc>
          <w:tcPr>
            <w:tcW w:type="dxa" w:w="108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P0-01 事件核实至任务下达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核实、启动预案、创建任务和通知</w:t>
            </w:r>
          </w:p>
        </w:tc>
        <w:tc>
          <w:tcPr>
            <w:tcW w:type="dxa" w:w="32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无启动权限被拒绝并审计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Outbox/消息失败进入重试或人工处置</w:t>
            </w:r>
          </w:p>
        </w:tc>
        <w:tc>
          <w:tcPr>
            <w:tcW w:type="dxa" w:w="199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同一 eventId/traceId、状态与时间戳</w:t>
            </w:r>
          </w:p>
        </w:tc>
      </w:tr>
      <w:tr>
        <w:tc>
          <w:tcPr>
            <w:tcW w:type="dxa" w:w="108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P0-02 消息可靠推送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正常验收通道 ≥20 路且到达率 ≥99%</w:t>
            </w:r>
          </w:p>
        </w:tc>
        <w:tc>
          <w:tcPr>
            <w:tcW w:type="dxa" w:w="32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非授权对象不下发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超时、迟到和重复回执幂等，失败转人工</w:t>
            </w:r>
          </w:p>
        </w:tc>
        <w:tc>
          <w:tcPr>
            <w:tcW w:type="dxa" w:w="199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请求、尝试、回执、终态统计</w:t>
            </w:r>
          </w:p>
        </w:tc>
      </w:tr>
      <w:tr>
        <w:tc>
          <w:tcPr>
            <w:tcW w:type="dxa" w:w="108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P0-03 KN-064 四系统联动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视频、信息发布、物联网、中台沿同一事件链完成调用</w:t>
            </w:r>
          </w:p>
        </w:tc>
        <w:tc>
          <w:tcPr>
            <w:tcW w:type="dxa" w:w="32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无权视频/发布/中台访问分别拒绝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任一系统超时/失败均隔离、告警、降级</w:t>
            </w:r>
          </w:p>
        </w:tc>
        <w:tc>
          <w:tcPr>
            <w:tcW w:type="dxa" w:w="199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同一 eventId/traceId 的四系统证据</w:t>
            </w:r>
          </w:p>
        </w:tc>
      </w:tr>
      <w:tr>
        <w:tc>
          <w:tcPr>
            <w:tcW w:type="dxa" w:w="108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P0-04 视频调阅与回放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有权实时调阅、历史回放和首帧计时</w:t>
            </w:r>
          </w:p>
        </w:tc>
        <w:tc>
          <w:tcPr>
            <w:tcW w:type="dxa" w:w="32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无视频权限拒绝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接口超时明确失败，不承担录像存储</w:t>
            </w:r>
          </w:p>
        </w:tc>
        <w:tc>
          <w:tcPr>
            <w:tcW w:type="dxa" w:w="199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脱敏请求/响应、首帧、保存责任证据</w:t>
            </w:r>
          </w:p>
        </w:tc>
      </w:tr>
      <w:tr>
        <w:tc>
          <w:tcPr>
            <w:tcW w:type="dxa" w:w="108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P0-05 门禁安全联动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授权确认后发指令并接收联锁结果</w:t>
            </w:r>
          </w:p>
        </w:tc>
        <w:tc>
          <w:tcPr>
            <w:tcW w:type="dxa" w:w="32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无权或缺少二次确认不下发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拒绝/超时/联锁失败告警并人工降级</w:t>
            </w:r>
          </w:p>
        </w:tc>
        <w:tc>
          <w:tcPr>
            <w:tcW w:type="dxa" w:w="199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指令、令牌、回执和审计</w:t>
            </w:r>
          </w:p>
        </w:tc>
      </w:tr>
      <w:tr>
        <w:tc>
          <w:tcPr>
            <w:tcW w:type="dxa" w:w="108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P0-06 H5 事件与任务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事件、附件、接收、反馈和完成闭环</w:t>
            </w:r>
          </w:p>
        </w:tc>
        <w:tc>
          <w:tcPr>
            <w:tcW w:type="dxa" w:w="32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越权事件/任务不可见或不可操作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网络/附件失败可恢复且不伪报成功</w:t>
            </w:r>
          </w:p>
        </w:tc>
        <w:tc>
          <w:tcPr>
            <w:tcW w:type="dxa" w:w="199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H5 状态、服务记录、附件引用</w:t>
            </w:r>
          </w:p>
        </w:tc>
      </w:tr>
      <w:tr>
        <w:tc>
          <w:tcPr>
            <w:tcW w:type="dxa" w:w="108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P0-07 扫码打卡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有效二维码、时段、半径和身份写入一次</w:t>
            </w:r>
          </w:p>
        </w:tc>
        <w:tc>
          <w:tcPr>
            <w:tcW w:type="dxa" w:w="32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越界、过期、错误小组拒绝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重复扫码幂等，位置源不可用明确降级</w:t>
            </w:r>
          </w:p>
        </w:tc>
        <w:tc>
          <w:tcPr>
            <w:tcW w:type="dxa" w:w="199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打卡记录、幂等键、耗时和审计</w:t>
            </w:r>
          </w:p>
        </w:tc>
      </w:tr>
      <w:tr>
        <w:tc>
          <w:tcPr>
            <w:tcW w:type="dxa" w:w="108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P0-08 盘点快照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按发布快照比对并复核差异</w:t>
            </w:r>
          </w:p>
        </w:tc>
        <w:tc>
          <w:tcPr>
            <w:tcW w:type="dxa" w:w="32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无权更新拒绝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并发出入库单列，失败不覆盖原快照</w:t>
            </w:r>
          </w:p>
        </w:tc>
        <w:tc>
          <w:tcPr>
            <w:tcW w:type="dxa" w:w="199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快照、现场值、期间变动和调整记录</w:t>
            </w:r>
          </w:p>
        </w:tc>
      </w:tr>
    </w:tbl>
    <w:p>
      <w:pPr>
        <w:pStyle w:val="1"/>
        <w:keepNext/>
      </w:pPr>
      <w:r>
        <w:rPr>
          <w:rFonts w:ascii="Times New Roman" w:hAnsi="Times New Roman" w:eastAsia="黑体"/>
          <w:b/>
        </w:rPr>
        <w:t>7 非功能与关键数字验证</w:t>
      </w:r>
    </w:p>
    <w:p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表 7-1 PE-01—PE-12 测试设计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27"/>
        <w:gridCol w:w="2433"/>
        <w:gridCol w:w="2765"/>
        <w:gridCol w:w="2544"/>
      </w:tblGrid>
      <w:tr>
        <w:trPr>
          <w:tblHeader w:val="true"/>
        </w:trP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指标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目标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方法与统计口径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当前门禁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PE-01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预案启动通知与任务下发≤3秒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同一 traceId，从授权启动到可追踪下发记录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待实现/待测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PE-02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告警接入响应≤2秒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源产生、接收、持久化时间戳和异常率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待目标环境实测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PE-03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事件确认至任务下达≤3分钟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核实通过到任务下发记录，含失败样本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待实现/待测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PE-04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消息并行≥20路、到达率≥99%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批量发送、终态回执、迟到/重复/失败分类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ISSUE-G3-01-001 阻断实测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PE-05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定位刷新≤2秒且不降低源精度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比对源、接收、投影、展示时间与精度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待甲方定位源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PE-06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视频首帧≤3秒、既有保存≥30天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授权调阅到首帧；保存期查甲方既有证据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ISSUE-G3-01-001 阻断实测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PE-07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Web 普通页面 P95≤3秒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目标规模下记录 P50/P95/P99、错误率和资源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待压测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PE-08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地图常规操作≤2秒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典型缩放、平移、点选端到端计时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待合法地图服务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PE-09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扫码写入/回传≤1秒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有效、过期、越界、重复分别计时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待压测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PE-10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安防刷新≤30秒、信息刷新≤60秒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源事件到投影可见时间和配置核对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待联调/待测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PE-11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峰值在线用户≥100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≥100 用户下成功率、P95/P99、错误与资源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待压测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PE-12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一年期统计报表≤5秒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一年期受控数据、授权过滤和结果一致性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待压测</w:t>
            </w:r>
          </w:p>
        </w:tc>
      </w:tr>
    </w:tbl>
    <w:p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表 7-2 其他质量特性测试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27"/>
        <w:gridCol w:w="2433"/>
        <w:gridCol w:w="2765"/>
        <w:gridCol w:w="2544"/>
      </w:tblGrid>
      <w:tr>
        <w:trPr>
          <w:tblHeader w:val="true"/>
        </w:trP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类别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受控对象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方法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准出证据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容量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NFR-CAP-01—04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生成受控规模数据，执行导入、查询、统计、归档和恢复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数据生成脚本、规模摘要、结果与资源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可靠性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NFR-REL-01—03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可用率口径、进程/数据库/适配器故障、备份恢复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监控、演练记录、恢复数量/关系/摘要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安全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NFR-SEC-01—02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SCA、漏洞、鉴权、越权、导出、脱敏、高危复测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扫描/渗透结果，高危为 0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兼容/易用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NFR-COMP-01、NFR-USE-01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甲方确认浏览器/H5 宿主矩阵，关键任务走查和培训考核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兼容矩阵、步骤/跳转数、考核记录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维护/移植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NFR-MNT-01—02、NFR-PORT-01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覆盖率、干净环境部署≤2小时、配置/代码分离和回滚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CI、部署计时、配置清单、回滚记录</w:t>
            </w:r>
          </w:p>
        </w:tc>
      </w:tr>
    </w:tbl>
    <w:p>
      <w:pPr>
        <w:pStyle w:val="1"/>
        <w:keepNext/>
      </w:pPr>
      <w:r>
        <w:rPr>
          <w:rFonts w:ascii="Times New Roman" w:hAnsi="Times New Roman" w:eastAsia="黑体"/>
          <w:b/>
        </w:rPr>
        <w:t>8 117 个 AC 级测试设计索引</w:t>
      </w:r>
    </w:p>
    <w:p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本章锁定测试编号、目标和证据类型。详细前置数据、步骤和断言在实现阶段进入测试用例库；编号不得脱离 AC 单独重命名。</w:t>
      </w:r>
    </w:p>
    <w:p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表 8-1 FR—AC—测试设计索引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07"/>
        <w:gridCol w:w="4989"/>
        <w:gridCol w:w="1360"/>
        <w:gridCol w:w="1814"/>
      </w:tblGrid>
      <w:tr>
        <w:trPr>
          <w:tblHeader w:val="true"/>
        </w:trPr>
        <w:tc>
          <w:tcPr>
            <w:tcW w:type="dxa" w:w="90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FR / ★</w:t>
            </w:r>
          </w:p>
        </w:tc>
        <w:tc>
          <w:tcPr>
            <w:tcW w:type="dxa" w:w="498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TC 与 AC 目标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建议级别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计划证据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G2-FR-001 / ★</w:t>
            </w:r>
          </w:p>
        </w:tc>
        <w:tc>
          <w:tcPr>
            <w:tcW w:type="dxa" w:w="498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TC-G2-FR-001-01：系统保存三级关系并可按层级查看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TC-G2-FR-001-02：系统保存条件并在检索结果中显示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TC-G2-FR-001-03：系统拒绝操作并留存授权失败审计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单元/系统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结果记录、业务/审计数据、必要的请求回执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G2-FR-002 / ★</w:t>
            </w:r>
          </w:p>
        </w:tc>
        <w:tc>
          <w:tcPr>
            <w:tcW w:type="dxa" w:w="498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TC-G2-FR-002-01：系统保存顺序、责任和依赖关系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TC-G2-FR-002-02：系统在预案版本中保留配置并可供启动时读取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TC-G2-FR-002-03：系统提示不可用项，不将失效对象作为可执行调派对象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单元/系统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结果记录、业务/审计数据、必要的请求回执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G2-FR-003 / ★</w:t>
            </w:r>
          </w:p>
        </w:tc>
        <w:tc>
          <w:tcPr>
            <w:tcW w:type="dxa" w:w="498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TC-G2-FR-003-01：任务名称、责任人、时限和执行状态可被读取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TC-G2-FR-003-02：系统自动创建对应处置任务并向移动端发送通知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TC-G2-FR-003-03：从启动到通知/任务下发满足 KN-003 的 ≤3 秒指标；未满足时记录测量结果与异常，不宣称通过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集成/契约/系统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结果记录、业务/审计数据、必要的请求回执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G2-FR-004 / ★</w:t>
            </w:r>
          </w:p>
        </w:tc>
        <w:tc>
          <w:tcPr>
            <w:tcW w:type="dxa" w:w="498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TC-G2-FR-004-01：事件时间线按发生/接收时间展示续报及来源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TC-G2-FR-004-02：态势视图显示当前状态和处理人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TC-G2-FR-004-03：系统拒绝展示受限内容并记录访问审计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系统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结果记录、业务/审计数据、必要的请求回执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G2-FR-005 / ★</w:t>
            </w:r>
          </w:p>
        </w:tc>
        <w:tc>
          <w:tcPr>
            <w:tcW w:type="dxa" w:w="498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TC-G2-FR-005-01：系统叠加人员位置、职责和就位状态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TC-G2-FR-005-02：刷新周期满足 KN-008 ≤2 秒/次，且处理后精度不低于 KN-009 的源精度；结果以测试记录判定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TC-G2-FR-005-03：系统标识新鲜度/不可用状态，并禁止将其作为自动邻近调派结论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集成/契约/系统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结果记录、业务/审计数据、必要的请求回执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G2-FR-006 / ★</w:t>
            </w:r>
          </w:p>
        </w:tc>
        <w:tc>
          <w:tcPr>
            <w:tcW w:type="dxa" w:w="498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TC-G2-FR-006-01：系统通过既有接口请求并展示实时画面或明确失败原因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TC-G2-FR-006-02：系统通过接口完成调阅，不创建或承担录像存储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TC-G2-FR-006-03：首帧按 KN-010 ≤3 秒测量，保存条件按 KN-060 ≥30 天由既有系统证据确认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集成/契约/系统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结果记录、业务/审计数据、必要的请求回执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G2-FR-007 / 非★</w:t>
            </w:r>
          </w:p>
        </w:tc>
        <w:tc>
          <w:tcPr>
            <w:tcW w:type="dxa" w:w="498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TC-G2-FR-007-01：系统展示站点图层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TC-G2-FR-007-02：系统展示该站点的物资清单、数量和配置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TC-G2-FR-007-03：系统提示数据缺失并保留异常记录，不展示虚构数量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系统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结果记录、业务/审计数据、必要的请求回执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G2-FR-008 / ★</w:t>
            </w:r>
          </w:p>
        </w:tc>
        <w:tc>
          <w:tcPr>
            <w:tcW w:type="dxa" w:w="498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TC-G2-FR-008-01：系统生成可查询台账记录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TC-G2-FR-008-02：系统生成临期提醒并记录触发时间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TC-G2-FR-008-03：系统可承载 KN-023 ≥30 站点、KN-024 ≥1000 项的验证数据，结果以导入与查询证据判定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单元/系统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结果记录、业务/审计数据、必要的请求回执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G2-FR-009 / ★</w:t>
            </w:r>
          </w:p>
        </w:tc>
        <w:tc>
          <w:tcPr>
            <w:tcW w:type="dxa" w:w="498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TC-G2-FR-009-01：系统保存计划范围和台账快照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TC-G2-FR-009-02：系统将结果与计划快照自动比对并标识差异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TC-G2-FR-009-03：系统保留原快照、盘点值、复核人和处理结果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单元/系统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结果记录、业务/审计数据、必要的请求回执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G2-FR-010 / ★</w:t>
            </w:r>
          </w:p>
        </w:tc>
        <w:tc>
          <w:tcPr>
            <w:tcW w:type="dxa" w:w="498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TC-G2-FR-010-01：系统保存计划、责任人和目标时间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TC-G2-FR-010-02：系统可验证每半年至少一次演练安排（KN-013）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TC-G2-FR-010-03：系统阻止发布或给出可追溯的校验提示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单元/系统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结果记录、业务/审计数据、必要的请求回执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G2-FR-011 / ★</w:t>
            </w:r>
          </w:p>
        </w:tc>
        <w:tc>
          <w:tcPr>
            <w:tcW w:type="dxa" w:w="498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TC-G2-FR-011-01：自动创建对应演练任务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TC-G2-FR-011-02：系统记录接收对象、下发时间、回执或失败状态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TC-G2-FR-011-03：系统进入重试/告警或人工处置流程并留痕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集成/契约/系统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结果记录、业务/审计数据、必要的请求回执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G2-FR-012 / ★</w:t>
            </w:r>
          </w:p>
        </w:tc>
        <w:tc>
          <w:tcPr>
            <w:tcW w:type="dxa" w:w="498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TC-G2-FR-012-01：系统关联计划、任务、人员和时间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TC-G2-FR-012-02：系统保存评估条目、结论和附件引用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TC-G2-FR-012-03：系统可追踪整改状态并在报告中关联展示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单元/系统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结果记录、业务/审计数据、必要的请求回执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G2-FR-013 / ★</w:t>
            </w:r>
          </w:p>
        </w:tc>
        <w:tc>
          <w:tcPr>
            <w:tcW w:type="dxa" w:w="498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TC-G2-FR-013-01：系统创建事件并生成可追踪编号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TC-G2-FR-013-02：系统返回符合条件的事件列表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TC-G2-FR-013-03：系统拒绝提交并提示原因，不生成不完整事件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系统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结果记录、业务/审计数据、必要的请求回执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G2-FR-014 / ★</w:t>
            </w:r>
          </w:p>
        </w:tc>
        <w:tc>
          <w:tcPr>
            <w:tcW w:type="dxa" w:w="498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TC-G2-FR-014-01：系统记录意见、处理人、时间和状态变更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TC-G2-FR-014-02：系统进入处置生命周期并关联预案与任务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TC-G2-FR-014-03：分别按 KN-011 ≤2 秒、KN-012 ≤3 分钟形成测试记录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集成/系统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结果记录、业务/审计数据、必要的请求回执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G2-FR-015 / ★</w:t>
            </w:r>
          </w:p>
        </w:tc>
        <w:tc>
          <w:tcPr>
            <w:tcW w:type="dxa" w:w="498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TC-G2-FR-015-01：任务自动关联事件、责任人、时限和状态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TC-G2-FR-015-02：系统记录反馈内容、附件引用、时间和处理状态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TC-G2-FR-015-03：系统记录触发原因和后续处置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集成/系统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结果记录、业务/审计数据、必要的请求回执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G2-FR-016 / ★</w:t>
            </w:r>
          </w:p>
        </w:tc>
        <w:tc>
          <w:tcPr>
            <w:tcW w:type="dxa" w:w="498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TC-G2-FR-016-01：系统记录评估结论和关闭状态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TC-G2-FR-016-02：系统关联事件证据、调查结论和报告版本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TC-G2-FR-016-03：系统可在授权范围内查询其时间线、报告和知识条目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集成/系统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结果记录、业务/审计数据、必要的请求回执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G2-FR-017 / ★</w:t>
            </w:r>
          </w:p>
        </w:tc>
        <w:tc>
          <w:tcPr>
            <w:tcW w:type="dxa" w:w="498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TC-G2-FR-017-01：系统保存可执行的打卡配置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TC-G2-FR-017-02：系统记录授权关系、操作者和时间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TC-G2-FR-017-03：系统提示并阻止无效配置生效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单元/系统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结果记录、业务/审计数据、必要的请求回执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G2-FR-018 / ★</w:t>
            </w:r>
          </w:p>
        </w:tc>
        <w:tc>
          <w:tcPr>
            <w:tcW w:type="dxa" w:w="498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TC-G2-FR-018-01：系统保存坐标、楼层和点位属性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TC-G2-FR-018-02：系统将其与点位关联并保留版本记录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TC-G2-FR-018-03：系统提示失败原因且不产生无效点位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单元/系统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结果记录、业务/审计数据、必要的请求回执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G2-FR-019 / ★</w:t>
            </w:r>
          </w:p>
        </w:tc>
        <w:tc>
          <w:tcPr>
            <w:tcW w:type="dxa" w:w="498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TC-G2-FR-019-01：系统按点位、小组、人员三个维度汇总（KN-014）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TC-G2-FR-019-02：导出内容与当前权限和筛选范围一致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TC-G2-FR-019-03：系统拒绝并记录审计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单元/系统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结果记录、业务/审计数据、必要的请求回执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G2-FR-020 / ★</w:t>
            </w:r>
          </w:p>
        </w:tc>
        <w:tc>
          <w:tcPr>
            <w:tcW w:type="dxa" w:w="498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TC-G2-FR-020-01：系统创建缺卡或超时告警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TC-G2-FR-020-02：系统记录请求、重试、回执或失败结果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TC-G2-FR-020-03：≥20 路、≥99% 到达率按 KN-006、KN-007 实测并保留结果；未通过时进入异常处置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集成/契约/系统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结果记录、业务/审计数据、必要的请求回执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G2-FR-021 / ★</w:t>
            </w:r>
          </w:p>
        </w:tc>
        <w:tc>
          <w:tcPr>
            <w:tcW w:type="dxa" w:w="498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TC-G2-FR-021-01：系统保存事件、图片引用和提交人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TC-G2-FR-021-02：系统仅展示其授权范围内的事件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TC-G2-FR-021-03：H5 明确提示可恢复状态并防止把未上传附件标记为已上传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集成/系统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结果记录、业务/审计数据、必要的请求回执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G2-FR-022 / ★</w:t>
            </w:r>
          </w:p>
        </w:tc>
        <w:tc>
          <w:tcPr>
            <w:tcW w:type="dxa" w:w="498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TC-G2-FR-022-01：系统更新任务接收状态并留痕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TC-G2-FR-022-02：系统关联任务、上传结果和时间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TC-G2-FR-022-03：系统更新任务状态；消息并发与到达率按 KN-006、KN-007 在正常验收通道验证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集成/系统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结果记录、业务/审计数据、必要的请求回执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G2-FR-023 / ★</w:t>
            </w:r>
          </w:p>
        </w:tc>
        <w:tc>
          <w:tcPr>
            <w:tcW w:type="dxa" w:w="498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TC-G2-FR-023-01：系统展示本人授权任务及状态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TC-G2-FR-023-02：系统记录结果、时间和关联任务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TC-G2-FR-023-03：系统拒绝并保留可追溯提示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集成/系统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结果记录、业务/审计数据、必要的请求回执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G2-FR-024 / ★</w:t>
            </w:r>
          </w:p>
        </w:tc>
        <w:tc>
          <w:tcPr>
            <w:tcW w:type="dxa" w:w="498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TC-G2-FR-024-01：系统写入有效打卡记录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TC-G2-FR-024-02：系统拒绝打卡并说明失败维度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TC-G2-FR-024-03：按 KN-036 ≤1 秒记录性能结果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集成/系统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结果记录、业务/审计数据、必要的请求回执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G2-FR-025 / ★</w:t>
            </w:r>
          </w:p>
        </w:tc>
        <w:tc>
          <w:tcPr>
            <w:tcW w:type="dxa" w:w="498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TC-G2-FR-025-01：系统关联计划、物资和现场记录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TC-G2-FR-025-02：自动标识与快照的数量差异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TC-G2-FR-025-03：系统更新现有数量并保留盘点和复核证据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集成/系统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结果记录、业务/审计数据、必要的请求回执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G2-FR-026 / ★</w:t>
            </w:r>
          </w:p>
        </w:tc>
        <w:tc>
          <w:tcPr>
            <w:tcW w:type="dxa" w:w="498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TC-G2-FR-026-01：系统展示在线状态、告警统计和空间定位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TC-G2-FR-026-02：系统跳转至关联业务上下文或明确记录失败原因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TC-G2-FR-026-03：按 KN-016 ≤30 秒形成测试证据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集成/契约/系统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结果记录、业务/审计数据、必要的请求回执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G2-FR-027 / ★</w:t>
            </w:r>
          </w:p>
        </w:tc>
        <w:tc>
          <w:tcPr>
            <w:tcW w:type="dxa" w:w="498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TC-G2-FR-027-01：创建或关联应急事件并保留原始关联信息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TC-G2-FR-027-02：系统按重试/补传策略处理并记录成功、失败或待人工处置状态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TC-G2-FR-027-03：系统不自动生成错误事件，并输出可审计的异常记录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集成/契约/系统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结果记录、业务/审计数据、必要的请求回执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G2-FR-028 / ★</w:t>
            </w:r>
          </w:p>
        </w:tc>
        <w:tc>
          <w:tcPr>
            <w:tcW w:type="dxa" w:w="498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TC-G2-FR-028-01：系统按中台授权执行业务访问控制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TC-G2-FR-028-02：系统通过中台适配层调用并记录关联结果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TC-G2-FR-028-03：系统展示可观察错误并记录降级/人工处置，不以本地重复建设替代中台通用能力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集成/契约/系统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结果记录、业务/审计数据、必要的请求回执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G2-FR-029 / ★</w:t>
            </w:r>
          </w:p>
        </w:tc>
        <w:tc>
          <w:tcPr>
            <w:tcW w:type="dxa" w:w="498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TC-G2-FR-029-01：系统通过既有接口完成请求、记录结果并遵循既有系统保存责任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TC-G2-FR-029-02：系统向既有门禁发送指令并等待安全联锁结果，不绕过联锁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TC-G2-FR-029-03：系统产生告警、保留回执并转入人工降级处置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集成/契约/系统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结果记录、业务/审计数据、必要的请求回执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G2-FR-030 / 非★</w:t>
            </w:r>
          </w:p>
        </w:tc>
        <w:tc>
          <w:tcPr>
            <w:tcW w:type="dxa" w:w="498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TC-G2-FR-030-01：系统保存附件与预案、版本和上传审计的关联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TC-G2-FR-030-02：系统保留历史版本并能按权限检索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TC-G2-FR-030-03：系统拒绝并记录访问审计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单元/系统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结果记录、业务/审计数据、必要的请求回执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G2-FR-031 / ★</w:t>
            </w:r>
          </w:p>
        </w:tc>
        <w:tc>
          <w:tcPr>
            <w:tcW w:type="dxa" w:w="498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TC-G2-FR-031-01：系统保存可追溯的组织关联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TC-G2-FR-031-02：系统记录接收对象、时间和回执或失败状态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TC-G2-FR-031-03：系统提示并阻止无效下发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集成/契约/系统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结果记录、业务/审计数据、必要的请求回执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G2-FR-032 / 非★</w:t>
            </w:r>
          </w:p>
        </w:tc>
        <w:tc>
          <w:tcPr>
            <w:tcW w:type="dxa" w:w="498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TC-G2-FR-032-01：系统生成对应可执行的打卡关联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TC-G2-FR-032-02：系统保存调整前后内容、操作者和时间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TC-G2-FR-032-03：系统提示冲突并阻止无效规则生效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单元/系统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结果记录、业务/审计数据、必要的请求回执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G2-FR-033 / 非★</w:t>
            </w:r>
          </w:p>
        </w:tc>
        <w:tc>
          <w:tcPr>
            <w:tcW w:type="dxa" w:w="498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TC-G2-FR-033-01：系统保存类型和变更审计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TC-G2-FR-033-02：历史预案保留原类型，新建预案不能再选择该类型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TC-G2-FR-033-03：系统拒绝操作并记录审计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单元/系统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结果记录、业务/审计数据、必要的请求回执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G2-FR-034 / ★</w:t>
            </w:r>
          </w:p>
        </w:tc>
        <w:tc>
          <w:tcPr>
            <w:tcW w:type="dxa" w:w="498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TC-G2-FR-034-01：系统保存类型和变更审计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TC-G2-FR-034-02：系统允许按权限调整，不将预置类别误写为新增强制范围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TC-G2-FR-034-03：历史事件保留可查，新建事件不能选择该类型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单元/系统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结果记录、业务/审计数据、必要的请求回执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G2-FR-035 / ★</w:t>
            </w:r>
          </w:p>
        </w:tc>
        <w:tc>
          <w:tcPr>
            <w:tcW w:type="dxa" w:w="498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TC-G2-FR-035-01：系统保存站点、坐标/楼层和版本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TC-G2-FR-035-02：系统加载配置的位置并支持关联台账钻取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TC-G2-FR-035-03：系统提示并拒绝保存无效空间配置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单元/系统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结果记录、业务/审计数据、必要的请求回执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G2-FR-036 / ★</w:t>
            </w:r>
          </w:p>
        </w:tc>
        <w:tc>
          <w:tcPr>
            <w:tcW w:type="dxa" w:w="498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TC-G2-FR-036-01：系统保存模板及版本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TC-G2-FR-036-02：系统关联使用的模板版本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TC-G2-FR-036-03：历史评估仍保留原版本可追溯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单元/系统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结果记录、业务/审计数据、必要的请求回执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G2-FR-037 / ★</w:t>
            </w:r>
          </w:p>
        </w:tc>
        <w:tc>
          <w:tcPr>
            <w:tcW w:type="dxa" w:w="498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TC-G2-FR-037-01：系统保存生效配置和审计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TC-G2-FR-037-02：系统按当前有效配置路由审批事项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TC-G2-FR-037-03：系统阻止生效并提示校验原因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单元/系统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结果记录、业务/审计数据、必要的请求回执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G2-FR-038 / 非★</w:t>
            </w:r>
          </w:p>
        </w:tc>
        <w:tc>
          <w:tcPr>
            <w:tcW w:type="dxa" w:w="498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TC-G2-FR-038-01：系统返回其授权范围内的条目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TC-G2-FR-038-02：系统返回匹配条目或明确无结果提示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TC-G2-FR-038-03：系统不返回受限内容并记录必要审计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单元/系统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结果记录、业务/审计数据、必要的请求回执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G2-FR-039 / ★</w:t>
            </w:r>
          </w:p>
        </w:tc>
        <w:tc>
          <w:tcPr>
            <w:tcW w:type="dxa" w:w="498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TC-G2-FR-039-01：系统展示事件、监控和流程统计结果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TC-G2-FR-039-02：系统展示与指标一致的授权范围内明细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TC-G2-FR-039-03：按 KN-017 ≤60 秒形成性能验证记录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单元/系统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结果记录、业务/审计数据、必要的请求回执</w:t>
            </w:r>
          </w:p>
        </w:tc>
      </w:tr>
    </w:tbl>
    <w:p>
      <w:pPr>
        <w:pStyle w:val="1"/>
        <w:keepNext/>
      </w:pPr>
      <w:r>
        <w:rPr>
          <w:rFonts w:ascii="Times New Roman" w:hAnsi="Times New Roman" w:eastAsia="黑体"/>
          <w:b/>
        </w:rPr>
        <w:t>9 风险与应对</w:t>
      </w:r>
    </w:p>
    <w:p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表 9-1 测试风险与处置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27"/>
        <w:gridCol w:w="2433"/>
        <w:gridCol w:w="2765"/>
        <w:gridCol w:w="2544"/>
      </w:tblGrid>
      <w:tr>
        <w:trPr>
          <w:tblHeader w:val="true"/>
        </w:trP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风险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触发条件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应对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对准出的影响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外部环境或账号不到位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视频、消息、中台等无法取得真实调用条件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提前登记窗口和所需证据；使用桩只验证内部逻辑；保留 OPEN Issue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对应联调/PE 不得通过，阻断 M3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测试数据与目标规模不等价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数据量、角色或空间服务不足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记录生成规则和差异；补测目标环境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性能/容量结论无效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用例与需求漂移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FR/AC/设计变更未同步 TC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CI 检查孤儿/缺失 ID，变更评审更新 RTM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追踪断链阻断发布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缺陷积压压缩回归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致命/严重缺陷临近准出仍开放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按严重度停线，优先修复并执行影响集回归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致命/严重未清零不准出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兼容矩阵未确认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Android/iOS 或浏览器版本未由甲方确认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先测现有开发环境并标注参考；确认后重跑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不冻结兼容结论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性能脚本或监控不可信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结果缺少时间、资源或原始数据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脚本版本化，校准计时，保留原始输出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无原始证据的指标不判通过</w:t>
            </w:r>
          </w:p>
        </w:tc>
      </w:tr>
    </w:tbl>
    <w:p>
      <w:pPr>
        <w:pStyle w:val="1"/>
        <w:keepNext/>
      </w:pPr>
      <w:r>
        <w:rPr>
          <w:rFonts w:ascii="Times New Roman" w:hAnsi="Times New Roman" w:eastAsia="黑体"/>
          <w:b/>
        </w:rPr>
        <w:t>10 配置、报告与准出结论</w:t>
      </w:r>
    </w:p>
    <w:p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测试配置项包括计划、用例、数据生成脚本、环境清单、OpenAPI 快照、执行结果、覆盖率、性能原始数据、安全扫描、故障演练、缺陷和 RTM。测试报告必须按执行版本汇总通过、失败、阻断和未执行项，禁止只给总通过率而省略★、PE、外部接口和开放 Issue。</w:t>
      </w:r>
    </w:p>
    <w:p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G3-09 主责结论：已形成测试级别、范围、策略、进度、环境、准入准出、P0 场景、PE/NFR 与 117 个 AC 级测试编号，可按 OVR-025 提交 A 单人复核。当前状态保持 REVIEW；本结论不表示任何测试已经执行或通过。ISSUE-G3-01-001 保持 OPEN，并继续阻断视频/消息真实联调结论和 G3-10/M3 最终冻结。</w:t>
      </w:r>
    </w:p>
    <w:p>
      <w:pPr>
        <w:pStyle w:val="1"/>
        <w:keepNext/>
      </w:pPr>
      <w:r>
        <w:rPr>
          <w:rFonts w:ascii="Times New Roman" w:hAnsi="Times New Roman" w:eastAsia="黑体"/>
          <w:b/>
        </w:rPr>
        <w:t>附录 A 证据包最小字段</w:t>
      </w:r>
    </w:p>
    <w:p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表 A-1 单次执行证据字段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6804"/>
      </w:tblGrid>
      <w:tr>
        <w:trPr>
          <w:tblHeader w:val="true"/>
        </w:trPr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字段</w:t>
            </w:r>
          </w:p>
        </w:tc>
        <w:tc>
          <w:tcPr>
            <w:tcW w:type="dxa" w:w="680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要求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标识</w:t>
            </w:r>
          </w:p>
        </w:tc>
        <w:tc>
          <w:tcPr>
            <w:tcW w:type="dxa" w:w="680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TC、AC、FR、设计 ID、缺陷 ID 可回指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版本</w:t>
            </w:r>
          </w:p>
        </w:tc>
        <w:tc>
          <w:tcPr>
            <w:tcW w:type="dxa" w:w="680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commit、构建、数据库迁移、OpenAPI/配置版本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环境</w:t>
            </w:r>
          </w:p>
        </w:tc>
        <w:tc>
          <w:tcPr>
            <w:tcW w:type="dxa" w:w="680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主机/容器、浏览器/H5 宿主、外部接口版本、时间同步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数据</w:t>
            </w:r>
          </w:p>
        </w:tc>
        <w:tc>
          <w:tcPr>
            <w:tcW w:type="dxa" w:w="680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数据集版本、规模、账号/角色、脱敏与清理方式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执行</w:t>
            </w:r>
          </w:p>
        </w:tc>
        <w:tc>
          <w:tcPr>
            <w:tcW w:type="dxa" w:w="680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操作者、开始/结束时间、步骤或脚本、重复轮次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结果</w:t>
            </w:r>
          </w:p>
        </w:tc>
        <w:tc>
          <w:tcPr>
            <w:tcW w:type="dxa" w:w="680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期望、实际、原始输出、统计口径、截图/日志/回执索引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结论</w:t>
            </w:r>
          </w:p>
        </w:tc>
        <w:tc>
          <w:tcPr>
            <w:tcW w:type="dxa" w:w="680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PASS/FAIL/BLOCKED/NOT_RUN 之一；失败关联缺陷与复测</w:t>
            </w:r>
          </w:p>
        </w:tc>
      </w:tr>
    </w:tbl>
    <w:p>
      <w:r>
        <w:br w:type="page"/>
      </w:r>
    </w:p>
    <w:p>
      <w:pPr>
        <w:pStyle w:val="1"/>
      </w:pPr>
      <w:r>
        <w:t>课程项目模拟确认补充</w:t>
      </w:r>
    </w:p>
    <w:p>
      <w:pPr>
        <w:jc w:val="both"/>
      </w:pPr>
      <w:r>
        <w:t>模拟验收证据（SIMULATED_EVIDENCE）：接口8/8与KN-064三类场景PASS；性能结果记录于SIM-EV-PERF-001，兼容性记录于SIM-EV-COMP-001，安全记录于SIM-EV-SEC-001，部署/回滚/恢复分别记录于SIM-EV-DEPLOY-001、SIM-EV-ROLLBACK-001、SIM-EV-DR-001。所有结论仅适用于课程模拟环境，不代表真实现场测试。</w:t>
      </w:r>
    </w:p>
    <w:p>
      <w:pPr>
        <w:jc w:val="both"/>
      </w:pPr>
      <w:r>
        <w:t>模拟关键结果：通知/任务P95 1.42s，告警P95 0.74s，确认至任务42s，消息24并发/99.6%，定位P95 1.68s/0.50m，视频首帧P95 2.36s，Web P95 1.82s，地图P95 1.31s，H5扫码P95 0.71s，在线120用户/99.8%，报表P95 3.35s；高危0、中危0、低危观察2项；部署68min、回滚11min40s、恢复54min/RPO12min。</w:t>
      </w:r>
    </w:p>
    <w:sectPr w:rsidR="00461786" w:rsidSect="003B6320"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2C4706A" w14:textId="77777777" w:rsidR="006C1689" w:rsidRDefault="006C1689">
      <w:r>
        <w:separator/>
      </w:r>
    </w:p>
  </w:endnote>
  <w:endnote w:type="continuationSeparator" w:id="0">
    <w:p w14:paraId="08CF017E" w14:textId="77777777" w:rsidR="006C1689" w:rsidRDefault="006C16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3C83E0" w14:textId="77777777" w:rsidR="00461786" w:rsidRDefault="00587D90">
    <w:pPr>
      <w:jc w:val="center"/>
    </w:pPr>
    <w:r>
      <w:rPr>
        <w:color w:val="000000"/>
        <w:sz w:val="18"/>
        <w:szCs w:val="18"/>
      </w:rPr>
      <w:fldChar w:fldCharType="begin"/>
    </w:r>
    <w:r>
      <w:rPr>
        <w:color w:val="000000"/>
        <w:sz w:val="18"/>
        <w:szCs w:val="18"/>
      </w:rPr>
      <w:instrText>PAGE</w:instrText>
    </w:r>
    <w:r>
      <w:rPr>
        <w:color w:val="000000"/>
        <w:sz w:val="18"/>
        <w:szCs w:val="18"/>
      </w:rPr>
      <w:fldChar w:fldCharType="separate"/>
    </w:r>
    <w:r w:rsidR="003B6320">
      <w:rPr>
        <w:noProof/>
        <w:color w:val="000000"/>
        <w:sz w:val="18"/>
        <w:szCs w:val="18"/>
      </w:rPr>
      <w:t>1</w:t>
    </w:r>
    <w:r>
      <w:rPr>
        <w:color w:val="00000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4B093B5" w14:textId="77777777" w:rsidR="006C1689" w:rsidRDefault="006C1689">
      <w:r>
        <w:separator/>
      </w:r>
    </w:p>
  </w:footnote>
  <w:footnote w:type="continuationSeparator" w:id="0">
    <w:p w14:paraId="60C66D82" w14:textId="77777777" w:rsidR="006C1689" w:rsidRDefault="006C168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9ED270A"/>
    <w:multiLevelType w:val="hybridMultilevel"/>
    <w:tmpl w:val="A44687C4"/>
    <w:lvl w:ilvl="0" w:tplc="0409000B">
      <w:start w:val="1"/>
      <w:numFmt w:val="bullet"/>
      <w:lvlText w:val=""/>
      <w:lvlJc w:val="left"/>
      <w:pPr>
        <w:ind w:left="63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05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9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1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5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7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90" w:hanging="420"/>
      </w:pPr>
      <w:rPr>
        <w:rFonts w:ascii="Wingdings" w:hAnsi="Wingdings" w:hint="default"/>
      </w:rPr>
    </w:lvl>
  </w:abstractNum>
  <w:abstractNum w:abstractNumId="1" w15:restartNumberingAfterBreak="0">
    <w:nsid w:val="360B7420"/>
    <w:multiLevelType w:val="hybridMultilevel"/>
    <w:tmpl w:val="60948794"/>
    <w:lvl w:ilvl="0" w:tplc="43266BC8">
      <w:numFmt w:val="bullet"/>
      <w:lvlText w:val="·"/>
      <w:lvlJc w:val="left"/>
      <w:pPr>
        <w:ind w:left="570" w:hanging="360"/>
      </w:pPr>
      <w:rPr>
        <w:rFonts w:ascii="Times New Roman" w:eastAsia="宋体" w:hAnsi="Times New Roman" w:cs="Times New Roman" w:hint="default"/>
        <w:sz w:val="24"/>
      </w:rPr>
    </w:lvl>
    <w:lvl w:ilvl="1" w:tplc="04090003" w:tentative="1">
      <w:start w:val="1"/>
      <w:numFmt w:val="bullet"/>
      <w:lvlText w:val=""/>
      <w:lvlJc w:val="left"/>
      <w:pPr>
        <w:ind w:left="105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9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1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5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7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90" w:hanging="420"/>
      </w:pPr>
      <w:rPr>
        <w:rFonts w:ascii="Wingdings" w:hAnsi="Wingdings" w:hint="default"/>
      </w:rPr>
    </w:lvl>
  </w:abstractNum>
  <w:abstractNum w:abstractNumId="2" w15:restartNumberingAfterBreak="0">
    <w:nsid w:val="73927B08"/>
    <w:multiLevelType w:val="hybridMultilevel"/>
    <w:tmpl w:val="8CEA58F8"/>
    <w:lvl w:ilvl="0" w:tplc="843423E0">
      <w:start w:val="1"/>
      <w:numFmt w:val="bullet"/>
      <w:lvlText w:val="●"/>
      <w:lvlJc w:val="left"/>
      <w:pPr>
        <w:ind w:left="720" w:hanging="360"/>
      </w:pPr>
    </w:lvl>
    <w:lvl w:ilvl="1" w:tplc="B074FE6E">
      <w:start w:val="1"/>
      <w:numFmt w:val="bullet"/>
      <w:lvlText w:val="○"/>
      <w:lvlJc w:val="left"/>
      <w:pPr>
        <w:ind w:left="1440" w:hanging="360"/>
      </w:pPr>
    </w:lvl>
    <w:lvl w:ilvl="2" w:tplc="4F4A6336">
      <w:start w:val="1"/>
      <w:numFmt w:val="bullet"/>
      <w:lvlText w:val="■"/>
      <w:lvlJc w:val="left"/>
      <w:pPr>
        <w:ind w:left="2160" w:hanging="360"/>
      </w:pPr>
    </w:lvl>
    <w:lvl w:ilvl="3" w:tplc="7FAC8C86">
      <w:start w:val="1"/>
      <w:numFmt w:val="bullet"/>
      <w:lvlText w:val="●"/>
      <w:lvlJc w:val="left"/>
      <w:pPr>
        <w:ind w:left="2880" w:hanging="360"/>
      </w:pPr>
    </w:lvl>
    <w:lvl w:ilvl="4" w:tplc="94388E2E">
      <w:start w:val="1"/>
      <w:numFmt w:val="bullet"/>
      <w:lvlText w:val="○"/>
      <w:lvlJc w:val="left"/>
      <w:pPr>
        <w:ind w:left="3600" w:hanging="360"/>
      </w:pPr>
    </w:lvl>
    <w:lvl w:ilvl="5" w:tplc="0AB298AC">
      <w:start w:val="1"/>
      <w:numFmt w:val="bullet"/>
      <w:lvlText w:val="■"/>
      <w:lvlJc w:val="left"/>
      <w:pPr>
        <w:ind w:left="4320" w:hanging="360"/>
      </w:pPr>
    </w:lvl>
    <w:lvl w:ilvl="6" w:tplc="6B5ACEC4">
      <w:start w:val="1"/>
      <w:numFmt w:val="bullet"/>
      <w:lvlText w:val="●"/>
      <w:lvlJc w:val="left"/>
      <w:pPr>
        <w:ind w:left="5040" w:hanging="360"/>
      </w:pPr>
    </w:lvl>
    <w:lvl w:ilvl="7" w:tplc="AF82B094">
      <w:start w:val="1"/>
      <w:numFmt w:val="bullet"/>
      <w:lvlText w:val="●"/>
      <w:lvlJc w:val="left"/>
      <w:pPr>
        <w:ind w:left="5760" w:hanging="360"/>
      </w:pPr>
    </w:lvl>
    <w:lvl w:ilvl="8" w:tplc="961C57EE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isplayBackgroundShape/>
  <w:bordersDoNotSurroundHeader/>
  <w:bordersDoNotSurroundFooter/>
  <w:defaultTabStop w:val="4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1786"/>
    <w:rsid w:val="003B6320"/>
    <w:rsid w:val="00461786"/>
    <w:rsid w:val="00587D90"/>
    <w:rsid w:val="006C1689"/>
    <w:rsid w:val="00AE63D9"/>
    <w:rsid w:val="00BD4115"/>
    <w:rsid w:val="00F922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8DDFB5F"/>
  <w15:docId w15:val="{17884C19-89ED-48A1-A5FD-07816DE266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uiPriority w:val="9"/>
    <w:qFormat/>
    <w:pPr>
      <w:outlineLvl w:val="0"/>
    </w:pPr>
    <w:rPr>
      <w:color w:val="000000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000000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000000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000000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000000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color w:val="000000"/>
      <w:sz w:val="56"/>
      <w:szCs w:val="56"/>
    </w:rPr>
  </w:style>
  <w:style w:type="paragraph" w:customStyle="1" w:styleId="10">
    <w:name w:val="要点1"/>
    <w:qFormat/>
    <w:rPr>
      <w:b/>
      <w:bCs/>
      <w:color w:val="000000"/>
    </w:rPr>
  </w:style>
  <w:style w:type="paragraph" w:styleId="a4">
    <w:name w:val="List Paragraph"/>
    <w:qFormat/>
    <w:rPr>
      <w:color w:val="000000"/>
    </w:rPr>
  </w:style>
  <w:style w:type="character" w:styleId="a5">
    <w:name w:val="Hyperlink"/>
    <w:uiPriority w:val="99"/>
    <w:unhideWhenUsed/>
    <w:rPr>
      <w:color w:val="000000"/>
      <w:u w:val="single"/>
    </w:rPr>
  </w:style>
  <w:style w:type="character" w:styleId="a6">
    <w:name w:val="footnote reference"/>
    <w:uiPriority w:val="99"/>
    <w:semiHidden/>
    <w:unhideWhenUsed/>
    <w:rPr>
      <w:color w:val="000000"/>
      <w:vertAlign w:val="superscript"/>
    </w:rPr>
  </w:style>
  <w:style w:type="paragraph" w:styleId="a7">
    <w:name w:val="footnote text"/>
    <w:link w:val="a8"/>
    <w:uiPriority w:val="99"/>
    <w:semiHidden/>
    <w:unhideWhenUsed/>
    <w:rPr>
      <w:color w:val="000000"/>
    </w:rPr>
  </w:style>
  <w:style w:type="character" w:customStyle="1" w:styleId="a8">
    <w:name w:val="脚注文本 字符"/>
    <w:link w:val="a7"/>
    <w:uiPriority w:val="99"/>
    <w:semiHidden/>
    <w:unhideWhenUsed/>
    <w:rPr>
      <w:color w:val="000000"/>
      <w:sz w:val="20"/>
      <w:szCs w:val="20"/>
    </w:rPr>
  </w:style>
  <w:style w:type="character" w:styleId="a9">
    <w:name w:val="endnote reference"/>
    <w:uiPriority w:val="99"/>
    <w:semiHidden/>
    <w:unhideWhenUsed/>
    <w:rPr>
      <w:color w:val="000000"/>
      <w:vertAlign w:val="superscript"/>
    </w:rPr>
  </w:style>
  <w:style w:type="paragraph" w:styleId="aa">
    <w:name w:val="endnote text"/>
    <w:link w:val="ab"/>
    <w:uiPriority w:val="99"/>
    <w:semiHidden/>
    <w:unhideWhenUsed/>
    <w:rPr>
      <w:color w:val="000000"/>
    </w:rPr>
  </w:style>
  <w:style w:type="character" w:customStyle="1" w:styleId="ab">
    <w:name w:val="尾注文本 字符"/>
    <w:link w:val="aa"/>
    <w:uiPriority w:val="99"/>
    <w:semiHidden/>
    <w:unhideWhenUsed/>
    <w:rPr>
      <w:color w:val="000000"/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3B6320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d">
    <w:name w:val="页眉 字符"/>
    <w:basedOn w:val="a0"/>
    <w:link w:val="ac"/>
    <w:uiPriority w:val="99"/>
    <w:rsid w:val="003B6320"/>
    <w:rPr>
      <w:sz w:val="18"/>
      <w:szCs w:val="18"/>
    </w:rPr>
  </w:style>
  <w:style w:type="paragraph" w:styleId="ae">
    <w:name w:val="footer"/>
    <w:basedOn w:val="a"/>
    <w:link w:val="af"/>
    <w:uiPriority w:val="99"/>
    <w:unhideWhenUsed/>
    <w:rsid w:val="003B632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">
    <w:name w:val="页脚 字符"/>
    <w:basedOn w:val="a0"/>
    <w:link w:val="ae"/>
    <w:uiPriority w:val="99"/>
    <w:rsid w:val="003B6320"/>
    <w:rPr>
      <w:sz w:val="18"/>
      <w:szCs w:val="18"/>
    </w:rPr>
  </w:style>
  <w:style w:type="paragraph" w:styleId="TOC">
    <w:name w:val="TOC Heading"/>
    <w:basedOn w:val="1"/>
    <w:next w:val="a"/>
    <w:uiPriority w:val="39"/>
    <w:unhideWhenUsed/>
    <w:qFormat/>
    <w:rsid w:val="003B6320"/>
    <w:pPr>
      <w:keepNext/>
      <w:keepLines/>
      <w:spacing w:before="24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OC1">
    <w:name w:val="toc 1"/>
    <w:basedOn w:val="a"/>
    <w:next w:val="a"/>
    <w:autoRedefine/>
    <w:uiPriority w:val="39"/>
    <w:unhideWhenUsed/>
    <w:rsid w:val="003B6320"/>
  </w:style>
  <w:style w:type="paragraph" w:styleId="TOC2">
    <w:name w:val="toc 2"/>
    <w:basedOn w:val="a"/>
    <w:next w:val="a"/>
    <w:autoRedefine/>
    <w:uiPriority w:val="39"/>
    <w:unhideWhenUsed/>
    <w:rsid w:val="003B6320"/>
    <w:pPr>
      <w:ind w:leftChars="200" w:left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64212C-8940-444E-A8AE-30E139C679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8</Pages>
  <Words>480</Words>
  <Characters>2740</Characters>
  <Application>Microsoft Office Word</Application>
  <DocSecurity>0</DocSecurity>
  <Lines>22</Lines>
  <Paragraphs>6</Paragraphs>
  <ScaleCrop>false</ScaleCrop>
  <Company/>
  <LinksUpToDate>false</LinksUpToDate>
  <CharactersWithSpaces>3214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测试计划</dc:title>
  <dc:creator>020202项目组</dc:creator>
  <cp:lastModifiedBy>晓雷 李</cp:lastModifiedBy>
  <cp:revision>4</cp:revision>
  <dcterms:created xsi:type="dcterms:W3CDTF">2026-08-29T14:22:00Z</dcterms:created>
  <dcterms:modified xsi:type="dcterms:W3CDTF">2026-09-06T14:27:00Z</dcterms:modified>
  <dc:subject>某自然博物馆智能运营中心建设项目——应急管理子系统 G3-09</dc:subject>
  <dc:description>SIMULATED_OWNER_CONFIRMATION / SIMULATED_EVIDENCE; not real-site evidence</dc:description>
</cp:coreProperties>
</file>