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386975">
      <w:pPr>
        <w:spacing w:after="80"/>
        <w:jc w:val="right"/>
        <w:rPr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文档编号：YJGL-G3-11　　版本号：V0.1</w:t>
      </w:r>
    </w:p>
    <w:p w14:paraId="0D32676D">
      <w:pPr>
        <w:spacing w:before="1200" w:after="360"/>
        <w:jc w:val="right"/>
        <w:rPr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密　　级：内部 · 教学用</w:t>
      </w:r>
    </w:p>
    <w:p w14:paraId="61B683BB">
      <w:pPr>
        <w:spacing w:before="2000" w:after="480"/>
        <w:jc w:val="center"/>
      </w:pPr>
    </w:p>
    <w:p w14:paraId="31E8938C">
      <w:pPr>
        <w:pBdr>
          <w:bottom w:val="single" w:color="000000" w:sz="12" w:space="8"/>
        </w:pBdr>
        <w:spacing w:before="240" w:after="360"/>
        <w:jc w:val="center"/>
        <w:rPr>
          <w:b/>
          <w:bCs/>
          <w:sz w:val="44"/>
          <w:szCs w:val="44"/>
        </w:rPr>
      </w:pPr>
      <w:r>
        <w:rPr>
          <w:rFonts w:ascii="Times New Roman" w:hAnsi="Times New Roman" w:eastAsia="宋体"/>
          <w:b/>
          <w:bCs/>
          <w:sz w:val="44"/>
          <w:szCs w:val="44"/>
        </w:rPr>
        <w:t>某自然博物馆智能运营中心建设项目——应急管理子系统</w:t>
      </w:r>
    </w:p>
    <w:p w14:paraId="427129F1">
      <w:pPr>
        <w:spacing w:before="520" w:after="200"/>
        <w:jc w:val="center"/>
        <w:rPr>
          <w:b/>
          <w:bCs/>
          <w:sz w:val="56"/>
          <w:szCs w:val="56"/>
        </w:rPr>
      </w:pPr>
      <w:r>
        <w:rPr>
          <w:rFonts w:ascii="Times New Roman" w:hAnsi="Times New Roman" w:eastAsia="宋体"/>
          <w:b/>
          <w:bCs/>
          <w:sz w:val="56"/>
          <w:szCs w:val="56"/>
        </w:rPr>
        <w:t>项目管理计划</w:t>
      </w:r>
    </w:p>
    <w:p w14:paraId="0A62D25A">
      <w:pPr>
        <w:spacing w:after="80"/>
        <w:jc w:val="center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>（G3-11 评审候选）</w:t>
      </w:r>
    </w:p>
    <w:p w14:paraId="0C2C8B55">
      <w:pPr>
        <w:spacing w:before="1600" w:after="80"/>
        <w:jc w:val="center"/>
      </w:pPr>
    </w:p>
    <w:p w14:paraId="23E9FE0B">
      <w:pPr>
        <w:spacing w:after="20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t>编制单位：020202项目组</w:t>
      </w:r>
    </w:p>
    <w:p w14:paraId="62C3AE61">
      <w:pPr>
        <w:spacing w:after="20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编　　制：何思源（项目经理 / 总编）</w:t>
      </w:r>
    </w:p>
    <w:p w14:paraId="0805BCE6">
      <w:pPr>
        <w:spacing w:after="20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审　　核：任俊强（需求与质量负责人）</w:t>
      </w:r>
    </w:p>
    <w:p w14:paraId="5F2C681E">
      <w:pPr>
        <w:spacing w:after="20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t>批　　准：李晓雷　签章日期：2026.09.26</w:t>
      </w:r>
    </w:p>
    <w:p w14:paraId="45A33950">
      <w:pPr>
        <w:spacing w:before="200" w:after="8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编制日期：2026 年 9 月 19 日</w:t>
      </w:r>
    </w:p>
    <w:p w14:paraId="21DA99EA">
      <w:r>
        <w:rPr>
          <w:color w:val="000000"/>
        </w:rPr>
        <w:br w:type="page"/>
      </w:r>
    </w:p>
    <w:p w14:paraId="5A4F7668">
      <w:pPr>
        <w:spacing w:before="120" w:after="120"/>
        <w:jc w:val="center"/>
      </w:pPr>
      <w:r>
        <w:rPr>
          <w:rFonts w:ascii="Times New Roman" w:hAnsi="Times New Roman" w:eastAsia="宋体"/>
        </w:rPr>
        <w:t>修订记录</w:t>
      </w:r>
    </w:p>
    <w:tbl>
      <w:tblPr>
        <w:tblStyle w:val="15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88"/>
        <w:gridCol w:w="1360"/>
        <w:gridCol w:w="3265"/>
        <w:gridCol w:w="1360"/>
        <w:gridCol w:w="1995"/>
      </w:tblGrid>
      <w:tr w14:paraId="58FD40F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  <w:jc w:val="center"/>
        </w:trPr>
        <w:tc>
          <w:tcPr>
            <w:tcW w:w="1088" w:type="dxa"/>
            <w:shd w:val="clear" w:color="auto" w:fill="D9E2EC"/>
            <w:vAlign w:val="center"/>
          </w:tcPr>
          <w:p w14:paraId="1174756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 w14:paraId="72965AA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 w14:paraId="55479F3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 w14:paraId="19104E7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 w14:paraId="01EECD7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 w14:paraId="464C851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088" w:type="dxa"/>
            <w:vAlign w:val="center"/>
          </w:tcPr>
          <w:p w14:paraId="5E54CE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w="1360" w:type="dxa"/>
            <w:vAlign w:val="center"/>
          </w:tcPr>
          <w:p w14:paraId="2DD394E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2026-09-19</w:t>
            </w:r>
          </w:p>
        </w:tc>
        <w:tc>
          <w:tcPr>
            <w:tcW w:w="3265" w:type="dxa"/>
            <w:vAlign w:val="center"/>
          </w:tcPr>
          <w:p w14:paraId="1B8C577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w="1360" w:type="dxa"/>
            <w:vAlign w:val="center"/>
          </w:tcPr>
          <w:p w14:paraId="518F9D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建立 G3-11 项目管理计划候选，形成范围、资源、里程碑、偏差与 AC-G2-FR-015-03 管理抽查规则。</w:t>
            </w:r>
          </w:p>
        </w:tc>
        <w:tc>
          <w:tcPr>
            <w:tcW w:w="1995" w:type="dxa"/>
            <w:vAlign w:val="center"/>
          </w:tcPr>
          <w:p w14:paraId="4ACBC23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何思源</w:t>
            </w:r>
          </w:p>
        </w:tc>
      </w:tr>
    </w:tbl>
    <w:p w14:paraId="7C17A7A1">
      <w:bookmarkStart w:id="0" w:name="_GoBack"/>
      <w:bookmarkEnd w:id="0"/>
      <w:r>
        <w:rPr>
          <w:color w:val="000000"/>
        </w:rPr>
        <w:br w:type="page"/>
      </w:r>
    </w:p>
    <w:p w14:paraId="156E5D21">
      <w:pPr>
        <w:pageBreakBefore/>
      </w:pPr>
    </w:p>
    <w:p w14:paraId="351504E2">
      <w:pPr>
        <w:spacing w:after="240"/>
        <w:jc w:val="center"/>
      </w:pPr>
      <w:r>
        <w:rPr>
          <w:rFonts w:eastAsia="黑体"/>
          <w:b/>
          <w:bCs/>
          <w:color w:val="000000"/>
          <w:sz w:val="32"/>
          <w:szCs w:val="32"/>
        </w:rPr>
        <w:t>目　　录</w:t>
      </w:r>
    </w:p>
    <w:p w14:paraId="416303C0">
      <w:pPr>
        <w:pStyle w:val="11"/>
        <w:tabs>
          <w:tab w:val="right" w:leader="dot" w:pos="8500"/>
        </w:tabs>
      </w:pPr>
      <w:r>
        <w:t>1 引言</w:t>
      </w:r>
      <w:r>
        <w:tab/>
      </w:r>
      <w:r>
        <w:t>1</w:t>
      </w:r>
    </w:p>
    <w:p w14:paraId="11F45174">
      <w:pPr>
        <w:pStyle w:val="13"/>
        <w:tabs>
          <w:tab w:val="right" w:leader="dot" w:pos="8500"/>
        </w:tabs>
      </w:pPr>
      <w:r>
        <w:t>1.1 编写目的</w:t>
      </w:r>
      <w:r>
        <w:tab/>
      </w:r>
      <w:r>
        <w:t>1</w:t>
      </w:r>
    </w:p>
    <w:p w14:paraId="519204BA">
      <w:pPr>
        <w:pStyle w:val="13"/>
        <w:tabs>
          <w:tab w:val="right" w:leader="dot" w:pos="8500"/>
        </w:tabs>
      </w:pPr>
      <w:r>
        <w:t>1.2 项目概况</w:t>
      </w:r>
      <w:r>
        <w:tab/>
      </w:r>
      <w:r>
        <w:t>1</w:t>
      </w:r>
    </w:p>
    <w:p w14:paraId="6C888C1C">
      <w:pPr>
        <w:pStyle w:val="13"/>
        <w:tabs>
          <w:tab w:val="right" w:leader="dot" w:pos="8500"/>
        </w:tabs>
      </w:pPr>
      <w:r>
        <w:t>1.3 管理原则</w:t>
      </w:r>
      <w:r>
        <w:tab/>
      </w:r>
      <w:r>
        <w:t>1</w:t>
      </w:r>
    </w:p>
    <w:p w14:paraId="6C8846F5">
      <w:pPr>
        <w:pStyle w:val="11"/>
        <w:tabs>
          <w:tab w:val="right" w:leader="dot" w:pos="8500"/>
        </w:tabs>
      </w:pPr>
      <w:r>
        <w:t>2 范围管理</w:t>
      </w:r>
      <w:r>
        <w:tab/>
      </w:r>
      <w:r>
        <w:t>1</w:t>
      </w:r>
    </w:p>
    <w:p w14:paraId="5D147A8B">
      <w:pPr>
        <w:pStyle w:val="13"/>
        <w:tabs>
          <w:tab w:val="right" w:leader="dot" w:pos="8500"/>
        </w:tabs>
      </w:pPr>
      <w:r>
        <w:t>2.1 范围基线</w:t>
      </w:r>
      <w:r>
        <w:tab/>
      </w:r>
      <w:r>
        <w:t>1</w:t>
      </w:r>
    </w:p>
    <w:p w14:paraId="3E94F8DD">
      <w:pPr>
        <w:pStyle w:val="13"/>
        <w:tabs>
          <w:tab w:val="right" w:leader="dot" w:pos="8500"/>
        </w:tabs>
      </w:pPr>
      <w:r>
        <w:t>2.2 范围控制</w:t>
      </w:r>
      <w:r>
        <w:tab/>
      </w:r>
      <w:r>
        <w:t>1</w:t>
      </w:r>
    </w:p>
    <w:p w14:paraId="0C3AD683">
      <w:pPr>
        <w:pStyle w:val="13"/>
        <w:tabs>
          <w:tab w:val="right" w:leader="dot" w:pos="8500"/>
        </w:tabs>
      </w:pPr>
      <w:r>
        <w:t>2.3 交付物与工作分解</w:t>
      </w:r>
      <w:r>
        <w:tab/>
      </w:r>
      <w:r>
        <w:t>1</w:t>
      </w:r>
    </w:p>
    <w:p w14:paraId="5C1B7A23">
      <w:pPr>
        <w:pStyle w:val="11"/>
        <w:tabs>
          <w:tab w:val="right" w:leader="dot" w:pos="8500"/>
        </w:tabs>
      </w:pPr>
      <w:r>
        <w:t>3 组织与资源管理</w:t>
      </w:r>
      <w:r>
        <w:tab/>
      </w:r>
      <w:r>
        <w:t>2</w:t>
      </w:r>
    </w:p>
    <w:p w14:paraId="201B8102">
      <w:pPr>
        <w:pStyle w:val="13"/>
        <w:tabs>
          <w:tab w:val="right" w:leader="dot" w:pos="8500"/>
        </w:tabs>
      </w:pPr>
      <w:r>
        <w:t>3.1 组织与职责</w:t>
      </w:r>
      <w:r>
        <w:tab/>
      </w:r>
      <w:r>
        <w:t>2</w:t>
      </w:r>
    </w:p>
    <w:p w14:paraId="1DAA4D2A">
      <w:pPr>
        <w:pStyle w:val="13"/>
        <w:tabs>
          <w:tab w:val="right" w:leader="dot" w:pos="8500"/>
        </w:tabs>
      </w:pPr>
      <w:r>
        <w:t>3.2 资源与 WIP</w:t>
      </w:r>
      <w:r>
        <w:tab/>
      </w:r>
      <w:r>
        <w:t>2</w:t>
      </w:r>
    </w:p>
    <w:p w14:paraId="10982BC6">
      <w:pPr>
        <w:pStyle w:val="11"/>
        <w:tabs>
          <w:tab w:val="right" w:leader="dot" w:pos="8500"/>
        </w:tabs>
      </w:pPr>
      <w:r>
        <w:t>4 进度与里程碑管理</w:t>
      </w:r>
      <w:r>
        <w:tab/>
      </w:r>
      <w:r>
        <w:t>2</w:t>
      </w:r>
    </w:p>
    <w:p w14:paraId="41926BC8">
      <w:pPr>
        <w:pStyle w:val="13"/>
        <w:tabs>
          <w:tab w:val="right" w:leader="dot" w:pos="8500"/>
        </w:tabs>
      </w:pPr>
      <w:r>
        <w:t>4.1 里程碑与依赖</w:t>
      </w:r>
      <w:r>
        <w:tab/>
      </w:r>
      <w:r>
        <w:t>2</w:t>
      </w:r>
    </w:p>
    <w:p w14:paraId="6F42A6FB">
      <w:pPr>
        <w:pStyle w:val="13"/>
        <w:tabs>
          <w:tab w:val="right" w:leader="dot" w:pos="8500"/>
        </w:tabs>
      </w:pPr>
      <w:r>
        <w:t>4.2 进度控制</w:t>
      </w:r>
      <w:r>
        <w:tab/>
      </w:r>
      <w:r>
        <w:t>3</w:t>
      </w:r>
    </w:p>
    <w:p w14:paraId="38E256F7">
      <w:pPr>
        <w:pStyle w:val="13"/>
        <w:tabs>
          <w:tab w:val="right" w:leader="dot" w:pos="8500"/>
        </w:tabs>
      </w:pPr>
      <w:r>
        <w:t>4.3 进度缓冲</w:t>
      </w:r>
      <w:r>
        <w:tab/>
      </w:r>
      <w:r>
        <w:t>3</w:t>
      </w:r>
    </w:p>
    <w:p w14:paraId="7BCD6E74">
      <w:pPr>
        <w:pStyle w:val="11"/>
        <w:tabs>
          <w:tab w:val="right" w:leader="dot" w:pos="8500"/>
        </w:tabs>
      </w:pPr>
      <w:r>
        <w:t>5 沟通与决策管理</w:t>
      </w:r>
      <w:r>
        <w:tab/>
      </w:r>
      <w:r>
        <w:t>3</w:t>
      </w:r>
    </w:p>
    <w:p w14:paraId="5ADF98C1">
      <w:pPr>
        <w:pStyle w:val="11"/>
        <w:tabs>
          <w:tab w:val="right" w:leader="dot" w:pos="8500"/>
        </w:tabs>
      </w:pPr>
      <w:r>
        <w:t>6 质量、配置与交付管理</w:t>
      </w:r>
      <w:r>
        <w:tab/>
      </w:r>
      <w:r>
        <w:t>3</w:t>
      </w:r>
    </w:p>
    <w:p w14:paraId="395B609B">
      <w:pPr>
        <w:pStyle w:val="13"/>
        <w:tabs>
          <w:tab w:val="right" w:leader="dot" w:pos="8500"/>
        </w:tabs>
      </w:pPr>
      <w:r>
        <w:t>6.1 质量门禁</w:t>
      </w:r>
      <w:r>
        <w:tab/>
      </w:r>
      <w:r>
        <w:t>3</w:t>
      </w:r>
    </w:p>
    <w:p w14:paraId="23E1FCD6">
      <w:pPr>
        <w:pStyle w:val="13"/>
        <w:tabs>
          <w:tab w:val="right" w:leader="dot" w:pos="8500"/>
        </w:tabs>
      </w:pPr>
      <w:r>
        <w:t>6.2 配置与基线</w:t>
      </w:r>
      <w:r>
        <w:tab/>
      </w:r>
      <w:r>
        <w:t>3</w:t>
      </w:r>
    </w:p>
    <w:p w14:paraId="0D167F04">
      <w:pPr>
        <w:pStyle w:val="13"/>
        <w:tabs>
          <w:tab w:val="right" w:leader="dot" w:pos="8500"/>
        </w:tabs>
      </w:pPr>
      <w:r>
        <w:t>6.3 验收与交付</w:t>
      </w:r>
      <w:r>
        <w:tab/>
      </w:r>
      <w:r>
        <w:t>4</w:t>
      </w:r>
    </w:p>
    <w:p w14:paraId="20CC84F1">
      <w:pPr>
        <w:pStyle w:val="11"/>
        <w:tabs>
          <w:tab w:val="right" w:leader="dot" w:pos="8500"/>
        </w:tabs>
      </w:pPr>
      <w:r>
        <w:t>7 偏差、问题与变更管理</w:t>
      </w:r>
      <w:r>
        <w:tab/>
      </w:r>
      <w:r>
        <w:t>4</w:t>
      </w:r>
    </w:p>
    <w:p w14:paraId="293F99D0">
      <w:pPr>
        <w:pStyle w:val="13"/>
        <w:tabs>
          <w:tab w:val="right" w:leader="dot" w:pos="8500"/>
        </w:tabs>
      </w:pPr>
      <w:r>
        <w:t>7.1 偏差分级</w:t>
      </w:r>
      <w:r>
        <w:tab/>
      </w:r>
      <w:r>
        <w:t>4</w:t>
      </w:r>
    </w:p>
    <w:p w14:paraId="6EE322A8">
      <w:pPr>
        <w:pStyle w:val="13"/>
        <w:tabs>
          <w:tab w:val="right" w:leader="dot" w:pos="8500"/>
        </w:tabs>
      </w:pPr>
      <w:r>
        <w:t>7.2 偏差处置流程</w:t>
      </w:r>
      <w:r>
        <w:tab/>
      </w:r>
      <w:r>
        <w:t>4</w:t>
      </w:r>
    </w:p>
    <w:p w14:paraId="4BAB4434">
      <w:pPr>
        <w:pStyle w:val="13"/>
        <w:tabs>
          <w:tab w:val="right" w:leader="dot" w:pos="8500"/>
        </w:tabs>
      </w:pPr>
      <w:r>
        <w:t>7.3 任务催办与临时任务专项规则</w:t>
      </w:r>
      <w:r>
        <w:tab/>
      </w:r>
      <w:r>
        <w:t>4</w:t>
      </w:r>
    </w:p>
    <w:p w14:paraId="3248BB2B">
      <w:pPr>
        <w:pStyle w:val="11"/>
        <w:tabs>
          <w:tab w:val="right" w:leader="dot" w:pos="8500"/>
        </w:tabs>
      </w:pPr>
      <w:r>
        <w:t>8 风险与问题管理</w:t>
      </w:r>
      <w:r>
        <w:tab/>
      </w:r>
      <w:r>
        <w:t>4</w:t>
      </w:r>
    </w:p>
    <w:p w14:paraId="2F83D530">
      <w:pPr>
        <w:pStyle w:val="11"/>
        <w:tabs>
          <w:tab w:val="right" w:leader="dot" w:pos="8500"/>
        </w:tabs>
      </w:pPr>
      <w:r>
        <w:t>9 监控、报告与收尾</w:t>
      </w:r>
      <w:r>
        <w:tab/>
      </w:r>
      <w:r>
        <w:t>5</w:t>
      </w:r>
    </w:p>
    <w:p w14:paraId="243CD5E7">
      <w:pPr>
        <w:pStyle w:val="11"/>
        <w:tabs>
          <w:tab w:val="right" w:leader="dot" w:pos="8500"/>
        </w:tabs>
      </w:pPr>
      <w:r>
        <w:t>10 本计划准出检查</w:t>
      </w:r>
      <w:r>
        <w:tab/>
      </w:r>
      <w:r>
        <w:t>5</w:t>
      </w:r>
    </w:p>
    <w:p w14:paraId="7F777258">
      <w:pPr>
        <w:pStyle w:val="2"/>
        <w:pageBreakBefore/>
        <w:spacing w:before="240" w:after="160"/>
        <w:rPr>
          <w:rFonts w:eastAsia="黑体"/>
          <w:b/>
          <w:bCs/>
        </w:rPr>
        <w:sectPr>
          <w:headerReference r:id="rId5" w:type="first"/>
          <w:headerReference r:id="rId3" w:type="default"/>
          <w:footerReference r:id="rId6" w:type="default"/>
          <w:headerReference r:id="rId4" w:type="even"/>
          <w:pgSz w:w="11906" w:h="16838"/>
          <w:pgMar w:top="1440" w:right="1440" w:bottom="1440" w:left="1440" w:header="708" w:footer="708" w:gutter="0"/>
          <w:pgNumType w:fmt="upperRoman" w:start="1"/>
          <w:cols w:space="720" w:num="1"/>
          <w:titlePg/>
          <w:docGrid w:linePitch="360" w:charSpace="0"/>
        </w:sectPr>
      </w:pPr>
    </w:p>
    <w:p w14:paraId="4EEEF93A">
      <w:pPr>
        <w:pStyle w:val="2"/>
        <w:keepNext/>
      </w:pPr>
      <w:r>
        <w:rPr>
          <w:rFonts w:ascii="Times New Roman" w:hAnsi="Times New Roman" w:eastAsia="黑体"/>
          <w:b/>
        </w:rPr>
        <w:t>1 引言</w:t>
      </w:r>
    </w:p>
    <w:p w14:paraId="4B6D7C83">
      <w:pPr>
        <w:pStyle w:val="3"/>
        <w:keepNext/>
      </w:pPr>
      <w:r>
        <w:rPr>
          <w:rFonts w:ascii="Times New Roman" w:hAnsi="Times New Roman" w:eastAsia="黑体"/>
          <w:b/>
        </w:rPr>
        <w:t>1.1 编写目的</w:t>
      </w:r>
    </w:p>
    <w:p w14:paraId="00D16726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规定第三关及后续实施衔接阶段的范围、进度、资源、沟通、质量、配置、风险、偏差与验收管理方法，使三人团队能够按受控需求和工程门禁执行。本文只建立管理规则，不把未实施、未测试或未验收事项写成完成。</w:t>
      </w:r>
    </w:p>
    <w:p w14:paraId="671678EC">
      <w:pPr>
        <w:pStyle w:val="3"/>
        <w:keepNext/>
      </w:pPr>
      <w:r>
        <w:rPr>
          <w:rFonts w:ascii="Times New Roman" w:hAnsi="Times New Roman" w:eastAsia="黑体"/>
          <w:b/>
        </w:rPr>
        <w:t>1.2 项目概况</w:t>
      </w:r>
    </w:p>
    <w:p w14:paraId="39D0D20F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项目建设对象为某自然博物馆智能运营中心的应急管理子系统。当前受控需求为 39 条 FR、34 条★、117 条 AC，其中 29 条 MVP Must、10 条非 MVP 本期；第三关已形成设计、接口、ADR/NFR、RTM 与测试计划候选。ISSUE-G3-01-001 仍为 OPEN，真实视频和统一消息通道的环境、账号、字段、认证、脱敏请求响应/回执、失败场景及连通结论尚未齐备，继续阻断相关外部契约与 M3 最终冻结。</w:t>
      </w:r>
    </w:p>
    <w:p w14:paraId="118FD911">
      <w:pPr>
        <w:pStyle w:val="3"/>
        <w:keepNext/>
      </w:pPr>
      <w:r>
        <w:rPr>
          <w:rFonts w:ascii="Times New Roman" w:hAnsi="Times New Roman" w:eastAsia="黑体"/>
          <w:b/>
        </w:rPr>
        <w:t>1.3 管理原则</w:t>
      </w:r>
    </w:p>
    <w:p w14:paraId="73EDBC67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1. 需求、★、关键数字、责任边界与验收强度以冻结基线和控制文件为准，禁止静默改变。</w:t>
      </w:r>
    </w:p>
    <w:p w14:paraId="2EAD577F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2. 每项工作有唯一主责、明确复核、受控输入、可核验输出和具体 AC/门禁；每人同时进行的原子任务不超过 2 项。</w:t>
      </w:r>
    </w:p>
    <w:p w14:paraId="24B60413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3. Mock、原型、静态校验和文档审查只证明对应层级，不替代真实环境、接口、性能、安全或验收证据。</w:t>
      </w:r>
    </w:p>
    <w:p w14:paraId="55E8D594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4. 偏差、阻断和变更必须留痕；门禁失败不得表述为通过。</w:t>
      </w:r>
    </w:p>
    <w:p w14:paraId="23177962">
      <w:pPr>
        <w:pStyle w:val="2"/>
        <w:keepNext/>
      </w:pPr>
      <w:r>
        <w:rPr>
          <w:rFonts w:ascii="Times New Roman" w:hAnsi="Times New Roman" w:eastAsia="黑体"/>
          <w:b/>
        </w:rPr>
        <w:t>2 范围管理</w:t>
      </w:r>
    </w:p>
    <w:p w14:paraId="6C2E9294">
      <w:pPr>
        <w:pStyle w:val="3"/>
        <w:keepNext/>
      </w:pPr>
      <w:r>
        <w:rPr>
          <w:rFonts w:ascii="Times New Roman" w:hAnsi="Times New Roman" w:eastAsia="黑体"/>
          <w:b/>
        </w:rPr>
        <w:t>2.1 范围基线</w:t>
      </w:r>
    </w:p>
    <w:p w14:paraId="5E055D15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范围基线与管理口径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3024"/>
        <w:gridCol w:w="4536"/>
      </w:tblGrid>
      <w:tr w14:paraId="029372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512" w:type="dxa"/>
            <w:vAlign w:val="center"/>
          </w:tcPr>
          <w:p w14:paraId="0AE6F2C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范围项</w:t>
            </w:r>
          </w:p>
        </w:tc>
        <w:tc>
          <w:tcPr>
            <w:tcW w:w="3024" w:type="dxa"/>
            <w:vAlign w:val="center"/>
          </w:tcPr>
          <w:p w14:paraId="6F4061A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受控口径</w:t>
            </w:r>
          </w:p>
        </w:tc>
        <w:tc>
          <w:tcPr>
            <w:tcW w:w="4536" w:type="dxa"/>
            <w:vAlign w:val="center"/>
          </w:tcPr>
          <w:p w14:paraId="7F1A95D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管理方法</w:t>
            </w:r>
          </w:p>
        </w:tc>
      </w:tr>
      <w:tr w14:paraId="17D739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178AAD6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功能与验收</w:t>
            </w:r>
          </w:p>
        </w:tc>
        <w:tc>
          <w:tcPr>
            <w:tcW w:w="3024" w:type="dxa"/>
            <w:vAlign w:val="center"/>
          </w:tcPr>
          <w:p w14:paraId="1CDA287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G2-FR-001—039、117 条 AC、34 条★</w:t>
            </w:r>
          </w:p>
        </w:tc>
        <w:tc>
          <w:tcPr>
            <w:tcW w:w="4536" w:type="dxa"/>
            <w:vAlign w:val="center"/>
          </w:tcPr>
          <w:p w14:paraId="4573592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由 spec、SRS、RTM 双向追踪；变更须进入 Change/Issue</w:t>
            </w:r>
          </w:p>
        </w:tc>
      </w:tr>
      <w:tr w14:paraId="734714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4FEE0A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交付范围</w:t>
            </w:r>
          </w:p>
        </w:tc>
        <w:tc>
          <w:tcPr>
            <w:tcW w:w="3024" w:type="dxa"/>
            <w:vAlign w:val="center"/>
          </w:tcPr>
          <w:p w14:paraId="7C92739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 至少 12 项正式成果及 plan/tasks/constitution/RTM 基线资产</w:t>
            </w:r>
          </w:p>
        </w:tc>
        <w:tc>
          <w:tcPr>
            <w:tcW w:w="4536" w:type="dxa"/>
            <w:vAlign w:val="center"/>
          </w:tcPr>
          <w:p w14:paraId="36BA31C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按唯一主责、复核和统一 DoD 准出</w:t>
            </w:r>
          </w:p>
        </w:tc>
      </w:tr>
      <w:tr w14:paraId="113B18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703C7CA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外部能力</w:t>
            </w:r>
          </w:p>
        </w:tc>
        <w:tc>
          <w:tcPr>
            <w:tcW w:w="3024" w:type="dxa"/>
            <w:vAlign w:val="center"/>
          </w:tcPr>
          <w:p w14:paraId="0594017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视频、信息发布、门禁、消防、入侵、物联网、中台、统一消息</w:t>
            </w:r>
          </w:p>
        </w:tc>
        <w:tc>
          <w:tcPr>
            <w:tcW w:w="4536" w:type="dxa"/>
            <w:vAlign w:val="center"/>
          </w:tcPr>
          <w:p w14:paraId="6399E81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甲方提供能力/环境/合法数据；项目组负责适配与验证，不扩展为第三方系统建设</w:t>
            </w:r>
          </w:p>
        </w:tc>
      </w:tr>
      <w:tr w14:paraId="792522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56618F8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不在范围</w:t>
            </w:r>
          </w:p>
        </w:tc>
        <w:tc>
          <w:tcPr>
            <w:tcW w:w="3024" w:type="dxa"/>
            <w:vAlign w:val="center"/>
          </w:tcPr>
          <w:p w14:paraId="3181308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重新测绘、三维模型制作、既有录像存储、宿主 APP 原生开发、外部系统内部改造</w:t>
            </w:r>
          </w:p>
        </w:tc>
        <w:tc>
          <w:tcPr>
            <w:tcW w:w="4536" w:type="dxa"/>
            <w:vAlign w:val="center"/>
          </w:tcPr>
          <w:p w14:paraId="2725686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仅验证本项目接口、嵌入、授权、失败与降级边界</w:t>
            </w:r>
          </w:p>
        </w:tc>
      </w:tr>
    </w:tbl>
    <w:p w14:paraId="2C7A93C9">
      <w:pPr>
        <w:pStyle w:val="3"/>
        <w:keepNext/>
      </w:pPr>
      <w:r>
        <w:rPr>
          <w:rFonts w:ascii="Times New Roman" w:hAnsi="Times New Roman" w:eastAsia="黑体"/>
          <w:b/>
        </w:rPr>
        <w:t>2.2 范围控制</w:t>
      </w:r>
    </w:p>
    <w:p w14:paraId="78D74DFC">
      <w:pPr>
        <w:spacing w:after="100" w:line="300" w:lineRule="auto"/>
        <w:ind w:firstLine="480"/>
        <w:jc w:val="both"/>
      </w:pPr>
      <w:r>
        <w:t>新增、删除或改变 FR、★、AC、关键数字、责任边界、工期门禁和验收强度时，主责先登记 Issue/Change，完成影响分析、授权裁决、RTM 与计划同步，再执行获批变更。未经批准的建议、原型差异或技术便利不得进入正式范围。需求澄清不等于新增承诺；证据不足时统一标记 【课程模拟确认】。</w:t>
      </w:r>
    </w:p>
    <w:p w14:paraId="470667A5">
      <w:pPr>
        <w:pStyle w:val="3"/>
        <w:keepNext/>
      </w:pPr>
      <w:r>
        <w:rPr>
          <w:rFonts w:ascii="Times New Roman" w:hAnsi="Times New Roman" w:eastAsia="黑体"/>
          <w:b/>
        </w:rPr>
        <w:t>2.3 交付物与工作分解</w:t>
      </w:r>
    </w:p>
    <w:p w14:paraId="05C4CFC6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G3-02 已将工作拆分为 32 个不大于 0.5 人日的原子包，覆盖设计、数据、接口、ADR/NFR、RTM、测试和四份管理计划。G3-11 对应 WBS-05；其输出为本计划工作稿、正式 Word、版式/内容检查证据与复核入口。后续实现必须继续回指相应 WBS、设计 ID、FR/AC 与验证记录，不得以聚合任务替代原子执行记录。</w:t>
      </w:r>
    </w:p>
    <w:p w14:paraId="431DF71E">
      <w:pPr>
        <w:pStyle w:val="2"/>
        <w:keepNext/>
      </w:pPr>
      <w:r>
        <w:rPr>
          <w:rFonts w:ascii="Times New Roman" w:hAnsi="Times New Roman" w:eastAsia="黑体"/>
          <w:b/>
        </w:rPr>
        <w:t>3 组织与资源管理</w:t>
      </w:r>
    </w:p>
    <w:p w14:paraId="1A8B4FF4">
      <w:pPr>
        <w:pStyle w:val="3"/>
        <w:keepNext/>
      </w:pPr>
      <w:r>
        <w:rPr>
          <w:rFonts w:ascii="Times New Roman" w:hAnsi="Times New Roman" w:eastAsia="黑体"/>
          <w:b/>
        </w:rPr>
        <w:t>3.1 组织与职责</w:t>
      </w:r>
    </w:p>
    <w:p w14:paraId="59B632DA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项目团队职责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0867B4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09AE561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成员</w:t>
            </w:r>
          </w:p>
        </w:tc>
        <w:tc>
          <w:tcPr>
            <w:tcW w:w="2433" w:type="dxa"/>
            <w:vAlign w:val="center"/>
          </w:tcPr>
          <w:p w14:paraId="7EB5A01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项目角色</w:t>
            </w:r>
          </w:p>
        </w:tc>
        <w:tc>
          <w:tcPr>
            <w:tcW w:w="2765" w:type="dxa"/>
            <w:vAlign w:val="center"/>
          </w:tcPr>
          <w:p w14:paraId="0B91D69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主要职责</w:t>
            </w:r>
          </w:p>
        </w:tc>
        <w:tc>
          <w:tcPr>
            <w:tcW w:w="2544" w:type="dxa"/>
            <w:vAlign w:val="center"/>
          </w:tcPr>
          <w:p w14:paraId="4D4CB66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复核边界</w:t>
            </w:r>
          </w:p>
        </w:tc>
      </w:tr>
      <w:tr w14:paraId="5E4CAE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1475DA0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何思源</w:t>
            </w:r>
          </w:p>
        </w:tc>
        <w:tc>
          <w:tcPr>
            <w:tcW w:w="2433" w:type="dxa"/>
            <w:vAlign w:val="center"/>
          </w:tcPr>
          <w:p w14:paraId="274540D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A；项目经理、总编、配置/风险主责</w:t>
            </w:r>
          </w:p>
        </w:tc>
        <w:tc>
          <w:tcPr>
            <w:tcW w:w="2765" w:type="dxa"/>
            <w:vAlign w:val="center"/>
          </w:tcPr>
          <w:p w14:paraId="2D8867B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计划、资源协调、跨文档一致性、配置与变更、风险、M3 和交付收口</w:t>
            </w:r>
          </w:p>
        </w:tc>
        <w:tc>
          <w:tcPr>
            <w:tcW w:w="2544" w:type="dxa"/>
            <w:vAlign w:val="center"/>
          </w:tcPr>
          <w:p w14:paraId="290DF77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复核 B 的可交付性与 C 的 RTM/测试；不替代技术或事实主责</w:t>
            </w:r>
          </w:p>
        </w:tc>
      </w:tr>
      <w:tr w14:paraId="42FDD1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0598C7E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严宇</w:t>
            </w:r>
          </w:p>
        </w:tc>
        <w:tc>
          <w:tcPr>
            <w:tcW w:w="2433" w:type="dxa"/>
            <w:vAlign w:val="center"/>
          </w:tcPr>
          <w:p w14:paraId="76AF8C3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B；技术负责人</w:t>
            </w:r>
          </w:p>
        </w:tc>
        <w:tc>
          <w:tcPr>
            <w:tcW w:w="2765" w:type="dxa"/>
            <w:vAlign w:val="center"/>
          </w:tcPr>
          <w:p w14:paraId="22AC0D7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架构、详细/数据/接口设计、OpenAPI、ADR/NFR、实施与技术验证</w:t>
            </w:r>
          </w:p>
        </w:tc>
        <w:tc>
          <w:tcPr>
            <w:tcW w:w="2544" w:type="dxa"/>
            <w:vAlign w:val="center"/>
          </w:tcPr>
          <w:p w14:paraId="2B06953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复核 C 的技术可测性；提供技术风险与估算</w:t>
            </w:r>
          </w:p>
        </w:tc>
      </w:tr>
      <w:tr w14:paraId="794B52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42A93D2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任俊强</w:t>
            </w:r>
          </w:p>
        </w:tc>
        <w:tc>
          <w:tcPr>
            <w:tcW w:w="2433" w:type="dxa"/>
            <w:vAlign w:val="center"/>
          </w:tcPr>
          <w:p w14:paraId="00E175D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C；需求与质量负责人</w:t>
            </w:r>
          </w:p>
        </w:tc>
        <w:tc>
          <w:tcPr>
            <w:tcW w:w="2765" w:type="dxa"/>
            <w:vAlign w:val="center"/>
          </w:tcPr>
          <w:p w14:paraId="5A6D9C9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facts、关键数字、★、RTM、测试与质量、合规审计</w:t>
            </w:r>
          </w:p>
        </w:tc>
        <w:tc>
          <w:tcPr>
            <w:tcW w:w="2544" w:type="dxa"/>
            <w:vAlign w:val="center"/>
          </w:tcPr>
          <w:p w14:paraId="0A0F1B7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复核 A 的范围、计划和配置；不以 Mock 替代现场证据</w:t>
            </w:r>
          </w:p>
        </w:tc>
      </w:tr>
    </w:tbl>
    <w:p w14:paraId="464657D4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三名成员可兼任多个岗位，但同一正式产物只设一名主责；主责不得以自检替代指定复核。批准、甲方提供条件或真实环境结论由有权人员确认，项目组不得代造。</w:t>
      </w:r>
    </w:p>
    <w:p w14:paraId="0889C9CD">
      <w:pPr>
        <w:pStyle w:val="3"/>
        <w:keepNext/>
      </w:pPr>
      <w:r>
        <w:rPr>
          <w:rFonts w:ascii="Times New Roman" w:hAnsi="Times New Roman" w:eastAsia="黑体"/>
          <w:b/>
        </w:rPr>
        <w:t>3.2 资源与 WIP</w:t>
      </w:r>
    </w:p>
    <w:p w14:paraId="7D73C32D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1. 每人最多 2 个 DOING 原子任务；新增紧急任务前先暂停、完成或重新排序现有任务。</w:t>
      </w:r>
    </w:p>
    <w:p w14:paraId="0136ED6F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2. 关键路径优先配置 B 的连续技术时间、C 的追踪/测试时间和 A 的门禁/协调时间。</w:t>
      </w:r>
    </w:p>
    <w:p w14:paraId="23C6F6AE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3. 外部环境、账号、窗口、合法数据和接口材料作为受约束资源登记；未就绪即建阻断 Issue，不以内部桩测宣称联调完成。</w:t>
      </w:r>
    </w:p>
    <w:p w14:paraId="48884A4C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4. 出现人员冲突时，由 A 依据关键路径、★影响、阻断级别和最近门禁重新分配；涉及范围、工期或质量目标变化时升级变更。</w:t>
      </w:r>
    </w:p>
    <w:p w14:paraId="710CDB09">
      <w:pPr>
        <w:pStyle w:val="2"/>
        <w:keepNext/>
      </w:pPr>
      <w:r>
        <w:rPr>
          <w:rFonts w:ascii="Times New Roman" w:hAnsi="Times New Roman" w:eastAsia="黑体"/>
          <w:b/>
        </w:rPr>
        <w:t>4 进度与里程碑管理</w:t>
      </w:r>
    </w:p>
    <w:p w14:paraId="32C797A9">
      <w:pPr>
        <w:pStyle w:val="3"/>
        <w:keepNext/>
      </w:pPr>
      <w:r>
        <w:rPr>
          <w:rFonts w:ascii="Times New Roman" w:hAnsi="Times New Roman" w:eastAsia="黑体"/>
          <w:b/>
        </w:rPr>
        <w:t>4.1 里程碑与依赖</w:t>
      </w:r>
    </w:p>
    <w:p w14:paraId="1BC27142">
      <w:pPr>
        <w:jc w:val="center"/>
      </w:pPr>
      <w:r>
        <w:drawing>
          <wp:inline distT="0" distB="0" distL="114300" distR="114300">
            <wp:extent cx="5471795" cy="3077845"/>
            <wp:effectExtent l="0" t="0" r="14605" b="8255"/>
            <wp:docPr id="1" name="Picture 1" descr="展示单元测试、集成测试、系统测试到验收测试的四级证据递进关系。" title="图 3-1 四级测试与验收证据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展示单元测试、集成测试、系统测试到验收测试的四级证据递进关系。" title="图 3-1 四级测试与验收证据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B4F3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图 4-1 G3 至 M3 里程碑与门禁</w:t>
      </w:r>
    </w:p>
    <w:p w14:paraId="5FACB1B9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G3 的关键路径为 G3-02 → G3-03 → G3-04 → G3-05 → G3-06 → G3-08 → G3-09 → G3-10；G3-07 可与 G3-04 并行，G3-11—14 可在 G3-02 REVIEW 后与设计并行。M3 的受控门禁要求 G3-02—14 至少进入 REVIEW、RTM 无断链、评审问题闭环，且阻断项已关闭或取得有权书面替代/延期裁决。</w:t>
      </w:r>
    </w:p>
    <w:p w14:paraId="5DFE6990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里程碑准入与准出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52CE7C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5F3DF28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节点</w:t>
            </w:r>
          </w:p>
        </w:tc>
        <w:tc>
          <w:tcPr>
            <w:tcW w:w="2433" w:type="dxa"/>
            <w:vAlign w:val="center"/>
          </w:tcPr>
          <w:p w14:paraId="115201A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准入</w:t>
            </w:r>
          </w:p>
        </w:tc>
        <w:tc>
          <w:tcPr>
            <w:tcW w:w="2765" w:type="dxa"/>
            <w:vAlign w:val="center"/>
          </w:tcPr>
          <w:p w14:paraId="2769F78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准出/证据</w:t>
            </w:r>
          </w:p>
        </w:tc>
        <w:tc>
          <w:tcPr>
            <w:tcW w:w="2544" w:type="dxa"/>
            <w:vAlign w:val="center"/>
          </w:tcPr>
          <w:p w14:paraId="329E727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责任</w:t>
            </w:r>
          </w:p>
        </w:tc>
      </w:tr>
      <w:tr w14:paraId="00AAAC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9E6F10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D0 概要设计</w:t>
            </w:r>
          </w:p>
        </w:tc>
        <w:tc>
          <w:tcPr>
            <w:tcW w:w="2433" w:type="dxa"/>
            <w:vAlign w:val="center"/>
          </w:tcPr>
          <w:p w14:paraId="3656022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G3-02 REVIEW</w:t>
            </w:r>
          </w:p>
        </w:tc>
        <w:tc>
          <w:tcPr>
            <w:tcW w:w="2765" w:type="dxa"/>
            <w:vAlign w:val="center"/>
          </w:tcPr>
          <w:p w14:paraId="68C9099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模块、数据、部署、责任边界和开放假设清楚</w:t>
            </w:r>
          </w:p>
        </w:tc>
        <w:tc>
          <w:tcPr>
            <w:tcW w:w="2544" w:type="dxa"/>
            <w:vAlign w:val="center"/>
          </w:tcPr>
          <w:p w14:paraId="318CB4C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 主责，A/C 复核</w:t>
            </w:r>
          </w:p>
        </w:tc>
      </w:tr>
      <w:tr w14:paraId="06404F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381413D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D1 数据与 ADR/NFR</w:t>
            </w:r>
          </w:p>
        </w:tc>
        <w:tc>
          <w:tcPr>
            <w:tcW w:w="2433" w:type="dxa"/>
            <w:vAlign w:val="center"/>
          </w:tcPr>
          <w:p w14:paraId="34D46FE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D0 可用</w:t>
            </w:r>
          </w:p>
        </w:tc>
        <w:tc>
          <w:tcPr>
            <w:tcW w:w="2765" w:type="dxa"/>
            <w:vAlign w:val="center"/>
          </w:tcPr>
          <w:p w14:paraId="5CC940F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数据可支撑详细设计；决策和 NFR 可追踪</w:t>
            </w:r>
          </w:p>
        </w:tc>
        <w:tc>
          <w:tcPr>
            <w:tcW w:w="2544" w:type="dxa"/>
            <w:vAlign w:val="center"/>
          </w:tcPr>
          <w:p w14:paraId="33DC7A8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 主责，A/C 复核</w:t>
            </w:r>
          </w:p>
        </w:tc>
      </w:tr>
      <w:tr w14:paraId="3227A7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68654DF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D2 详细与接口</w:t>
            </w:r>
          </w:p>
        </w:tc>
        <w:tc>
          <w:tcPr>
            <w:tcW w:w="2433" w:type="dxa"/>
            <w:vAlign w:val="center"/>
          </w:tcPr>
          <w:p w14:paraId="0B62180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D1 可用</w:t>
            </w:r>
          </w:p>
        </w:tc>
        <w:tc>
          <w:tcPr>
            <w:tcW w:w="2765" w:type="dxa"/>
            <w:vAlign w:val="center"/>
          </w:tcPr>
          <w:p w14:paraId="48222D7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状态/异常/补偿可走查；OpenAPI 可解析；未证实外部契约不冻结</w:t>
            </w:r>
          </w:p>
        </w:tc>
        <w:tc>
          <w:tcPr>
            <w:tcW w:w="2544" w:type="dxa"/>
            <w:vAlign w:val="center"/>
          </w:tcPr>
          <w:p w14:paraId="54D05F3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 主责，A/C 复核</w:t>
            </w:r>
          </w:p>
        </w:tc>
      </w:tr>
      <w:tr w14:paraId="6E4914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14D50E4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D3 RTM 与测试</w:t>
            </w:r>
          </w:p>
        </w:tc>
        <w:tc>
          <w:tcPr>
            <w:tcW w:w="2433" w:type="dxa"/>
            <w:vAlign w:val="center"/>
          </w:tcPr>
          <w:p w14:paraId="5CDF216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D0—D2 候选齐备</w:t>
            </w:r>
          </w:p>
        </w:tc>
        <w:tc>
          <w:tcPr>
            <w:tcW w:w="2765" w:type="dxa"/>
            <w:vAlign w:val="center"/>
          </w:tcPr>
          <w:p w14:paraId="201FA9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39 FR/34★/117 AC 双向挂接，测试门禁可执行</w:t>
            </w:r>
          </w:p>
        </w:tc>
        <w:tc>
          <w:tcPr>
            <w:tcW w:w="2544" w:type="dxa"/>
            <w:vAlign w:val="center"/>
          </w:tcPr>
          <w:p w14:paraId="3150B51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 主责，A/B 复核</w:t>
            </w:r>
          </w:p>
        </w:tc>
      </w:tr>
      <w:tr w14:paraId="137D1C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EB3476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 管理计划</w:t>
            </w:r>
          </w:p>
        </w:tc>
        <w:tc>
          <w:tcPr>
            <w:tcW w:w="2433" w:type="dxa"/>
            <w:vAlign w:val="center"/>
          </w:tcPr>
          <w:p w14:paraId="1B72BC3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G3-02 REVIEW</w:t>
            </w:r>
          </w:p>
        </w:tc>
        <w:tc>
          <w:tcPr>
            <w:tcW w:w="2765" w:type="dxa"/>
            <w:vAlign w:val="center"/>
          </w:tcPr>
          <w:p w14:paraId="5D55180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G3-11—14 正式候选、渲染 QA 与指定复核入口齐备</w:t>
            </w:r>
          </w:p>
        </w:tc>
        <w:tc>
          <w:tcPr>
            <w:tcW w:w="2544" w:type="dxa"/>
            <w:vAlign w:val="center"/>
          </w:tcPr>
          <w:p w14:paraId="2EEE60A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A/C 分工</w:t>
            </w:r>
          </w:p>
        </w:tc>
      </w:tr>
      <w:tr w14:paraId="27A899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5111D84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M3 工程基线</w:t>
            </w:r>
          </w:p>
        </w:tc>
        <w:tc>
          <w:tcPr>
            <w:tcW w:w="2433" w:type="dxa"/>
            <w:vAlign w:val="center"/>
          </w:tcPr>
          <w:p w14:paraId="1E7961C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G3-02—14 至少 REVIEW</w:t>
            </w:r>
          </w:p>
        </w:tc>
        <w:tc>
          <w:tcPr>
            <w:tcW w:w="2765" w:type="dxa"/>
            <w:vAlign w:val="center"/>
          </w:tcPr>
          <w:p w14:paraId="48E854F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一致性审计通过，阻断关闭或获有权裁决后方可冻结</w:t>
            </w:r>
          </w:p>
        </w:tc>
        <w:tc>
          <w:tcPr>
            <w:tcW w:w="2544" w:type="dxa"/>
            <w:vAlign w:val="center"/>
          </w:tcPr>
          <w:p w14:paraId="3B05056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 主责，B/C 复核</w:t>
            </w:r>
          </w:p>
        </w:tc>
      </w:tr>
    </w:tbl>
    <w:p w14:paraId="68E912E6">
      <w:pPr>
        <w:pStyle w:val="3"/>
        <w:keepNext/>
      </w:pPr>
      <w:r>
        <w:rPr>
          <w:rFonts w:ascii="Times New Roman" w:hAnsi="Times New Roman" w:eastAsia="黑体"/>
          <w:b/>
        </w:rPr>
        <w:t>4.2 进度控制</w:t>
      </w:r>
    </w:p>
    <w:p w14:paraId="6602E973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A 每个工作日核对任务状态、前置、WIP、阻断和最近门禁；主责只在证据齐备后更新状态。预计偏差影响一个门禁或关键路径时，应在当日登记偏差并通知相关复核人；影响冻结范围、验收强度或外部责任时，必须升级 Change/CCB。计划不使用未获依据的绝对完成日期；后续日期由批准后的实施计划受控发布。</w:t>
      </w:r>
    </w:p>
    <w:p w14:paraId="3C42F508">
      <w:pPr>
        <w:pStyle w:val="3"/>
        <w:keepNext/>
      </w:pPr>
      <w:r>
        <w:rPr>
          <w:rFonts w:ascii="Times New Roman" w:hAnsi="Times New Roman" w:eastAsia="黑体"/>
          <w:b/>
        </w:rPr>
        <w:t>4.3 进度缓冲</w:t>
      </w:r>
    </w:p>
    <w:p w14:paraId="55A51FC5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缓冲优先配置于外部联调、修复复测、渲染返工和评审闭环，不以压缩必要复核、删除异常场景或降低★验收强度换取进度。ISSUE-G3-01-001 未关闭期间，相关活动保持 BLOCKED/PENDING，其他不依赖事项可按依赖并行。</w:t>
      </w:r>
    </w:p>
    <w:p w14:paraId="65FD3401">
      <w:pPr>
        <w:pStyle w:val="2"/>
        <w:keepNext/>
      </w:pPr>
      <w:r>
        <w:rPr>
          <w:rFonts w:ascii="Times New Roman" w:hAnsi="Times New Roman" w:eastAsia="黑体"/>
          <w:b/>
        </w:rPr>
        <w:t>5 沟通与决策管理</w:t>
      </w:r>
    </w:p>
    <w:p w14:paraId="7E15CF4A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5-1 沟通机制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4289F3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12C689F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场景</w:t>
            </w:r>
          </w:p>
        </w:tc>
        <w:tc>
          <w:tcPr>
            <w:tcW w:w="2433" w:type="dxa"/>
            <w:vAlign w:val="center"/>
          </w:tcPr>
          <w:p w14:paraId="7B33A85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参与者</w:t>
            </w:r>
          </w:p>
        </w:tc>
        <w:tc>
          <w:tcPr>
            <w:tcW w:w="2765" w:type="dxa"/>
            <w:vAlign w:val="center"/>
          </w:tcPr>
          <w:p w14:paraId="38FA73B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频率/触发</w:t>
            </w:r>
          </w:p>
        </w:tc>
        <w:tc>
          <w:tcPr>
            <w:tcW w:w="2544" w:type="dxa"/>
            <w:vAlign w:val="center"/>
          </w:tcPr>
          <w:p w14:paraId="132F0F8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输出与时限</w:t>
            </w:r>
          </w:p>
        </w:tc>
      </w:tr>
      <w:tr w14:paraId="0660A7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69252FC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工作同步</w:t>
            </w:r>
          </w:p>
        </w:tc>
        <w:tc>
          <w:tcPr>
            <w:tcW w:w="2433" w:type="dxa"/>
            <w:vAlign w:val="center"/>
          </w:tcPr>
          <w:p w14:paraId="276B396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A、B、C</w:t>
            </w:r>
          </w:p>
        </w:tc>
        <w:tc>
          <w:tcPr>
            <w:tcW w:w="2765" w:type="dxa"/>
            <w:vAlign w:val="center"/>
          </w:tcPr>
          <w:p w14:paraId="1BBFA56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每个工作日或状态变化</w:t>
            </w:r>
          </w:p>
        </w:tc>
        <w:tc>
          <w:tcPr>
            <w:tcW w:w="2544" w:type="dxa"/>
            <w:vAlign w:val="center"/>
          </w:tcPr>
          <w:p w14:paraId="1597410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tasks 状态、下一步、阻断和责任人</w:t>
            </w:r>
          </w:p>
        </w:tc>
      </w:tr>
      <w:tr w14:paraId="060985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07D785B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设计/计划评审</w:t>
            </w:r>
          </w:p>
        </w:tc>
        <w:tc>
          <w:tcPr>
            <w:tcW w:w="2433" w:type="dxa"/>
            <w:vAlign w:val="center"/>
          </w:tcPr>
          <w:p w14:paraId="5413307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主责、指定复核人</w:t>
            </w:r>
          </w:p>
        </w:tc>
        <w:tc>
          <w:tcPr>
            <w:tcW w:w="2765" w:type="dxa"/>
            <w:vAlign w:val="center"/>
          </w:tcPr>
          <w:p w14:paraId="284D863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候选自检通过后</w:t>
            </w:r>
          </w:p>
        </w:tc>
        <w:tc>
          <w:tcPr>
            <w:tcW w:w="2544" w:type="dxa"/>
            <w:vAlign w:val="center"/>
          </w:tcPr>
          <w:p w14:paraId="3080574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Review 结论、Issue、关闭证据</w:t>
            </w:r>
          </w:p>
        </w:tc>
      </w:tr>
      <w:tr w14:paraId="5DD9B6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7D1902B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范围/基线变更</w:t>
            </w:r>
          </w:p>
        </w:tc>
        <w:tc>
          <w:tcPr>
            <w:tcW w:w="2433" w:type="dxa"/>
            <w:vAlign w:val="center"/>
          </w:tcPr>
          <w:p w14:paraId="5E1FEDD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A、B、C及有权裁决人</w:t>
            </w:r>
          </w:p>
        </w:tc>
        <w:tc>
          <w:tcPr>
            <w:tcW w:w="2765" w:type="dxa"/>
            <w:vAlign w:val="center"/>
          </w:tcPr>
          <w:p w14:paraId="3B2BC2F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出现范围、数字、责任或验收变化</w:t>
            </w:r>
          </w:p>
        </w:tc>
        <w:tc>
          <w:tcPr>
            <w:tcW w:w="2544" w:type="dxa"/>
            <w:vAlign w:val="center"/>
          </w:tcPr>
          <w:p w14:paraId="691C58B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Change、影响分析、批准/拒绝和同步清单</w:t>
            </w:r>
          </w:p>
        </w:tc>
      </w:tr>
      <w:tr w14:paraId="53D8FB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4EE2B6F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外部条件协调</w:t>
            </w:r>
          </w:p>
        </w:tc>
        <w:tc>
          <w:tcPr>
            <w:tcW w:w="2433" w:type="dxa"/>
            <w:vAlign w:val="center"/>
          </w:tcPr>
          <w:p w14:paraId="47DAEDC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A、B、C与甲方模拟角色</w:t>
            </w:r>
          </w:p>
        </w:tc>
        <w:tc>
          <w:tcPr>
            <w:tcW w:w="2765" w:type="dxa"/>
            <w:vAlign w:val="center"/>
          </w:tcPr>
          <w:p w14:paraId="3659EC6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环境/账号/窗口不足时</w:t>
            </w:r>
          </w:p>
        </w:tc>
        <w:tc>
          <w:tcPr>
            <w:tcW w:w="2544" w:type="dxa"/>
            <w:vAlign w:val="center"/>
          </w:tcPr>
          <w:p w14:paraId="5F6F3DD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条件清单、责任、目标时间、替代/延期裁决</w:t>
            </w:r>
          </w:p>
        </w:tc>
      </w:tr>
      <w:tr w14:paraId="1C9B78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386220E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重大风险/阻断</w:t>
            </w:r>
          </w:p>
        </w:tc>
        <w:tc>
          <w:tcPr>
            <w:tcW w:w="2433" w:type="dxa"/>
            <w:vAlign w:val="center"/>
          </w:tcPr>
          <w:p w14:paraId="153245B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A、责任人、复核人</w:t>
            </w:r>
          </w:p>
        </w:tc>
        <w:tc>
          <w:tcPr>
            <w:tcW w:w="2765" w:type="dxa"/>
            <w:vAlign w:val="center"/>
          </w:tcPr>
          <w:p w14:paraId="6774C78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发现即报</w:t>
            </w:r>
          </w:p>
        </w:tc>
        <w:tc>
          <w:tcPr>
            <w:tcW w:w="2544" w:type="dxa"/>
            <w:vAlign w:val="center"/>
          </w:tcPr>
          <w:p w14:paraId="5F475A2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Issue、影响、临时措施、解除条件</w:t>
            </w:r>
          </w:p>
        </w:tc>
      </w:tr>
    </w:tbl>
    <w:p w14:paraId="705E3D0E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决定以受控文档、Issue、Change 或 Review 为准；口头讨论和即时消息不能替代批准证据。分歧先依据来源优先级核对，仍存在语义冲突时停止相关修改并请求裁决。</w:t>
      </w:r>
    </w:p>
    <w:p w14:paraId="0F41A6D1">
      <w:pPr>
        <w:pStyle w:val="2"/>
        <w:keepNext/>
      </w:pPr>
      <w:r>
        <w:rPr>
          <w:rFonts w:ascii="Times New Roman" w:hAnsi="Times New Roman" w:eastAsia="黑体"/>
          <w:b/>
        </w:rPr>
        <w:t>6 质量、配置与交付管理</w:t>
      </w:r>
    </w:p>
    <w:p w14:paraId="6D3C093D">
      <w:pPr>
        <w:pStyle w:val="3"/>
        <w:keepNext/>
      </w:pPr>
      <w:r>
        <w:rPr>
          <w:rFonts w:ascii="Times New Roman" w:hAnsi="Times New Roman" w:eastAsia="黑体"/>
          <w:b/>
        </w:rPr>
        <w:t>6.1 质量门禁</w:t>
      </w:r>
    </w:p>
    <w:p w14:paraId="6A641C7D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各交付物依次完成受控输入核对、内容自检、编号/引用检查、机械审计、正式件生成、全页渲染 QA 和指定复核。检查至少覆盖事实/数字、FR/AC/★追踪、表图编号、样例残留、乱码、越界、异常空白页、孤立标题和可访问性。未通过项登记 Issue 并返工，不得仅以“文件已生成”准出。</w:t>
      </w:r>
    </w:p>
    <w:p w14:paraId="57B1469B">
      <w:pPr>
        <w:pStyle w:val="3"/>
        <w:keepNext/>
      </w:pPr>
      <w:r>
        <w:rPr>
          <w:rFonts w:ascii="Times New Roman" w:hAnsi="Times New Roman" w:eastAsia="黑体"/>
          <w:b/>
        </w:rPr>
        <w:t>6.2 配置与基线</w:t>
      </w:r>
    </w:p>
    <w:p w14:paraId="7BA96610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代码、文档、OpenAPI、图源、脚本、测试证据、控制文件、Prompt/Review 日志均为配置项。正式任务按安全同步、最小暂存、提交和非 force 推送执行；冻结基线不得原位覆盖。候选进入基线前必须列明版本、依赖、检查、批准和开放项。</w:t>
      </w:r>
    </w:p>
    <w:p w14:paraId="3C4BCD01">
      <w:pPr>
        <w:pStyle w:val="3"/>
        <w:keepNext/>
      </w:pPr>
      <w:r>
        <w:rPr>
          <w:rFonts w:ascii="Times New Roman" w:hAnsi="Times New Roman" w:eastAsia="黑体"/>
          <w:b/>
        </w:rPr>
        <w:t>6.3 验收与交付</w:t>
      </w:r>
    </w:p>
    <w:p w14:paraId="7F063A91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6-1 交付准出责任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8"/>
        <w:gridCol w:w="1360"/>
        <w:gridCol w:w="3265"/>
        <w:gridCol w:w="1360"/>
        <w:gridCol w:w="1995"/>
      </w:tblGrid>
      <w:tr w14:paraId="63080B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88" w:type="dxa"/>
            <w:vAlign w:val="center"/>
          </w:tcPr>
          <w:p w14:paraId="6F99E46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活动</w:t>
            </w:r>
          </w:p>
        </w:tc>
        <w:tc>
          <w:tcPr>
            <w:tcW w:w="1360" w:type="dxa"/>
            <w:vAlign w:val="center"/>
          </w:tcPr>
          <w:p w14:paraId="3A35B04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A</w:t>
            </w:r>
          </w:p>
        </w:tc>
        <w:tc>
          <w:tcPr>
            <w:tcW w:w="3265" w:type="dxa"/>
            <w:vAlign w:val="center"/>
          </w:tcPr>
          <w:p w14:paraId="40CFF18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B</w:t>
            </w:r>
          </w:p>
        </w:tc>
        <w:tc>
          <w:tcPr>
            <w:tcW w:w="1360" w:type="dxa"/>
            <w:vAlign w:val="center"/>
          </w:tcPr>
          <w:p w14:paraId="061D3E5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C</w:t>
            </w:r>
          </w:p>
        </w:tc>
        <w:tc>
          <w:tcPr>
            <w:tcW w:w="1995" w:type="dxa"/>
            <w:vAlign w:val="center"/>
          </w:tcPr>
          <w:p w14:paraId="24899A3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准出依据</w:t>
            </w:r>
          </w:p>
        </w:tc>
      </w:tr>
      <w:tr w14:paraId="2E5E5B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3165128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计划与跨文档一致性</w:t>
            </w:r>
          </w:p>
        </w:tc>
        <w:tc>
          <w:tcPr>
            <w:tcW w:w="1360" w:type="dxa"/>
            <w:vAlign w:val="center"/>
          </w:tcPr>
          <w:p w14:paraId="417809A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R/A</w:t>
            </w:r>
          </w:p>
        </w:tc>
        <w:tc>
          <w:tcPr>
            <w:tcW w:w="3265" w:type="dxa"/>
            <w:vAlign w:val="center"/>
          </w:tcPr>
          <w:p w14:paraId="136DE74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360" w:type="dxa"/>
            <w:vAlign w:val="center"/>
          </w:tcPr>
          <w:p w14:paraId="74E2A9E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995" w:type="dxa"/>
            <w:vAlign w:val="center"/>
          </w:tcPr>
          <w:p w14:paraId="78A0F36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范围、依赖、资源、Issue 与状态一致</w:t>
            </w:r>
          </w:p>
        </w:tc>
      </w:tr>
      <w:tr w14:paraId="6A3ECF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62DDA57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技术正确性</w:t>
            </w:r>
          </w:p>
        </w:tc>
        <w:tc>
          <w:tcPr>
            <w:tcW w:w="1360" w:type="dxa"/>
            <w:vAlign w:val="center"/>
          </w:tcPr>
          <w:p w14:paraId="4AE6370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3265" w:type="dxa"/>
            <w:vAlign w:val="center"/>
          </w:tcPr>
          <w:p w14:paraId="5286D95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R/A</w:t>
            </w:r>
          </w:p>
        </w:tc>
        <w:tc>
          <w:tcPr>
            <w:tcW w:w="1360" w:type="dxa"/>
            <w:vAlign w:val="center"/>
          </w:tcPr>
          <w:p w14:paraId="2E9572E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995" w:type="dxa"/>
            <w:vAlign w:val="center"/>
          </w:tcPr>
          <w:p w14:paraId="525CC50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设计、契约、异常、可实施与验证方法</w:t>
            </w:r>
          </w:p>
        </w:tc>
      </w:tr>
      <w:tr w14:paraId="7AB6BE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6FCAE8D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符合性与数字</w:t>
            </w:r>
          </w:p>
        </w:tc>
        <w:tc>
          <w:tcPr>
            <w:tcW w:w="1360" w:type="dxa"/>
            <w:vAlign w:val="center"/>
          </w:tcPr>
          <w:p w14:paraId="4EB20B5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3265" w:type="dxa"/>
            <w:vAlign w:val="center"/>
          </w:tcPr>
          <w:p w14:paraId="2A2AF22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360" w:type="dxa"/>
            <w:vAlign w:val="center"/>
          </w:tcPr>
          <w:p w14:paraId="2DCEB57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R/A</w:t>
            </w:r>
          </w:p>
        </w:tc>
        <w:tc>
          <w:tcPr>
            <w:tcW w:w="1995" w:type="dxa"/>
            <w:vAlign w:val="center"/>
          </w:tcPr>
          <w:p w14:paraId="1EDF19C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FR/★/AC、事实、关键数字、责任边界</w:t>
            </w:r>
          </w:p>
        </w:tc>
      </w:tr>
      <w:tr w14:paraId="5871C5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15A24A2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基线冻结</w:t>
            </w:r>
          </w:p>
        </w:tc>
        <w:tc>
          <w:tcPr>
            <w:tcW w:w="1360" w:type="dxa"/>
            <w:vAlign w:val="center"/>
          </w:tcPr>
          <w:p w14:paraId="7A5FC00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R/A</w:t>
            </w:r>
          </w:p>
        </w:tc>
        <w:tc>
          <w:tcPr>
            <w:tcW w:w="3265" w:type="dxa"/>
            <w:vAlign w:val="center"/>
          </w:tcPr>
          <w:p w14:paraId="26796F7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360" w:type="dxa"/>
            <w:vAlign w:val="center"/>
          </w:tcPr>
          <w:p w14:paraId="43CB39D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995" w:type="dxa"/>
            <w:vAlign w:val="center"/>
          </w:tcPr>
          <w:p w14:paraId="7E2DB86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三方复核、阻断关闭/裁决、审计通过</w:t>
            </w:r>
          </w:p>
        </w:tc>
      </w:tr>
    </w:tbl>
    <w:p w14:paraId="312C0AF7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R/A 表示负责并最终汇总，C 表示协作/复核。本文处于 REVIEW，只代表 A 已形成候选并完成自检，不代表 C 已通过，也不代表 M3 已冻结。</w:t>
      </w:r>
    </w:p>
    <w:p w14:paraId="64BB4C8C">
      <w:pPr>
        <w:pStyle w:val="2"/>
        <w:keepNext/>
      </w:pPr>
      <w:r>
        <w:rPr>
          <w:rFonts w:ascii="Times New Roman" w:hAnsi="Times New Roman" w:eastAsia="黑体"/>
          <w:b/>
        </w:rPr>
        <w:t>7 偏差、问题与变更管理</w:t>
      </w:r>
    </w:p>
    <w:p w14:paraId="5C1CB8CF">
      <w:pPr>
        <w:pStyle w:val="3"/>
        <w:keepNext/>
      </w:pPr>
      <w:r>
        <w:rPr>
          <w:rFonts w:ascii="Times New Roman" w:hAnsi="Times New Roman" w:eastAsia="黑体"/>
          <w:b/>
        </w:rPr>
        <w:t>7.1 偏差分级</w:t>
      </w:r>
    </w:p>
    <w:p w14:paraId="274DAB05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偏差分级与处置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3024"/>
        <w:gridCol w:w="4536"/>
      </w:tblGrid>
      <w:tr w14:paraId="1CBFA6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512" w:type="dxa"/>
            <w:vAlign w:val="center"/>
          </w:tcPr>
          <w:p w14:paraId="43AEC5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等级</w:t>
            </w:r>
          </w:p>
        </w:tc>
        <w:tc>
          <w:tcPr>
            <w:tcW w:w="3024" w:type="dxa"/>
            <w:vAlign w:val="center"/>
          </w:tcPr>
          <w:p w14:paraId="40DEF38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判定示例</w:t>
            </w:r>
          </w:p>
        </w:tc>
        <w:tc>
          <w:tcPr>
            <w:tcW w:w="4536" w:type="dxa"/>
            <w:vAlign w:val="center"/>
          </w:tcPr>
          <w:p w14:paraId="2FD4522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处置</w:t>
            </w:r>
          </w:p>
        </w:tc>
      </w:tr>
      <w:tr w14:paraId="3C3AFC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3D47390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BLOCKER</w:t>
            </w:r>
          </w:p>
        </w:tc>
        <w:tc>
          <w:tcPr>
            <w:tcW w:w="3024" w:type="dxa"/>
            <w:vAlign w:val="center"/>
          </w:tcPr>
          <w:p w14:paraId="69ECAB9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★负偏离、外部证据缺失却拟冻结、RTM 断链、关键路径无法继续</w:t>
            </w:r>
          </w:p>
        </w:tc>
        <w:tc>
          <w:tcPr>
            <w:tcW w:w="4536" w:type="dxa"/>
            <w:vAlign w:val="center"/>
          </w:tcPr>
          <w:p w14:paraId="0217AD3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立即停止受影响准出，登记 Issue，明确解除条件并升级裁决</w:t>
            </w:r>
          </w:p>
        </w:tc>
      </w:tr>
      <w:tr w14:paraId="75D2F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08EB57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MAJOR</w:t>
            </w:r>
          </w:p>
        </w:tc>
        <w:tc>
          <w:tcPr>
            <w:tcW w:w="3024" w:type="dxa"/>
            <w:vAlign w:val="center"/>
          </w:tcPr>
          <w:p w14:paraId="233C6F8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范围/责任/验收口径不一致，关键设计或管理机制缺失</w:t>
            </w:r>
          </w:p>
        </w:tc>
        <w:tc>
          <w:tcPr>
            <w:tcW w:w="4536" w:type="dxa"/>
            <w:vAlign w:val="center"/>
          </w:tcPr>
          <w:p w14:paraId="1026A2E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限期返工并由指定复核人验证关闭</w:t>
            </w:r>
          </w:p>
        </w:tc>
      </w:tr>
      <w:tr w14:paraId="655658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7AF31BD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MINOR</w:t>
            </w:r>
          </w:p>
        </w:tc>
        <w:tc>
          <w:tcPr>
            <w:tcW w:w="3024" w:type="dxa"/>
            <w:vAlign w:val="center"/>
          </w:tcPr>
          <w:p w14:paraId="40CB7D5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不改变实质口径的格式、引用或局部表达问题</w:t>
            </w:r>
          </w:p>
        </w:tc>
        <w:tc>
          <w:tcPr>
            <w:tcW w:w="4536" w:type="dxa"/>
            <w:vAlign w:val="center"/>
          </w:tcPr>
          <w:p w14:paraId="16A6739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登记并在置 DONE 前关闭</w:t>
            </w:r>
          </w:p>
        </w:tc>
      </w:tr>
      <w:tr w14:paraId="534B8F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0F34BDB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观察项</w:t>
            </w:r>
          </w:p>
        </w:tc>
        <w:tc>
          <w:tcPr>
            <w:tcW w:w="3024" w:type="dxa"/>
            <w:vAlign w:val="center"/>
          </w:tcPr>
          <w:p w14:paraId="07988FA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当前不影响准出但可能形成风险</w:t>
            </w:r>
          </w:p>
        </w:tc>
        <w:tc>
          <w:tcPr>
            <w:tcW w:w="4536" w:type="dxa"/>
            <w:vAlign w:val="center"/>
          </w:tcPr>
          <w:p w14:paraId="7AAE00E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记录触发条件和复查节点</w:t>
            </w:r>
          </w:p>
        </w:tc>
      </w:tr>
    </w:tbl>
    <w:p w14:paraId="45E8240F">
      <w:pPr>
        <w:pStyle w:val="3"/>
        <w:keepNext/>
      </w:pPr>
      <w:r>
        <w:rPr>
          <w:rFonts w:ascii="Times New Roman" w:hAnsi="Times New Roman" w:eastAsia="黑体"/>
          <w:b/>
        </w:rPr>
        <w:t>7.2 偏差处置流程</w:t>
      </w:r>
    </w:p>
    <w:p w14:paraId="11FB7178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发现偏差后依次记录事实与证据、影响的 FR/AC/设计/里程碑、责任人和时限；选择纠正、规避、延期或提出变更；执行后由非主责复核关闭。任何“接受风险”必须由有权人员书面确认，不得由 AI 或主责单方代替。</w:t>
      </w:r>
    </w:p>
    <w:p w14:paraId="7D61FFD3">
      <w:pPr>
        <w:pStyle w:val="3"/>
        <w:keepNext/>
      </w:pPr>
      <w:r>
        <w:rPr>
          <w:rFonts w:ascii="Times New Roman" w:hAnsi="Times New Roman" w:eastAsia="黑体"/>
          <w:b/>
        </w:rPr>
        <w:t>7.3 任务催办与临时任务专项规则</w:t>
      </w:r>
    </w:p>
    <w:p w14:paraId="0D6DD5CB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为落实 AC-G2-FR-015-03，后续系统实现与管理抽查必须覆盖两类触发：任务逾期催办、指挥人员追加临时任务。每次触发至少记录原任务/事件标识、触发类型、触发原因、操作者、时间、通知对象、后续处置、责任人、目标时限、状态与审计引用；涉及改派时还应保留原/新责任人，默认不重置原到期时间，除非发生经授权且可审计的变更。G3-11 仅确认该规则和验证入口已进入计划，不宣称功能已经实现或通过验收。</w:t>
      </w:r>
    </w:p>
    <w:p w14:paraId="1310ED1B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7-2 AC-G2-FR-015-03 管理抽查设计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36D039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53E4E12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场景</w:t>
            </w:r>
          </w:p>
        </w:tc>
        <w:tc>
          <w:tcPr>
            <w:tcW w:w="2433" w:type="dxa"/>
            <w:vAlign w:val="center"/>
          </w:tcPr>
          <w:p w14:paraId="349EC63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Given/When</w:t>
            </w:r>
          </w:p>
        </w:tc>
        <w:tc>
          <w:tcPr>
            <w:tcW w:w="2765" w:type="dxa"/>
            <w:vAlign w:val="center"/>
          </w:tcPr>
          <w:p w14:paraId="6512609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预期记录</w:t>
            </w:r>
          </w:p>
        </w:tc>
        <w:tc>
          <w:tcPr>
            <w:tcW w:w="2544" w:type="dxa"/>
            <w:vAlign w:val="center"/>
          </w:tcPr>
          <w:p w14:paraId="0B0650B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计划验证</w:t>
            </w:r>
          </w:p>
        </w:tc>
      </w:tr>
      <w:tr w14:paraId="14164F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A7217F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逾期催办</w:t>
            </w:r>
          </w:p>
        </w:tc>
        <w:tc>
          <w:tcPr>
            <w:tcW w:w="2433" w:type="dxa"/>
            <w:vAlign w:val="center"/>
          </w:tcPr>
          <w:p w14:paraId="70A9D00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任务已逾期，触发催办</w:t>
            </w:r>
          </w:p>
        </w:tc>
        <w:tc>
          <w:tcPr>
            <w:tcW w:w="2765" w:type="dxa"/>
            <w:vAlign w:val="center"/>
          </w:tcPr>
          <w:p w14:paraId="581E7E4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逾期事实、原因、通知对象、后续处置和审计链</w:t>
            </w:r>
          </w:p>
        </w:tc>
        <w:tc>
          <w:tcPr>
            <w:tcW w:w="2544" w:type="dxa"/>
            <w:vAlign w:val="center"/>
          </w:tcPr>
          <w:p w14:paraId="023C420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后续系统测试检查业务记录、通知/回执与审计一致</w:t>
            </w:r>
          </w:p>
        </w:tc>
      </w:tr>
      <w:tr w14:paraId="59CBC0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4991033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临时任务</w:t>
            </w:r>
          </w:p>
        </w:tc>
        <w:tc>
          <w:tcPr>
            <w:tcW w:w="2433" w:type="dxa"/>
            <w:vAlign w:val="center"/>
          </w:tcPr>
          <w:p w14:paraId="71076B0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指挥人员需追加任务，创建临时任务</w:t>
            </w:r>
          </w:p>
        </w:tc>
        <w:tc>
          <w:tcPr>
            <w:tcW w:w="2765" w:type="dxa"/>
            <w:vAlign w:val="center"/>
          </w:tcPr>
          <w:p w14:paraId="728B036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授权人、触发原因、任务内容、责任人、时限、关联事件和处置结果</w:t>
            </w:r>
          </w:p>
        </w:tc>
        <w:tc>
          <w:tcPr>
            <w:tcW w:w="2544" w:type="dxa"/>
            <w:vAlign w:val="center"/>
          </w:tcPr>
          <w:p w14:paraId="7037273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后续系统测试检查权限、任务、状态与审计一致</w:t>
            </w:r>
          </w:p>
        </w:tc>
      </w:tr>
      <w:tr w14:paraId="18A78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7D48979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改派</w:t>
            </w:r>
          </w:p>
        </w:tc>
        <w:tc>
          <w:tcPr>
            <w:tcW w:w="2433" w:type="dxa"/>
            <w:vAlign w:val="center"/>
          </w:tcPr>
          <w:p w14:paraId="3AEA5FF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催办或处置导致责任人变化</w:t>
            </w:r>
          </w:p>
        </w:tc>
        <w:tc>
          <w:tcPr>
            <w:tcW w:w="2765" w:type="dxa"/>
            <w:vAlign w:val="center"/>
          </w:tcPr>
          <w:p w14:paraId="1055F1A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原/新责任人、操作者、时间、原因、历史；到期时间不静默重置</w:t>
            </w:r>
          </w:p>
        </w:tc>
        <w:tc>
          <w:tcPr>
            <w:tcW w:w="2544" w:type="dxa"/>
            <w:vAlign w:val="center"/>
          </w:tcPr>
          <w:p w14:paraId="155EC69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 G2-RCLR-003 做状态与审计走查</w:t>
            </w:r>
          </w:p>
        </w:tc>
      </w:tr>
    </w:tbl>
    <w:p w14:paraId="2E71914B">
      <w:pPr>
        <w:pStyle w:val="2"/>
        <w:keepNext/>
      </w:pPr>
      <w:r>
        <w:rPr>
          <w:rFonts w:ascii="Times New Roman" w:hAnsi="Times New Roman" w:eastAsia="黑体"/>
          <w:b/>
        </w:rPr>
        <w:t>8 风险与问题管理</w:t>
      </w:r>
    </w:p>
    <w:p w14:paraId="3A057B53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风险至少记录事件、原因、影响、概率、等级、触发器、责任人、应对、应急和复核周期。当前首要问题为 ISSUE-G3-01-001 与由其及管理计划未齐套引出的 ISSUE-G3-10-001；前者关闭或取得有权替代/延期裁决、G3-11—14 至少 REVIEW 且 G3-10 重新审计通过之前，不得创建 M3 FROZEN 基线。</w:t>
      </w:r>
    </w:p>
    <w:p w14:paraId="35C07F4D">
      <w:pPr>
        <w:pStyle w:val="2"/>
        <w:keepNext/>
      </w:pPr>
      <w:r>
        <w:rPr>
          <w:rFonts w:ascii="Times New Roman" w:hAnsi="Times New Roman" w:eastAsia="黑体"/>
          <w:b/>
        </w:rPr>
        <w:t>9 监控、报告与收尾</w:t>
      </w:r>
    </w:p>
    <w:p w14:paraId="6C8D03CE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A 汇总范围变更数、任务状态/WIP、里程碑偏差、开放 Issue、评审问题、需求追踪、缺陷和交付物状态。指标只用于发现问题，不用平均数掩盖★失败、阻断或缺证据。任务收尾须确认输出入库、验证记录可复现、Review/Issue 闭环、tasks 与日志同步、Git 工作区干净；G3-11 需由 C 复核通过后才能由 REVIEW 转为 DONE。</w:t>
      </w:r>
    </w:p>
    <w:p w14:paraId="6AB4746F">
      <w:pPr>
        <w:pStyle w:val="2"/>
        <w:keepNext/>
      </w:pPr>
      <w:r>
        <w:rPr>
          <w:rFonts w:ascii="Times New Roman" w:hAnsi="Times New Roman" w:eastAsia="黑体"/>
          <w:b/>
        </w:rPr>
        <w:t>10 本计划准出检查</w:t>
      </w:r>
    </w:p>
    <w:p w14:paraId="5D56608B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10-1 G3-11 自检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4"/>
      </w:tblGrid>
      <w:tr w14:paraId="7E924F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268" w:type="dxa"/>
            <w:vAlign w:val="center"/>
          </w:tcPr>
          <w:p w14:paraId="57BEA73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检查项</w:t>
            </w:r>
          </w:p>
        </w:tc>
        <w:tc>
          <w:tcPr>
            <w:tcW w:w="6804" w:type="dxa"/>
            <w:vAlign w:val="center"/>
          </w:tcPr>
          <w:p w14:paraId="0E7C9CC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结论</w:t>
            </w:r>
          </w:p>
        </w:tc>
      </w:tr>
      <w:tr w14:paraId="708F53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26B9C96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范围、资源、里程碑、依赖与偏差处置</w:t>
            </w:r>
          </w:p>
        </w:tc>
        <w:tc>
          <w:tcPr>
            <w:tcW w:w="6804" w:type="dxa"/>
            <w:vAlign w:val="center"/>
          </w:tcPr>
          <w:p w14:paraId="0877384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PASS：均有独立章节、责任与门禁</w:t>
            </w:r>
          </w:p>
        </w:tc>
      </w:tr>
      <w:tr w14:paraId="057E21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087539A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AC-G2-FR-015-03 抽查</w:t>
            </w:r>
          </w:p>
        </w:tc>
        <w:tc>
          <w:tcPr>
            <w:tcW w:w="6804" w:type="dxa"/>
            <w:vAlign w:val="center"/>
          </w:tcPr>
          <w:p w14:paraId="542D66A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PASS：催办、临时任务、改派和后续处置记录已纳入计划；功能待后续实现/测试</w:t>
            </w:r>
          </w:p>
        </w:tc>
      </w:tr>
      <w:tr w14:paraId="7E5460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2EA39F7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基线与阻断边界</w:t>
            </w:r>
          </w:p>
        </w:tc>
        <w:tc>
          <w:tcPr>
            <w:tcW w:w="6804" w:type="dxa"/>
            <w:vAlign w:val="center"/>
          </w:tcPr>
          <w:p w14:paraId="32E2232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PASS：39 FR/34★/117 AC 未变；ISSUE-G3-01-001、ISSUE-G3-10-001 未关闭</w:t>
            </w:r>
          </w:p>
        </w:tc>
      </w:tr>
      <w:tr w14:paraId="1DB4D4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0A2805A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状态</w:t>
            </w:r>
          </w:p>
        </w:tc>
        <w:tc>
          <w:tcPr>
            <w:tcW w:w="6804" w:type="dxa"/>
            <w:vAlign w:val="center"/>
          </w:tcPr>
          <w:p w14:paraId="0934168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REVIEW：待 C 复核，不得自行置 DONE</w:t>
            </w:r>
          </w:p>
        </w:tc>
      </w:tr>
    </w:tbl>
    <w:p w14:paraId="6C96B758"/>
    <w:p>
      <w:r>
        <w:br w:type="page"/>
      </w:r>
    </w:p>
    <w:p>
      <w:pPr>
        <w:pStyle w:val="2"/>
      </w:pPr>
      <w:r>
        <w:t>课程项目模拟确认补充</w:t>
      </w:r>
    </w:p>
    <w:p>
      <w:pPr>
        <w:jc w:val="both"/>
      </w:pPr>
      <w:r>
        <w:t>课程模拟确认（SIMULATED_OWNER_CONFIRMATION）：CCB由何思源、严宇、任俊强组成，何思源召集；严宇负责技术影响，任俊强负责需求/合规/追踪。冻结FR/★/验收条件变化还须模拟甲方项目经理书面批准。</w:t>
      </w:r>
    </w:p>
    <w:sectPr>
      <w:pgSz w:w="11906" w:h="16838"/>
      <w:pgMar w:top="1440" w:right="1440" w:bottom="1440" w:left="1440" w:header="708" w:footer="708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320C7F">
    <w:pPr>
      <w:spacing w:after="100" w:line="360" w:lineRule="auto"/>
      <w:jc w:val="center"/>
    </w:pPr>
    <w:r>
      <w:rPr>
        <w:rFonts w:eastAsia="宋体"/>
        <w:color w:val="000000"/>
        <w:sz w:val="18"/>
        <w:szCs w:val="18"/>
      </w:rPr>
      <w:fldChar w:fldCharType="begin"/>
    </w:r>
    <w:r>
      <w:rPr>
        <w:rFonts w:eastAsia="宋体"/>
        <w:color w:val="000000"/>
        <w:sz w:val="18"/>
        <w:szCs w:val="18"/>
      </w:rPr>
      <w:instrText xml:space="preserve">PAGE</w:instrText>
    </w:r>
    <w:r>
      <w:rPr>
        <w:rFonts w:eastAsia="宋体"/>
        <w:color w:val="000000"/>
        <w:sz w:val="18"/>
        <w:szCs w:val="18"/>
      </w:rPr>
      <w:fldChar w:fldCharType="separate"/>
    </w:r>
    <w:r>
      <w:rPr>
        <w:rFonts w:eastAsia="宋体"/>
        <w:color w:val="000000"/>
        <w:sz w:val="18"/>
        <w:szCs w:val="18"/>
      </w:rPr>
      <w:t>1</w:t>
    </w:r>
    <w:r>
      <w:rPr>
        <w:rFonts w:eastAsia="宋体"/>
        <w:color w:val="000000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EDA160">
    <w:pPr>
      <w:spacing w:after="60"/>
      <w:jc w:val="center"/>
    </w:pPr>
    <w:r>
      <w:rPr>
        <w:rFonts w:ascii="Times New Roman" w:hAnsi="Times New Roman" w:eastAsia="宋体"/>
        <w:sz w:val="18"/>
      </w:rPr>
      <w:t>某自然博物馆智能运营中心建设项目——应急管理子系统 · 项目管理计划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6EA14D">
    <w:r>
      <w:rPr>
        <w:rFonts w:ascii="Times New Roman" w:hAnsi="Times New Roman" w:eastAsia="宋体"/>
        <w:sz w:val="18"/>
      </w:rPr>
      <w:t>某自然博物馆智能运营中心建设项目——应急管理子系统 · 项目管理计划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EA24BF">
    <w:r>
      <w:rPr>
        <w:rFonts w:ascii="Times New Roman" w:hAnsi="Times New Roman" w:eastAsia="宋体"/>
        <w:sz w:val="18"/>
      </w:rPr>
      <w:t>某自然博物馆智能运营中心建设项目——应急管理子系统 · 项目管理计划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0BD0"/>
    <w:rsid w:val="00133F58"/>
    <w:rsid w:val="009D2014"/>
    <w:rsid w:val="00D60BD0"/>
    <w:rsid w:val="34C912FC"/>
    <w:rsid w:val="62D45223"/>
    <w:rsid w:val="7B005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cs="Times New Roman" w:eastAsiaTheme="minorEastAsia"/>
      <w:lang w:val="en-US" w:eastAsia="zh-CN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cs="Times New Roman" w:eastAsiaTheme="minorEastAsia"/>
      <w:color w:val="000000"/>
      <w:sz w:val="32"/>
      <w:szCs w:val="32"/>
      <w:lang w:val="en-US" w:eastAsia="zh-CN" w:bidi="ar-SA"/>
    </w:rPr>
  </w:style>
  <w:style w:type="paragraph" w:styleId="3">
    <w:name w:val="heading 2"/>
    <w:unhideWhenUsed/>
    <w:qFormat/>
    <w:uiPriority w:val="9"/>
    <w:pPr>
      <w:outlineLvl w:val="1"/>
    </w:pPr>
    <w:rPr>
      <w:rFonts w:ascii="Times New Roman" w:hAnsi="Times New Roman" w:cs="Times New Roman" w:eastAsiaTheme="minorEastAsia"/>
      <w:color w:val="000000"/>
      <w:sz w:val="26"/>
      <w:szCs w:val="26"/>
      <w:lang w:val="en-US" w:eastAsia="zh-CN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cs="Times New Roman" w:eastAsiaTheme="minorEastAsia"/>
      <w:color w:val="000000"/>
      <w:sz w:val="24"/>
      <w:szCs w:val="24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cs="Times New Roman" w:eastAsiaTheme="minorEastAsia"/>
      <w:i/>
      <w:iCs/>
      <w:color w:val="000000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3"/>
    <w:semiHidden/>
    <w:unhideWhenUsed/>
    <w:qFormat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9">
    <w:name w:val="footer"/>
    <w:basedOn w:val="1"/>
    <w:link w:val="25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4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footnote text"/>
    <w:link w:val="22"/>
    <w:semiHidden/>
    <w:unhideWhenUsed/>
    <w:qFormat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13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4">
    <w:name w:val="Title"/>
    <w:qFormat/>
    <w:uiPriority w:val="10"/>
    <w:rPr>
      <w:rFonts w:ascii="Times New Roman" w:hAnsi="Times New Roman" w:cs="Times New Roman" w:eastAsiaTheme="minorEastAsia"/>
      <w:color w:val="000000"/>
      <w:sz w:val="56"/>
      <w:szCs w:val="56"/>
      <w:lang w:val="en-US" w:eastAsia="zh-CN" w:bidi="ar-SA"/>
    </w:rPr>
  </w:style>
  <w:style w:type="character" w:styleId="17">
    <w:name w:val="endnote reference"/>
    <w:semiHidden/>
    <w:unhideWhenUsed/>
    <w:uiPriority w:val="99"/>
    <w:rPr>
      <w:color w:val="000000"/>
      <w:vertAlign w:val="superscript"/>
    </w:rPr>
  </w:style>
  <w:style w:type="character" w:styleId="18">
    <w:name w:val="Hyperlink"/>
    <w:unhideWhenUsed/>
    <w:uiPriority w:val="99"/>
    <w:rPr>
      <w:color w:val="000000"/>
      <w:u w:val="single"/>
    </w:rPr>
  </w:style>
  <w:style w:type="character" w:styleId="19">
    <w:name w:val="footnote reference"/>
    <w:semiHidden/>
    <w:unhideWhenUsed/>
    <w:uiPriority w:val="99"/>
    <w:rPr>
      <w:color w:val="000000"/>
      <w:vertAlign w:val="superscript"/>
    </w:rPr>
  </w:style>
  <w:style w:type="paragraph" w:customStyle="1" w:styleId="20">
    <w:name w:val="要点1"/>
    <w:qFormat/>
    <w:uiPriority w:val="0"/>
    <w:rPr>
      <w:rFonts w:ascii="Times New Roman" w:hAnsi="Times New Roman" w:cs="Times New Roman" w:eastAsiaTheme="minorEastAsia"/>
      <w:b/>
      <w:bCs/>
      <w:color w:val="000000"/>
      <w:lang w:val="en-US" w:eastAsia="zh-CN" w:bidi="ar-SA"/>
    </w:rPr>
  </w:style>
  <w:style w:type="paragraph" w:styleId="21">
    <w:name w:val="List Paragraph"/>
    <w:qFormat/>
    <w:uiPriority w:val="0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customStyle="1" w:styleId="22">
    <w:name w:val="脚注文本 字符"/>
    <w:link w:val="12"/>
    <w:semiHidden/>
    <w:unhideWhenUsed/>
    <w:qFormat/>
    <w:uiPriority w:val="99"/>
    <w:rPr>
      <w:color w:val="000000"/>
      <w:sz w:val="20"/>
      <w:szCs w:val="20"/>
    </w:rPr>
  </w:style>
  <w:style w:type="character" w:customStyle="1" w:styleId="23">
    <w:name w:val="尾注文本 字符"/>
    <w:link w:val="8"/>
    <w:semiHidden/>
    <w:unhideWhenUsed/>
    <w:qFormat/>
    <w:uiPriority w:val="99"/>
    <w:rPr>
      <w:color w:val="000000"/>
      <w:sz w:val="20"/>
      <w:szCs w:val="20"/>
    </w:rPr>
  </w:style>
  <w:style w:type="character" w:customStyle="1" w:styleId="24">
    <w:name w:val="页眉 字符"/>
    <w:basedOn w:val="16"/>
    <w:link w:val="10"/>
    <w:uiPriority w:val="99"/>
    <w:rPr>
      <w:sz w:val="18"/>
      <w:szCs w:val="18"/>
    </w:rPr>
  </w:style>
  <w:style w:type="character" w:customStyle="1" w:styleId="25">
    <w:name w:val="页脚 字符"/>
    <w:basedOn w:val="16"/>
    <w:link w:val="9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214</Words>
  <Characters>278</Characters>
  <Lines>23</Lines>
  <Paragraphs>6</Paragraphs>
  <TotalTime>25</TotalTime>
  <ScaleCrop>false</ScaleCrop>
  <LinksUpToDate>false</LinksUpToDate>
  <CharactersWithSpaces>307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2026-08-26T12:15:00Z</dcterms:created>
  <dc:creator>020202项目组</dc:creator>
  <cp:lastModifiedBy>任俊强</cp:lastModifiedBy>
  <dcterms:modified xsi:type="dcterms:W3CDTF">2026-09-20T02:13:18Z</dcterms:modified>
  <dc:subject>某自然博物馆智能运营中心建设项目——应急管理子系统 G3-11</dc:subject>
  <dc:title>项目管理计划</dc:title>
  <cp:revision>1</cp:revision>
  <dc:description>SIMULATED_OWNER_CONFIRMATION / SIMULATED_EVIDENCE; not real-site evidence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eyJoZGlkIjoiZDAxNWUzZDUwYTM4NzA3NGMyZDFiMmY2YWVkYzQ0MzkiLCJ1c2VySWQiOiIxNzgzMjc2NDkxIn0=</vt:lpwstr>
  </property>
  <property fmtid="{D5CDD505-2E9C-101B-9397-08002B2CF9AE}" pid="3" name="KSOProductBuildVer">
    <vt:lpwstr>2052-12.1.0.28505</vt:lpwstr>
  </property>
  <property fmtid="{D5CDD505-2E9C-101B-9397-08002B2CF9AE}" pid="4" name="ICV">
    <vt:lpwstr>6F7E2CB439C74E88857D8874A246495A_12</vt:lpwstr>
  </property>
</Properties>
</file>