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某自然博物馆智能运营中心建设项目</w:t>
        <w:br/>
        <w:t>应急管理子系统</w:t>
      </w:r>
    </w:p>
    <w:p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概要设计说明书</w:t>
      </w:r>
    </w:p>
    <w:p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文档编号：EM-G3-03</w:t>
      </w:r>
    </w:p>
    <w:p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版本：V0.1（评审稿）</w:t>
      </w:r>
    </w:p>
    <w:p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编制：A【待人工确认】</w:t>
      </w:r>
    </w:p>
    <w:p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复核：C【待人工确认】</w:t>
      </w:r>
    </w:p>
    <w:p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日期：2026年09月17日</w:t>
      </w:r>
    </w:p>
    <w:p>
      <w:r>
        <w:br w:type="page"/>
      </w:r>
    </w:p>
    <w:p>
      <w:pPr>
        <w:pStyle w:val="1"/>
        <w:spacing w:before="240" w:after="160"/>
      </w:pPr>
      <w:r>
        <w:rPr>
          <w:rFonts w:eastAsia="黑体"/>
          <w:b/>
          <w:bCs/>
        </w:rPr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版本</w:t>
            </w:r>
          </w:p>
        </w:tc>
        <w:tc>
          <w:tcPr>
            <w:tcW w:type="dxa" w:w="2256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日期</w:t>
            </w:r>
          </w:p>
        </w:tc>
        <w:tc>
          <w:tcPr>
            <w:tcW w:type="dxa" w:w="2256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修改说明</w:t>
            </w:r>
          </w:p>
        </w:tc>
        <w:tc>
          <w:tcPr>
            <w:tcW w:type="dxa" w:w="2256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责任人</w:t>
            </w:r>
          </w:p>
        </w:tc>
      </w:tr>
      <w:tr>
        <w:tc>
          <w:tcPr>
            <w:tcW w:type="dxa" w:w="2256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V0.1</w:t>
            </w:r>
          </w:p>
        </w:tc>
        <w:tc>
          <w:tcPr>
            <w:tcW w:type="dxa" w:w="2256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2026-09-17</w:t>
            </w:r>
          </w:p>
        </w:tc>
        <w:tc>
          <w:tcPr>
            <w:tcW w:type="dxa" w:w="2256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首次形成概要设计评审稿</w:t>
            </w:r>
          </w:p>
        </w:tc>
        <w:tc>
          <w:tcPr>
            <w:tcW w:type="dxa" w:w="2256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A【待人工确认】</w:t>
            </w:r>
          </w:p>
        </w:tc>
      </w:tr>
    </w:tbl>
    <w:p>
      <w:r>
        <w:br w:type="page"/>
      </w:r>
    </w:p>
    <w:p>
      <w:pPr>
        <w:pStyle w:val="1"/>
        <w:spacing w:before="240" w:after="160"/>
      </w:pPr>
      <w:r>
        <w:rPr>
          <w:rFonts w:eastAsia="黑体"/>
          <w:b/>
          <w:bCs/>
        </w:rPr>
        <w:t>1 引言</w:t>
      </w:r>
    </w:p>
    <w:p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本说明书定义应急管理子系统的高层逻辑架构、数据边界、部署边界、外部系统边界及非功能设计约束，为后续数据库、详细设计、接口契约、ADR、RTM 和测试计划提供受控输入。</w:t>
      </w:r>
    </w:p>
    <w:p>
      <w:pPr>
        <w:pStyle w:val="2"/>
        <w:spacing w:before="240" w:after="160"/>
      </w:pPr>
      <w:r>
        <w:rPr>
          <w:rFonts w:eastAsia="黑体"/>
          <w:b/>
          <w:bCs/>
          <w:sz w:val="28"/>
          <w:szCs w:val="28"/>
        </w:rPr>
        <w:t>1.1 设计范围</w:t>
      </w:r>
    </w:p>
    <w:p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本设计覆盖 Web、大屏和 H5 渠道接入的应急业务逻辑架构。它不定义类、状态机细节、物理表、字段长度、索引、数据库产品或完整接口字段。原型 Mock、localStorage 和 prototypeStore 不构成正式架构依据。</w:t>
      </w:r>
    </w:p>
    <w:p>
      <w:pPr>
        <w:pStyle w:val="2"/>
        <w:spacing w:before="240" w:after="160"/>
      </w:pPr>
      <w:r>
        <w:rPr>
          <w:rFonts w:eastAsia="黑体"/>
          <w:b/>
          <w:bCs/>
          <w:sz w:val="28"/>
          <w:szCs w:val="28"/>
        </w:rPr>
        <w:t>1.2 架构状态</w:t>
      </w:r>
    </w:p>
    <w:p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ARC-A（模块化单体、端口适配与持久化异步任务）仅为当前候选；最终拆分粒度、异步一致性和部署编排仍须由后续 ADR 及人工决策确认。</w:t>
      </w:r>
    </w:p>
    <w:p>
      <w:pPr>
        <w:pStyle w:val="1"/>
        <w:spacing w:before="240" w:after="160"/>
      </w:pPr>
      <w:r>
        <w:rPr>
          <w:rFonts w:eastAsia="黑体"/>
          <w:b/>
          <w:bCs/>
        </w:rPr>
        <w:t>2 技术架构</w:t>
      </w:r>
    </w:p>
    <w:p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整体分层关系见表 2-1。渠道经统一 API 边界调用领域模块；领域模块拥有业务规则和写入责任，外部平台只经独立适配端口访问。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层次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设计元素</w:t>
            </w:r>
          </w:p>
        </w:tc>
      </w:tr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渠道层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Web、大屏、H5；均经统一 API</w:t>
            </w:r>
          </w:p>
        </w:tc>
      </w:tr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业务层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MOD-PLAN、EVENT、TASK、RESOURCE、DUTY、DRILL、KNOWLEDGE</w:t>
            </w:r>
          </w:p>
        </w:tc>
      </w:tr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投影与适配层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MOD-SITUATION 只读投影；MOD-INTEGRATION 独立外部端口</w:t>
            </w:r>
          </w:p>
        </w:tc>
      </w:tr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公共能力层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MOD-PLATFORM：鉴权上下文、traceId、审计、幂等、错误、健康检查</w:t>
            </w:r>
          </w:p>
        </w:tc>
      </w:tr>
    </w:tbl>
    <w:p>
      <w:pPr>
        <w:jc w:val="center"/>
      </w:pPr>
      <w:r>
        <w:rPr>
          <w:rFonts w:eastAsia="宋体"/>
          <w:b/>
          <w:color w:val="000000"/>
          <w:sz w:val="18"/>
        </w:rPr>
        <w:t>表 2-1 逻辑技术架构分层</w:t>
      </w:r>
    </w:p>
    <w:p>
      <w:pPr>
        <w:pStyle w:val="2"/>
        <w:spacing w:before="240" w:after="160"/>
      </w:pPr>
      <w:r>
        <w:rPr>
          <w:rFonts w:eastAsia="黑体"/>
          <w:b/>
          <w:bCs/>
          <w:sz w:val="28"/>
          <w:szCs w:val="28"/>
        </w:rPr>
        <w:t>2.1 模块职责与依赖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模块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主责与依赖</w:t>
            </w:r>
          </w:p>
        </w:tc>
      </w:tr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MOD-PLAN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预案、版本、流程/任务模板；依赖中台工作流与文件</w:t>
            </w:r>
          </w:p>
        </w:tc>
      </w:tr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MOD-EVENT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事件、续报、核实、关闭；依赖预案、任务、IoT</w:t>
            </w:r>
          </w:p>
        </w:tc>
      </w:tr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MOD-TASK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任务快照、派发、反馈、回执补偿；依赖消息与组织权限</w:t>
            </w:r>
          </w:p>
        </w:tc>
      </w:tr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MOD-SITUATION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可重建态势读投影；依赖事件、资源、任务及地图/视频</w:t>
            </w:r>
          </w:p>
        </w:tc>
      </w:tr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MOD-RESOURCE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人员、物资、盘点快照/差异；依赖地图、组织、文件</w:t>
            </w:r>
          </w:p>
        </w:tc>
      </w:tr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MOD-DUTY / MOD-DRILL / MOD-KNOWLEDGE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值班打卡、演练评估、知识检索；分别依赖地图/消息/文件</w:t>
            </w:r>
          </w:p>
        </w:tc>
      </w:tr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MOD-MOBILE / MOD-INTEGRATION / MOD-PLATFORM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H5 渠道、外部适配、统一 API/审计/幂等/健康检查</w:t>
            </w:r>
          </w:p>
        </w:tc>
      </w:tr>
    </w:tbl>
    <w:p>
      <w:pPr>
        <w:jc w:val="center"/>
      </w:pPr>
      <w:r>
        <w:rPr>
          <w:rFonts w:eastAsia="宋体"/>
          <w:b/>
          <w:color w:val="000000"/>
          <w:sz w:val="18"/>
        </w:rPr>
        <w:t>表 2-2 模块职责与依赖</w:t>
      </w:r>
    </w:p>
    <w:p>
      <w:pPr>
        <w:pStyle w:val="1"/>
        <w:spacing w:before="240" w:after="160"/>
      </w:pPr>
      <w:r>
        <w:rPr>
          <w:rFonts w:eastAsia="黑体"/>
          <w:b/>
          <w:bCs/>
        </w:rPr>
        <w:t>3 数据架构</w:t>
      </w:r>
    </w:p>
    <w:p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数据按领域模块唯一写入。事件、任务、资源、值班、演练、知识及审计保留业务编号、外部标识、traceId 和多时间语义。MOD-SITUATION 仅维护可重建投影，不能反向成为事实源。物理模型留待 G3-04。</w:t>
      </w:r>
    </w:p>
    <w:p>
      <w:pPr>
        <w:pStyle w:val="1"/>
        <w:spacing w:before="240" w:after="160"/>
      </w:pPr>
      <w:r>
        <w:rPr>
          <w:rFonts w:eastAsia="黑体"/>
          <w:b/>
          <w:bCs/>
        </w:rPr>
        <w:t>4 部署架构与故障域</w:t>
      </w:r>
    </w:p>
    <w:p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系统部署于甲方内部环境，采用容器制品、配置外置和受控日志。渠道/API、领域业务、外部适配、数据和可观测性为逻辑故障域。建议配置 KN-070—078 尚待容量、网络、存储和恢复验证。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故障域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隔离与恢复约束</w:t>
            </w:r>
          </w:p>
        </w:tc>
      </w:tr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外部适配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超时/失败不回滚已提交业务；有限重试、审计和人工降级</w:t>
            </w:r>
          </w:p>
        </w:tc>
      </w:tr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领域业务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先持久化业务状态，再派生通知、外部调用和读投影</w:t>
            </w:r>
          </w:p>
        </w:tc>
      </w:tr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控制调用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授权、二次确认、单次下发、回执对账；不自动重放</w:t>
            </w:r>
          </w:p>
        </w:tc>
      </w:tr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数据与可观测性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健康检查、关联日志、备份恢复演练和干净环境部署作为后续验证输入</w:t>
            </w:r>
          </w:p>
        </w:tc>
      </w:tr>
    </w:tbl>
    <w:p>
      <w:pPr>
        <w:jc w:val="center"/>
      </w:pPr>
      <w:r>
        <w:rPr>
          <w:rFonts w:eastAsia="宋体"/>
          <w:b/>
          <w:color w:val="000000"/>
          <w:sz w:val="18"/>
        </w:rPr>
        <w:t>表 4-1 部署故障域与恢复约束</w:t>
      </w:r>
    </w:p>
    <w:p>
      <w:pPr>
        <w:pStyle w:val="1"/>
        <w:spacing w:before="240" w:after="160"/>
      </w:pPr>
      <w:r>
        <w:rPr>
          <w:rFonts w:eastAsia="黑体"/>
          <w:b/>
          <w:bCs/>
        </w:rPr>
        <w:t>5 外部边界与主要 NFR</w:t>
      </w:r>
    </w:p>
    <w:p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EXT-VIDEO、EXT-PUBLISH、EXT-INTRUSION、EXT-ACCESS、EXT-FIRE、EXT-IOT、EXT-MIDDLE、EXT-MESSAGE 保持独立语义。甲方提供既有能力、账号、协议和测试环境；本系统负责业务适配、关联、审计和失败处理。</w:t>
      </w:r>
    </w:p>
    <w:p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ISSUE-G3-01-001 仍为 OPEN：视频/消息字段、认证、回执和性能未验证，接口不冻结且不得宣称连通。KN-064 以同一 traceId/eventId 验证视频、信息发布、物联网、中台的正常、无权、超时/失败联动。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设计预算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约束（待测）</w:t>
            </w:r>
          </w:p>
        </w:tc>
      </w:tr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时效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预案下发≤3秒；告警接入≤2秒；定位≤2秒；视频首帧≤3秒</w:t>
            </w:r>
          </w:p>
        </w:tc>
      </w:tr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性能容量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95%页面≤3秒；峰值≥100人；事件/任务在线≥10年、≥2万/20万</w:t>
            </w:r>
          </w:p>
        </w:tc>
      </w:tr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可靠性安全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7×24；试运行≥99.5%；MTTR≤2小时；审计≥180天；高危漏洞0</w:t>
            </w:r>
          </w:p>
        </w:tc>
      </w:tr>
      <w:tr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部署</w:t>
            </w:r>
          </w:p>
        </w:tc>
        <w:tc>
          <w:tcPr>
            <w:tcW w:type="dxa" w:w="4513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甲方内网私有化；干净环境一次成功且≤2小时</w:t>
            </w:r>
          </w:p>
        </w:tc>
      </w:tr>
    </w:tbl>
    <w:p>
      <w:pPr>
        <w:jc w:val="center"/>
      </w:pPr>
      <w:r>
        <w:rPr>
          <w:rFonts w:eastAsia="宋体"/>
          <w:b/>
          <w:color w:val="000000"/>
          <w:sz w:val="18"/>
        </w:rPr>
        <w:t>表 5-1 主要非功能设计预算</w:t>
      </w:r>
    </w:p>
    <w:p>
      <w:pPr>
        <w:pStyle w:val="1"/>
        <w:spacing w:before="240" w:after="160"/>
      </w:pPr>
      <w:r>
        <w:rPr>
          <w:rFonts w:eastAsia="黑体"/>
          <w:b/>
          <w:bCs/>
        </w:rPr>
        <w:t>6 需求与设计追踪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设计元素</w:t>
            </w:r>
          </w:p>
        </w:tc>
        <w:tc>
          <w:tcPr>
            <w:tcW w:type="dxa" w:w="3009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需求/AC 锚点</w:t>
            </w:r>
          </w:p>
        </w:tc>
        <w:tc>
          <w:tcPr>
            <w:tcW w:type="dxa" w:w="3009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后续挂接</w:t>
            </w:r>
          </w:p>
        </w:tc>
      </w:tr>
      <w:tr>
        <w:tc>
          <w:tcPr>
            <w:tcW w:type="dxa" w:w="3009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ARCH-01 统一 API 边界</w:t>
            </w:r>
          </w:p>
        </w:tc>
        <w:tc>
          <w:tcPr>
            <w:tcW w:type="dxa" w:w="3009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AC-G2-FR-013-01、013-03</w:t>
            </w:r>
          </w:p>
        </w:tc>
        <w:tc>
          <w:tcPr>
            <w:tcW w:type="dxa" w:w="3009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G3-06/G3-08</w:t>
            </w:r>
          </w:p>
        </w:tc>
      </w:tr>
      <w:tr>
        <w:tc>
          <w:tcPr>
            <w:tcW w:type="dxa" w:w="3009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ARCH-02 事件任务编排</w:t>
            </w:r>
          </w:p>
        </w:tc>
        <w:tc>
          <w:tcPr>
            <w:tcW w:type="dxa" w:w="3009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AC-G2-FR-003-01、014-01、015-01</w:t>
            </w:r>
          </w:p>
        </w:tc>
        <w:tc>
          <w:tcPr>
            <w:tcW w:type="dxa" w:w="3009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G3-05/G3-08</w:t>
            </w:r>
          </w:p>
        </w:tc>
      </w:tr>
      <w:tr>
        <w:tc>
          <w:tcPr>
            <w:tcW w:type="dxa" w:w="3009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ARCH-03 资源与快照</w:t>
            </w:r>
          </w:p>
        </w:tc>
        <w:tc>
          <w:tcPr>
            <w:tcW w:type="dxa" w:w="3009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AC-G2-FR-009-01、025-02</w:t>
            </w:r>
          </w:p>
        </w:tc>
        <w:tc>
          <w:tcPr>
            <w:tcW w:type="dxa" w:w="3009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G3-04/G3-08</w:t>
            </w:r>
          </w:p>
        </w:tc>
      </w:tr>
      <w:tr>
        <w:tc>
          <w:tcPr>
            <w:tcW w:type="dxa" w:w="3009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ARCH-04 外部端口与降级</w:t>
            </w:r>
          </w:p>
        </w:tc>
        <w:tc>
          <w:tcPr>
            <w:tcW w:type="dxa" w:w="3009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AC-G2-FR-006-01、020-02、027-01、029-03</w:t>
            </w:r>
          </w:p>
        </w:tc>
        <w:tc>
          <w:tcPr>
            <w:tcW w:type="dxa" w:w="3009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G3-06/G3-08</w:t>
            </w:r>
          </w:p>
        </w:tc>
      </w:tr>
      <w:tr>
        <w:tc>
          <w:tcPr>
            <w:tcW w:type="dxa" w:w="3009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ARCH-05 联动与可观测性</w:t>
            </w:r>
          </w:p>
        </w:tc>
        <w:tc>
          <w:tcPr>
            <w:tcW w:type="dxa" w:w="3009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AC-G2-FR-006-01、027-01；KN-064</w:t>
            </w:r>
          </w:p>
        </w:tc>
        <w:tc>
          <w:tcPr>
            <w:tcW w:type="dxa" w:w="3009"/>
          </w:tcPr>
          <w:p>
            <w:pPr>
              <w:spacing w:after="100" w:line="360" w:lineRule="auto"/>
              <w:ind w:firstLine="475"/>
            </w:pPr>
            <w:r>
              <w:rPr>
                <w:rFonts w:eastAsia="宋体"/>
                <w:color w:val="000000"/>
                <w:sz w:val="24"/>
                <w:szCs w:val="24"/>
              </w:rPr>
              <w:t>G3-08/G3-09</w:t>
            </w:r>
          </w:p>
        </w:tc>
      </w:tr>
    </w:tbl>
    <w:p>
      <w:pPr>
        <w:jc w:val="center"/>
      </w:pPr>
      <w:r>
        <w:rPr>
          <w:rFonts w:eastAsia="宋体"/>
          <w:b/>
          <w:color w:val="000000"/>
          <w:sz w:val="18"/>
        </w:rPr>
        <w:t>表 6-1 需求与设计元素追踪</w:t>
      </w:r>
    </w:p>
    <w:p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G3-08 将完成39条 FR、34条★FR、117条 AC 的双向设计挂接；本表不替代 RTM。</w:t>
      </w:r>
    </w:p>
    <w:p>
      <w:pPr>
        <w:pStyle w:val="1"/>
        <w:spacing w:before="240" w:after="160"/>
      </w:pPr>
      <w:r>
        <w:rPr>
          <w:rFonts w:eastAsia="黑体"/>
          <w:b/>
          <w:bCs/>
        </w:rPr>
        <w:t>7 设计限制与后续输入</w:t>
      </w:r>
    </w:p>
    <w:p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本概要设计不替代后续 DBD、DLD、接口说明书、OpenAPI、ADR 或测试计划。任何外部字段、部署资源、坐标体系和中台能力未有受控证据时，标记【待人工确认】并按 Issue/变更流程处理。</w:t>
      </w:r>
    </w:p>
    <w:sectPr w:rsidR="00853D15" w:rsidRPr="00FD0B90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2A13EB" w14:textId="77777777" w:rsidR="00975574" w:rsidRDefault="00975574">
      <w:r>
        <w:separator/>
      </w:r>
    </w:p>
  </w:endnote>
  <w:endnote w:type="continuationSeparator" w:id="0">
    <w:p w14:paraId="2AAAA410" w14:textId="77777777" w:rsidR="00975574" w:rsidRDefault="009755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B22BD9" w14:textId="77777777" w:rsidR="00853D15" w:rsidRDefault="00B5769A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1A778D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828679" w14:textId="77777777" w:rsidR="00975574" w:rsidRDefault="00975574">
      <w:r>
        <w:separator/>
      </w:r>
    </w:p>
  </w:footnote>
  <w:footnote w:type="continuationSeparator" w:id="0">
    <w:p w14:paraId="5732812B" w14:textId="77777777" w:rsidR="00975574" w:rsidRDefault="009755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495325"/>
    <w:multiLevelType w:val="hybridMultilevel"/>
    <w:tmpl w:val="EFE27114"/>
    <w:lvl w:ilvl="0" w:tplc="0409000B">
      <w:start w:val="1"/>
      <w:numFmt w:val="bullet"/>
      <w:lvlText w:val="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1" w15:restartNumberingAfterBreak="0">
    <w:nsid w:val="49F74CC0"/>
    <w:multiLevelType w:val="hybridMultilevel"/>
    <w:tmpl w:val="6E949C6A"/>
    <w:lvl w:ilvl="0" w:tplc="143CAB2E">
      <w:start w:val="1"/>
      <w:numFmt w:val="bullet"/>
      <w:lvlText w:val="●"/>
      <w:lvlJc w:val="left"/>
      <w:pPr>
        <w:ind w:left="720" w:hanging="360"/>
      </w:pPr>
    </w:lvl>
    <w:lvl w:ilvl="1" w:tplc="8F589C9E">
      <w:start w:val="1"/>
      <w:numFmt w:val="bullet"/>
      <w:lvlText w:val="○"/>
      <w:lvlJc w:val="left"/>
      <w:pPr>
        <w:ind w:left="1440" w:hanging="360"/>
      </w:pPr>
    </w:lvl>
    <w:lvl w:ilvl="2" w:tplc="C11A7EDA">
      <w:start w:val="1"/>
      <w:numFmt w:val="bullet"/>
      <w:lvlText w:val="■"/>
      <w:lvlJc w:val="left"/>
      <w:pPr>
        <w:ind w:left="2160" w:hanging="360"/>
      </w:pPr>
    </w:lvl>
    <w:lvl w:ilvl="3" w:tplc="025CDC9E">
      <w:start w:val="1"/>
      <w:numFmt w:val="bullet"/>
      <w:lvlText w:val="●"/>
      <w:lvlJc w:val="left"/>
      <w:pPr>
        <w:ind w:left="2880" w:hanging="360"/>
      </w:pPr>
    </w:lvl>
    <w:lvl w:ilvl="4" w:tplc="1264FABA">
      <w:start w:val="1"/>
      <w:numFmt w:val="bullet"/>
      <w:lvlText w:val="○"/>
      <w:lvlJc w:val="left"/>
      <w:pPr>
        <w:ind w:left="3600" w:hanging="360"/>
      </w:pPr>
    </w:lvl>
    <w:lvl w:ilvl="5" w:tplc="4A3E8D7E">
      <w:start w:val="1"/>
      <w:numFmt w:val="bullet"/>
      <w:lvlText w:val="■"/>
      <w:lvlJc w:val="left"/>
      <w:pPr>
        <w:ind w:left="4320" w:hanging="360"/>
      </w:pPr>
    </w:lvl>
    <w:lvl w:ilvl="6" w:tplc="8204540C">
      <w:start w:val="1"/>
      <w:numFmt w:val="bullet"/>
      <w:lvlText w:val="●"/>
      <w:lvlJc w:val="left"/>
      <w:pPr>
        <w:ind w:left="5040" w:hanging="360"/>
      </w:pPr>
    </w:lvl>
    <w:lvl w:ilvl="7" w:tplc="D7207778">
      <w:start w:val="1"/>
      <w:numFmt w:val="bullet"/>
      <w:lvlText w:val="●"/>
      <w:lvlJc w:val="left"/>
      <w:pPr>
        <w:ind w:left="5760" w:hanging="360"/>
      </w:pPr>
    </w:lvl>
    <w:lvl w:ilvl="8" w:tplc="BCDA705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FA922A0"/>
    <w:multiLevelType w:val="hybridMultilevel"/>
    <w:tmpl w:val="A9442318"/>
    <w:lvl w:ilvl="0" w:tplc="16365776">
      <w:numFmt w:val="bullet"/>
      <w:lvlText w:val="·"/>
      <w:lvlJc w:val="left"/>
      <w:pPr>
        <w:ind w:left="570" w:hanging="360"/>
      </w:pPr>
      <w:rPr>
        <w:rFonts w:ascii="Times New Roman" w:eastAsia="宋体" w:hAnsi="Times New Roman" w:cs="Times New Roman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D15"/>
    <w:rsid w:val="001A778D"/>
    <w:rsid w:val="004A41FA"/>
    <w:rsid w:val="00853D15"/>
    <w:rsid w:val="00975574"/>
    <w:rsid w:val="00B5769A"/>
    <w:rsid w:val="00F07204"/>
    <w:rsid w:val="00FD0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D0EF66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hAnsi="Times New Roman" w:eastAsia="宋体"/>
    </w:rPr>
  </w:style>
  <w:style w:type="paragraph" w:styleId="1">
    <w:name w:val="heading 1"/>
    <w:uiPriority w:val="9"/>
    <w:qFormat/>
    <w:pPr>
      <w:outlineLvl w:val="0"/>
    </w:pPr>
    <w:rPr>
      <w:rFonts w:ascii="Times New Roman" w:hAnsi="Times New Roman" w:eastAsia="黑体"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rFonts w:ascii="Times New Roman" w:hAnsi="Times New Roman" w:eastAsia="黑体"/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rFonts w:ascii="Times New Roman" w:hAnsi="Times New Roman" w:eastAsia="黑体"/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A778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1A778D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1A778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1A778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1773</Words>
  <Characters>10109</Characters>
  <Application>Microsoft Office Word</Application>
  <DocSecurity>0</DocSecurity>
  <Lines>84</Lines>
  <Paragraphs>23</Paragraphs>
  <ScaleCrop>false</ScaleCrop>
  <Company/>
  <LinksUpToDate>false</LinksUpToDate>
  <CharactersWithSpaces>11859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文档审计报告</dc:title>
  <dc:creator>课程教学组</dc:creator>
  <cp:lastModifiedBy>晓雷 李</cp:lastModifiedBy>
  <cp:revision>3</cp:revision>
  <dcterms:created xsi:type="dcterms:W3CDTF">2026-08-29T14:22:00Z</dcterms:created>
  <dcterms:modified xsi:type="dcterms:W3CDTF">2026-09-06T14:26:00Z</dcterms:modified>
</cp:coreProperties>
</file>