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V1.2</w:t>
      </w:r>
    </w:p>
    <w:p w14:paraId="07B4318E" w14:textId="77777777" w:rsidR="0077579D" w:rsidRPr="0041599B" w:rsidRDefault="001B1BC6">
      <w:pPr>
        <w:spacing w:after="8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right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80"/>
        <w:jc w:val="righ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after="80"/>
        <w:jc w:val="right"/>
      </w:pPr>
      <w:r>
        <w:t>编制日期：2026 年 9 月 16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编制/修订人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/>
              <w:t>V0.1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/>
              <w:t>2026-09-13</w:t>
            </w:r>
          </w:p>
        </w:tc>
        <w:tc>
          <w:tcPr>
            <w:tcW w:w="1464" w:type="dxa"/>
          </w:tcPr>
          <w:p>
            <w:r/>
            <w:r>
              <w:rPr/>
              <w:t>全文</w:t>
            </w:r>
          </w:p>
        </w:tc>
        <w:tc>
          <w:tcPr>
            <w:tcW w:w="3178" w:type="dxa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w="1419" w:type="dxa"/>
          </w:tcPr>
          <w:p>
            <w:pPr>
              <w:jc w:val="center"/>
            </w:pPr>
            <w:r/>
            <w:r>
              <w:rPr/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/>
              <w:t>V1.0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/>
              <w:t>2026-09-14</w:t>
            </w:r>
          </w:p>
        </w:tc>
        <w:tc>
          <w:tcPr>
            <w:tcW w:w="1464" w:type="dxa"/>
          </w:tcPr>
          <w:p>
            <w:r/>
            <w:r>
              <w:rPr/>
              <w:t>全文</w:t>
            </w:r>
          </w:p>
        </w:tc>
        <w:tc>
          <w:tcPr>
            <w:tcW w:w="3178" w:type="dxa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w="1419" w:type="dxa"/>
          </w:tcPr>
          <w:p>
            <w:pPr>
              <w:jc w:val="center"/>
            </w:pPr>
            <w:r/>
            <w:r>
              <w:rPr/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V1.2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2026-09-16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第3、8章；目录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按 C Review 修正流程/状态插入顺序、39/39 AC 完整性表述及重复目录续段，并重建渲染证据。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after="80"/>
        <w:jc w:val="righ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spacing w:after="80"/>
        <w:jc w:val="right"/>
      </w:pPr>
      <w:r>
        <w:t>目 录</w:t>
      </w:r>
    </w:p>
    <w:p w14:paraId="2EA029DF" w14:textId="77777777" w:rsidR="0041599B" w:rsidRPr="0041599B" w:rsidRDefault="0041599B">
      <w:pPr>
        <w:spacing w:after="80"/>
        <w:jc w:val="right"/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spacing w:after="80"/>
        <w:jc w:val="right"/>
      </w:pPr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1 引言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1.1 目的</w:t>
      </w:r>
    </w:p>
    <w:p>
      <w:pPr>
        <w:spacing w:after="80"/>
        <w:jc w:val="right"/>
      </w:pPr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1.2 项目范围</w:t>
      </w:r>
    </w:p>
    <w:p>
      <w:pPr>
        <w:spacing w:after="80"/>
        <w:jc w:val="right"/>
      </w:pPr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1.3 依据与优先级</w:t>
      </w:r>
    </w:p>
    <w:p>
      <w:pPr>
        <w:spacing w:after="80"/>
        <w:jc w:val="right"/>
      </w:pPr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1.5 故事映射关闭状态</w:t>
      </w:r>
    </w:p>
    <w:p>
      <w:pPr>
        <w:spacing w:after="80"/>
        <w:jc w:val="right"/>
      </w:pPr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b/>
          <w:sz w:val="18"/>
        </w:rPr>
        <w:t>图 1-1  需求双镜像与追踪关系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2.1 用户与使用场景</w:t>
      </w:r>
    </w:p>
    <w:p>
      <w:pPr>
        <w:spacing w:after="80"/>
        <w:jc w:val="right"/>
      </w:pPr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2.2 产品边界</w:t>
      </w:r>
    </w:p>
    <w:p>
      <w:pPr>
        <w:spacing w:after="80"/>
        <w:jc w:val="right"/>
      </w:pPr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2.3 运行与依赖环境</w:t>
      </w:r>
    </w:p>
    <w:p>
      <w:pPr>
        <w:spacing w:after="80"/>
        <w:jc w:val="right"/>
      </w:pPr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3 功能需求</w:t>
      </w:r>
    </w:p>
    <w:p>
      <w:pPr>
        <w:spacing w:after="80"/>
        <w:jc w:val="right"/>
      </w:pPr>
      <w:r>
        <w:t>下表保留39条受控功能需求及既有验收标准。G2-R02已完成反向澄清裁决，G2-R03仅补充需求级流程、状态、字段和量化语义；本轮影响AC的可观察规则均标记为G2-R05对spec.md与RTM的待同步项。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3.1 MVP-1 数字预案与事件处置闭环</w:t>
      </w:r>
    </w:p>
    <w:p>
      <w:pPr>
        <w:jc w:val="center"/>
      </w:pPr>
      <w:r>
        <w:rPr>
          <w:rFonts w:eastAsia="黑体"/>
          <w:b/>
          <w:sz w:val="18"/>
        </w:rPr>
        <w:t>表 3-1 数字预案与事件处置功能需求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3.2 MVP-2 指挥态势 视频与定位联动</w:t>
      </w:r>
    </w:p>
    <w:p>
      <w:pPr>
        <w:jc w:val="center"/>
      </w:pPr>
      <w:r>
        <w:rPr>
          <w:rFonts w:eastAsia="黑体"/>
          <w:b/>
          <w:sz w:val="18"/>
        </w:rPr>
        <w:t>表 3-2 指挥态势、视频与定位功能需求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3.3 MVP-3 演练 移动执行与值班物资闭环</w:t>
      </w:r>
    </w:p>
    <w:p>
      <w:pPr>
        <w:jc w:val="center"/>
      </w:pPr>
      <w:r>
        <w:rPr>
          <w:rFonts w:eastAsia="黑体"/>
          <w:b/>
          <w:sz w:val="18"/>
        </w:rPr>
        <w:t>表 3-3 演练、移动执行与值班物资功能需求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3.4 MVP-4 外部联动与中台业务适配</w:t>
      </w:r>
    </w:p>
    <w:p>
      <w:pPr>
        <w:jc w:val="center"/>
      </w:pPr>
      <w:r>
        <w:rPr>
          <w:rFonts w:eastAsia="黑体"/>
          <w:b/>
          <w:sz w:val="18"/>
        </w:rPr>
        <w:t>表 3-4 外部联动与中台业务适配功能需求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3.5 非 MVP、仍属本期范围的功能需求</w:t>
      </w:r>
    </w:p>
    <w:p>
      <w:pPr>
        <w:spacing w:after="80"/>
        <w:jc w:val="right"/>
      </w:pPr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jc w:val="center"/>
      </w:pPr>
      <w:r>
        <w:rPr>
          <w:rFonts w:eastAsia="黑体"/>
          <w:b/>
          <w:sz w:val="18"/>
        </w:rPr>
        <w:t>表 3-5 非MVP、本期范围功能需求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3.6核心业务流程与异常路径。表3-6覆盖主路径及异常路径；其可观察规则将在G2-R05同步至spec.md和RTM。</w:t>
      </w:r>
    </w:p>
    <w:p>
      <w:pPr>
        <w:jc w:val="center"/>
      </w:pPr>
      <w:r>
        <w:rPr>
          <w:rFonts w:eastAsia="黑体"/>
          <w:b/>
          <w:sz w:val="18"/>
        </w:rPr>
        <w:t>表 3-6 核心业务流程及异常路径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3.7核心状态模型。表3-7仅定义需求级可观察状态与迁移约束，不规定技术实现。</w:t>
      </w:r>
    </w:p>
    <w:p>
      <w:pPr>
        <w:jc w:val="center"/>
      </w:pPr>
      <w:r>
        <w:rPr>
          <w:rFonts w:eastAsia="黑体"/>
          <w:b/>
          <w:sz w:val="18"/>
        </w:rPr>
        <w:t>表 3-7 核心业务状态模型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4 外部接口需求</w:t>
      </w:r>
    </w:p>
    <w:p>
      <w:pPr>
        <w:jc w:val="center"/>
      </w:pPr>
      <w:r>
        <w:rPr>
          <w:rFonts w:eastAsia="黑体"/>
          <w:b/>
          <w:sz w:val="18"/>
        </w:rPr>
        <w:t>表 4-1 外部接口需求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>
        <w:spacing w:after="80"/>
        <w:jc w:val="right"/>
      </w:pPr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5 数据需求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5.1 核心数据对象</w:t>
      </w:r>
    </w:p>
    <w:p>
      <w:pPr>
        <w:spacing w:after="80"/>
        <w:jc w:val="right"/>
      </w:pPr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5.2 核心实体字段字典。表 5-1 为需求级语义字典，不是数据库 ER 或物理表设计。</w:t>
      </w:r>
    </w:p>
    <w:p>
      <w:pPr>
        <w:jc w:val="center"/>
      </w:pPr>
      <w:r>
        <w:rPr>
          <w:rFonts w:eastAsia="黑体"/>
          <w:b/>
          <w:sz w:val="18"/>
        </w:rPr>
        <w:t>表 5-1 核心实体字段字典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w="1419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5.3 数据质量与来源</w:t>
      </w:r>
    </w:p>
    <w:p>
      <w:pPr>
        <w:spacing w:after="80"/>
        <w:jc w:val="right"/>
      </w:pPr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5.4 数据安全与审计</w:t>
      </w:r>
    </w:p>
    <w:p>
      <w:pPr>
        <w:spacing w:after="80"/>
        <w:jc w:val="right"/>
      </w:pPr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6 非功能需求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6.1 PE性能指标与容量</w:t>
      </w:r>
    </w:p>
    <w:p>
      <w:pPr>
        <w:jc w:val="center"/>
      </w:pPr>
      <w:r>
        <w:rPr>
          <w:rFonts w:eastAsia="黑体"/>
          <w:b/>
          <w:sz w:val="18"/>
        </w:rPr>
        <w:t>表 6-1 PE-01—PE-12性能指标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jc w:val="center"/>
      </w:pPr>
      <w:r>
        <w:rPr>
          <w:rFonts w:eastAsia="黑体"/>
          <w:b/>
          <w:sz w:val="18"/>
        </w:rPr>
        <w:t>表 6-2 容量要求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6.2 可用性 可靠性与恢复</w:t>
      </w:r>
    </w:p>
    <w:p>
      <w:pPr>
        <w:jc w:val="center"/>
      </w:pPr>
      <w:r>
        <w:rPr>
          <w:rFonts w:eastAsia="黑体"/>
          <w:b/>
          <w:sz w:val="18"/>
        </w:rPr>
        <w:t>表 6-3 可用性、可靠性与恢复要求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>
        <w:spacing w:after="80"/>
        <w:jc w:val="right"/>
      </w:pPr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6.3 安全</w:t>
      </w:r>
    </w:p>
    <w:p>
      <w:pPr>
        <w:jc w:val="center"/>
      </w:pPr>
      <w:r>
        <w:rPr>
          <w:rFonts w:eastAsia="黑体"/>
          <w:b/>
          <w:sz w:val="18"/>
        </w:rPr>
        <w:t>表 6-4 安全要求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>
        <w:spacing w:after="80"/>
        <w:jc w:val="right"/>
      </w:pPr>
      <w:r>
        <w:t>安全要求见表6-4。正式定级备案、基础环境合规和正式第三方等保测评由甲方组织；本要求不宣称上述活动已完成。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6.4 兼容与易用</w:t>
      </w:r>
    </w:p>
    <w:p>
      <w:pPr>
        <w:jc w:val="center"/>
      </w:pPr>
      <w:r>
        <w:rPr>
          <w:rFonts w:eastAsia="黑体"/>
          <w:b/>
          <w:sz w:val="18"/>
        </w:rPr>
        <w:t>表 6-5 易用性与兼容性要求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>
        <w:spacing w:after="80"/>
        <w:jc w:val="right"/>
      </w:pPr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6.5 可维护性与可测试性</w:t>
      </w:r>
    </w:p>
    <w:p>
      <w:pPr>
        <w:jc w:val="center"/>
      </w:pPr>
      <w:r>
        <w:rPr>
          <w:rFonts w:eastAsia="黑体"/>
          <w:b/>
          <w:sz w:val="18"/>
        </w:rPr>
        <w:t>表 6-6 可维护性与可测试性要求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>
        <w:spacing w:after="80"/>
        <w:jc w:val="right"/>
      </w:pPr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8 验收与追踪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8.1 验收总则</w:t>
      </w:r>
    </w:p>
    <w:p>
      <w:pPr>
        <w:spacing w:after="80"/>
        <w:jc w:val="right"/>
      </w:pPr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8.2 双镜像与 RTM</w:t>
      </w:r>
    </w:p>
    <w:p>
      <w:pPr>
        <w:spacing w:after="80"/>
        <w:jc w:val="right"/>
      </w:pPr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>39 条 G2-FR 均有至少一个 AC-G2-FR-nnn-xx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9 变更控制与待澄清事项</w:t>
      </w:r>
    </w:p>
    <w:p>
      <w:pPr>
        <w:spacing w:after="80"/>
        <w:jc w:val="right"/>
      </w:pPr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>
        <w:spacing w:after="80"/>
        <w:jc w:val="right"/>
      </w:pPr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10 G2规格化阶段补充业务规则（课程项目人工决策）</w:t>
      </w:r>
    </w:p>
    <w:p>
      <w:pPr>
        <w:spacing w:after="80"/>
        <w:jc w:val="right"/>
      </w:pPr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pPr>
        <w:spacing w:after="80"/>
        <w:jc w:val="right"/>
      </w:pPr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jc w:val="center"/>
      </w:pPr>
      <w:r>
        <w:rPr>
          <w:rFonts w:eastAsia="黑体"/>
          <w:b/>
          <w:sz w:val="18"/>
        </w:rPr>
        <w:t>表 10-1 G2-RCLR补充业务规则索引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header" Target="header1.xml"/><Relationship Id="rId17" Type="http://schemas.openxmlformats.org/officeDocument/2006/relationships/footer" Target="footer2.xml"/><Relationship Id="rId18" Type="http://schemas.openxmlformats.org/officeDocument/2006/relationships/header" Target="head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