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AA84F3" w14:textId="77777777" w:rsidR="00473490" w:rsidRDefault="00E92720">
      <w:pPr>
        <w:spacing w:after="80"/>
        <w:jc w:val="right"/>
      </w:pPr>
      <w:r>
        <w:rPr>
          <w:rFonts w:ascii="Times New Roman" w:hAnsi="Times New Roman" w:eastAsia="宋体"/>
        </w:rPr>
        <w:t>文档编号：YJGL-G3-14-RMP　　版本号：V0.2</w:t>
      </w:r>
    </w:p>
    <w:p w14:paraId="0CBB3100" w14:textId="77777777" w:rsidR="00473490" w:rsidRDefault="00E92720">
      <w:pPr>
        <w:spacing w:before="1200" w:after="360"/>
        <w:jc w:val="right"/>
      </w:pPr>
      <w:r>
        <w:rPr>
          <w:rFonts w:ascii="Times New Roman" w:hAnsi="Times New Roman" w:eastAsia="宋体"/>
        </w:rPr>
        <w:t>密　　级：内部 · 教学用</w:t>
      </w:r>
    </w:p>
    <w:p w14:paraId="045394DC" w14:textId="77777777" w:rsidR="00473490" w:rsidRDefault="00473490">
      <w:pPr>
        <w:spacing w:before="2000" w:after="480"/>
        <w:jc w:val="center"/>
      </w:pPr>
    </w:p>
    <w:p w14:paraId="158276D2" w14:textId="77777777" w:rsidR="00473490" w:rsidRDefault="00E92720">
      <w:pPr>
        <w:pBdr>
          <w:bottom w:val="single" w:sz="12" w:space="8" w:color="000000"/>
        </w:pBdr>
        <w:spacing w:after="360"/>
        <w:jc w:val="center"/>
      </w:pPr>
      <w:r>
        <w:rPr>
          <w:rFonts w:ascii="Times New Roman" w:hAnsi="Times New Roman" w:eastAsia="宋体"/>
        </w:rPr>
        <w:t>某自然博物馆智能运营中心建设项目——应急管理子系统</w:t>
      </w:r>
    </w:p>
    <w:p w14:paraId="491500EC" w14:textId="77777777" w:rsidR="00473490" w:rsidRDefault="00E92720">
      <w:pPr>
        <w:spacing w:before="520" w:after="200"/>
        <w:jc w:val="center"/>
      </w:pPr>
      <w:r>
        <w:rPr>
          <w:rFonts w:ascii="Times New Roman" w:hAnsi="Times New Roman" w:eastAsia="宋体"/>
        </w:rPr>
        <w:t>风险管理计划与风险登记册 v2</w:t>
      </w:r>
    </w:p>
    <w:p w14:paraId="45D14523" w14:textId="77777777" w:rsidR="00473490" w:rsidRDefault="00E92720">
      <w:pPr>
        <w:spacing w:after="80"/>
        <w:jc w:val="center"/>
      </w:pPr>
      <w:r>
        <w:rPr>
          <w:rFonts w:ascii="Times New Roman" w:hAnsi="Times New Roman" w:eastAsia="宋体"/>
        </w:rPr>
        <w:t>（G3-14 评审候选）</w:t>
      </w:r>
    </w:p>
    <w:p w14:paraId="08561CAC" w14:textId="77777777" w:rsidR="00473490" w:rsidRDefault="00473490">
      <w:pPr>
        <w:spacing w:before="1600" w:after="80"/>
        <w:jc w:val="center"/>
      </w:pPr>
    </w:p>
    <w:p w14:paraId="6A969480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编制单位：020202项目组【待人工确认】</w:t>
      </w:r>
    </w:p>
    <w:p w14:paraId="2DCBDE2C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编　　制：何思源（项目负责人）</w:t>
      </w:r>
    </w:p>
    <w:p w14:paraId="01171880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审　　核：严宇（技术负责人）</w:t>
      </w:r>
    </w:p>
    <w:p w14:paraId="6E13AA28" w14:textId="77777777" w:rsidR="00473490" w:rsidRDefault="00E92720" w:rsidP="00671365">
      <w:pPr>
        <w:spacing w:after="200"/>
        <w:ind w:leftChars="1134" w:left="2268"/>
      </w:pPr>
      <w:r>
        <w:rPr>
          <w:rFonts w:ascii="Times New Roman" w:hAnsi="Times New Roman" w:eastAsia="宋体"/>
        </w:rPr>
        <w:t>批　　准：【待人工确认】</w:t>
      </w:r>
    </w:p>
    <w:p w14:paraId="0373C190" w14:textId="77777777" w:rsidR="00473490" w:rsidRDefault="00E92720" w:rsidP="00671365">
      <w:pPr>
        <w:spacing w:before="200" w:after="80"/>
        <w:ind w:leftChars="1134" w:left="2268"/>
      </w:pPr>
      <w:r>
        <w:rPr>
          <w:rFonts w:ascii="Times New Roman" w:hAnsi="Times New Roman" w:eastAsia="宋体"/>
        </w:rPr>
        <w:t>编制日期：2026 年 9 月 21 日</w:t>
      </w:r>
    </w:p>
    <w:p w14:paraId="0AD56817" w14:textId="77777777" w:rsidR="00473490" w:rsidRDefault="00E92720">
      <w:r>
        <w:rPr>
          <w:color w:val="000000"/>
        </w:rPr>
        <w:br w:type="page"/>
      </w:r>
    </w:p>
    <w:p w14:paraId="3806E55D" w14:textId="77777777" w:rsidR="00473490" w:rsidRDefault="00E92720">
      <w:pPr>
        <w:spacing w:before="120" w:after="120"/>
        <w:jc w:val="center"/>
      </w:pPr>
      <w:r>
        <w:rPr>
          <w:rFonts w:eastAsia="黑体"/>
          <w:b/>
          <w:color w:val="000000"/>
          <w:sz w:val="24"/>
        </w:rPr>
        <w:lastRenderedPageBreak/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88"/>
        <w:gridCol w:w="1360"/>
        <w:gridCol w:w="3265"/>
        <w:gridCol w:w="1360"/>
        <w:gridCol w:w="1995"/>
      </w:tblGrid>
      <w:tr w:rsidR="00473490" w14:paraId="3D3D8098" w14:textId="77777777" w:rsidTr="00671365">
        <w:trPr>
          <w:jc w:val="center"/>
          <w:tblHeader w:val="true"/>
        </w:trPr>
        <w:tc>
          <w:tcPr>
            <w:tcW w:w="1088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版本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日期</w:t>
            </w:r>
          </w:p>
        </w:tc>
        <w:tc>
          <w:tcPr>
            <w:tcW w:w="326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修订章节</w:t>
            </w:r>
          </w:p>
        </w:tc>
        <w:tc>
          <w:tcPr>
            <w:tcW w:w="1360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修订说明</w:t>
            </w:r>
          </w:p>
        </w:tc>
        <w:tc>
          <w:tcPr>
            <w:tcW w:w="1995" w:type="dxa"/>
            <w:shd w:val="clear" w:color="auto" w:fill="D9E2EC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编制/修订人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V0.1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2026-09-20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全文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建立 G3-14 风险管理计划与风险登记册 v2，覆盖识别、评价、责任、触发、应对、复核、关闭及 AC-G2-FR-006-01 专项核对。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V0.2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2026-09-21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§2—§9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按 ISSUE-G3-14-001/002 统一风险评分分组，并为 7 张业务表补齐连续、紧邻的编号题注；风险 ID、P/I、责任、应对和 Issue 状态不变。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何思源</w:t>
            </w:r>
          </w:p>
        </w:tc>
      </w:tr>
    </w:tbl>
    <w:p w14:paraId="06AEBA57" w14:textId="77777777" w:rsidR="00473490" w:rsidRDefault="00E92720">
      <w:pPr>
        <w:spacing w:before="160" w:after="120"/>
      </w:pPr>
      <w:r>
        <w:rPr>
          <w:rFonts w:ascii="Times New Roman" w:hAnsi="Times New Roman" w:eastAsia="宋体"/>
        </w:rPr>
        <w:t>修订记录</w:t>
      </w:r>
    </w:p>
    <w:p w14:paraId="313A1715" w14:textId="77777777" w:rsidR="00671365" w:rsidRDefault="00E92720">
      <w:pPr>
        <w:rPr>
          <w:color w:val="000000"/>
        </w:rPr>
        <w:sectPr w:rsidR="00671365" w:rsidSect="00671365">
          <w:headerReference w:type="default" r:id="rId7"/>
          <w:footerReference w:type="default" r:id="rId8"/>
          <w:headerReference w:type="first" r:id="rId12"/>
          <w:headerReference w:type="even" r:id="rId13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  <w:r>
        <w:rPr>
          <w:rFonts w:ascii="Times New Roman" w:hAnsi="Times New Roman" w:eastAsia="宋体"/>
        </w:rPr>
        <w:t>注：本表只记录可核验的版本事件；B 独立复核通过前，本文件保持评审候选。</w:t>
      </w:r>
    </w:p>
    <w:p w14:paraId="63CE956D" w14:textId="77777777" w:rsidR="00473490" w:rsidRDefault="00473490">
      <w:pPr>
        <w:pageBreakBefore/>
      </w:pPr>
    </w:p>
    <w:p w14:paraId="074759BB" w14:textId="77777777" w:rsidR="00473490" w:rsidRDefault="00E92720">
      <w:pPr>
        <w:spacing w:after="240"/>
        <w:jc w:val="center"/>
      </w:pPr>
      <w:r>
        <w:rPr>
          <w:rFonts w:eastAsia="黑体"/>
          <w:b/>
          <w:bCs/>
          <w:color w:val="000000"/>
          <w:sz w:val="32"/>
          <w:szCs w:val="32"/>
        </w:rPr>
        <w:t>目　　录</w:t>
      </w:r>
    </w:p>
    <w:p>
      <w:pPr>
        <w:pStyle w:val="TOC1"/>
        <w:tabs>
          <w:tab w:val="right" w:leader="dot" w:pos="8500"/>
        </w:tabs>
      </w:pPr>
      <w:r>
        <w:t>1 目的、范围与依据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2 风险治理、角色与衔接</w:t>
      </w:r>
      <w:r>
        <w:tab/>
      </w:r>
      <w:r>
        <w:t>1</w:t>
      </w:r>
    </w:p>
    <w:p>
      <w:pPr>
        <w:pStyle w:val="TOC1"/>
        <w:tabs>
          <w:tab w:val="right" w:leader="dot" w:pos="8500"/>
        </w:tabs>
      </w:pPr>
      <w:r>
        <w:t>3 识别、评价与优先级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3.1 识别与分类</w:t>
      </w:r>
      <w:r>
        <w:tab/>
      </w:r>
      <w:r>
        <w:t>1</w:t>
      </w:r>
    </w:p>
    <w:p>
      <w:pPr>
        <w:pStyle w:val="TOC2"/>
        <w:tabs>
          <w:tab w:val="right" w:leader="dot" w:pos="8500"/>
        </w:tabs>
      </w:pPr>
      <w:r>
        <w:t>3.2 概率与影响</w:t>
      </w:r>
      <w:r>
        <w:tab/>
      </w:r>
      <w:r>
        <w:t>2</w:t>
      </w:r>
    </w:p>
    <w:p>
      <w:pPr>
        <w:pStyle w:val="TOC1"/>
        <w:tabs>
          <w:tab w:val="right" w:leader="dot" w:pos="8500"/>
        </w:tabs>
      </w:pPr>
      <w:r>
        <w:t>4 风险登记册 v2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4.1 当前极高与高风险</w:t>
      </w:r>
      <w:r>
        <w:tab/>
      </w:r>
      <w:r>
        <w:t>2</w:t>
      </w:r>
    </w:p>
    <w:p>
      <w:pPr>
        <w:pStyle w:val="TOC2"/>
        <w:tabs>
          <w:tab w:val="right" w:leader="dot" w:pos="8500"/>
        </w:tabs>
      </w:pPr>
      <w:r>
        <w:t>4.2 当前中风险与持续监测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5 触发、监测、应对与升级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6 AC-G2-FR-006-01 专项核对</w:t>
      </w:r>
      <w:r>
        <w:tab/>
      </w:r>
      <w:r>
        <w:t>4</w:t>
      </w:r>
    </w:p>
    <w:p>
      <w:pPr>
        <w:pStyle w:val="TOC1"/>
        <w:tabs>
          <w:tab w:val="right" w:leader="dot" w:pos="8500"/>
        </w:tabs>
      </w:pPr>
      <w:r>
        <w:t>7 Issue、变更、测试与配置闭环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8 报告、复核与关闭</w:t>
      </w:r>
      <w:r>
        <w:tab/>
      </w:r>
      <w:r>
        <w:t>5</w:t>
      </w:r>
    </w:p>
    <w:p>
      <w:pPr>
        <w:pStyle w:val="TOC1"/>
        <w:tabs>
          <w:tab w:val="right" w:leader="dot" w:pos="8500"/>
        </w:tabs>
      </w:pPr>
      <w:r>
        <w:t>9 主责自检与准出</w:t>
      </w:r>
      <w:r>
        <w:tab/>
      </w:r>
      <w:r>
        <w:t>5</w:t>
      </w:r>
    </w:p>
    <w:p w14:paraId="0003DA6E" w14:textId="77777777" w:rsidR="00671365" w:rsidRDefault="00671365">
      <w:pPr>
        <w:pStyle w:val="1"/>
        <w:pageBreakBefore/>
        <w:rPr>
          <w:rFonts w:eastAsia="黑体"/>
          <w:b/>
          <w:bCs/>
        </w:rPr>
        <w:sectPr w:rsidR="00671365" w:rsidSect="00671365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</w:p>
    <w:p>
      <w:pPr>
        <w:pStyle w:val="1"/>
        <w:keepNext/>
      </w:pPr>
      <w:r>
        <w:rPr>
          <w:rFonts w:ascii="Times New Roman" w:hAnsi="Times New Roman" w:eastAsia="黑体"/>
          <w:b/>
        </w:rPr>
        <w:t>1.1 目的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本计划规定第三关及后续实现、联调、测试、发布阶段的风险识别、评价、责任、监测、应对、升级、复核和关闭方法，并形成风险登记册 v2。计划不以文档检查代替实现、真实接口联调、性能测试或验收证据。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1.2 范围与受控边界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适用范围包括需求与范围、外部依赖、接口联调、架构与数据、非功能、信息安全、进度、人员、质量、配置与发布。受控需求仍为 39 条 FR、34 条★、117 条 AC；本计划不改变冻结 FR/AC/★、关键数字、责任边界或既有 Issue 状态。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1.3 依据与优先级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依据为冻结 M2 基线、G3-01 设计输入、G3-03—09 设计与测试成果、项目/质量/配置管理计划、现有风险登记册、control/issues.md 与变更记录。发生矛盾时依次服从真实需求、任务书、受控事实与数字、已批准变更；教学样例仅提供物理版式。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2-1 风险治理角色职责与边界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角色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职责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本任务边界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 项目负责人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维护计划和登记册，协调责任人，主持升级与跨域处置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G3-14 主责；不得代替 Issue/变更授权人关闭事项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B 技术负责人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识别技术、接口与 NFR 风险，核对技术应对与证据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G3-14 唯一 Review 人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C 需求与质量负责人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提供合规、追踪、关键数字与验收风险输入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不承担本文件 Review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风险责任人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监测触发器、执行预防/缓解、提交证据与关闭建议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一项风险只指定一名牵头角色，可协同但不可转移责任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风险是可能发生的不确定事件；Issue 是已经发生且需跟踪的问题；缺陷进入缺陷流程；改变基线、范围、接口或指标的处置进入 CR/CCB。风险触发后不得只改风险状态：已成事实则创建或关联 Issue，需改基线则提交 CR，发布阻断按质量与配置门禁处理。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3.1 识别与分类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每周例会、里程碑评审、需求/设计/测试 Review、接口联调、监控告警、缺陷趋势、变更影响和复盘均可提出风险。风险陈述至少包含原因、可能事件、影响；分类采用范围/需求、外部依赖、技术/接口、数据、NFR/安全、进度/资源、质量/配置、运维/发布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3.2 概率与影响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3-1 风险概率与影响评分定义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分值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概率判定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影响判定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1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极少，当前无迹象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可在责任人日常工作内吸收，不影响门禁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2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较低，有替代方案且依赖稳定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小范围返工，不改变关键路径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3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可能，存在未决条件或历史先例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影响单一交付件、测试批次或一般里程碑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4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较高，已有明确缺口或触发征兆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影响关键路径、★验收、外部联调或发布门禁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5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几乎确定或已接近触发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导致基线不可冻结、验收失败、严重安全/业务中断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风险值为 P×I：1—4 低、5—9 中、10—16 高、17—25 极高。同等级按★/安全/基线门禁、触发临近度、依赖范围排序；Issue 已 OPEN 的相关风险不得因“已知”而降低等级。</w:t>
      </w:r>
    </w:p>
    <w:p>
      <w:pPr>
        <w:pStyle w:val="1"/>
        <w:keepNext/>
      </w:pPr>
      <w:r>
        <w:rPr>
          <w:rFonts w:ascii="Times New Roman" w:hAnsi="Times New Roman" w:eastAsia="黑体"/>
          <w:b/>
        </w:rPr>
        <w:t>4.1 当前极高与高风险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4-1 当前极高与高风险登记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rPr>
          <w:tblHeader w:val="true"/>
        </w:trP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ID/类别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原因—事件—影响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P/I/等级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触发与监测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预防、缓解、应急与升级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责任人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复核/关闭条件/状态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RR-01 外部依赖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视频/消息真实环境、账号、版本、认证、样例和回执不足，可能无法联通或证明性能，阻断外部契约与 M3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5/5/25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ISSUE-G3-01-001 保持 OPEN；每周核对证据清单、联通记录和失败场景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预防：维护缺口清单并提前预约环境；缓解：冻结内部端口而不冒认厂商 Schema；应急：使用桩继续非现场测试但标明边界；升级：A 协调甲方并按需提交延期/替代裁决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每周及证据到达即复核；Issue 按其关闭条件闭环且相关联调复测通过后方可建议关闭；OPEN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RR-02 基线/进度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RR-01 与管理计划未齐套使 M3 门禁不满足，可能造成错误冻结或关键路径延期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5/5/25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ISSUE-G3-10-001 OPEN；G3-10 结论为不可冻结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保持 DO_NOT_FREEZE；并行完成不依赖工作；解除前重新执行 M3 审计；任何越权冻结立即升级 A/CCB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每周和门禁输入变化时；仅在关联 Issue 关闭、G3-11—14 达门禁且重审通过后关闭；OPEN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RR-04 消息联调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回执、限流、错误和幂等语义未获真实证据，可能无法证明 ≥20 路并行与正常验收通道到达率 ≥99%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4/5/20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PE-04 仍受 ISSUE-G3-01-001 阻断；监测回执终态、重复率、超时率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契约占位、Outbox 与幂等设计；获取真实样例后执行正常/重复/迟到/失败场景；失败时保留人工处置和可追踪状态；重大偏差升级 A/B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每周；真实通道测试达标、失败恢复和审计证据齐备后关闭；OPEN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RR-05 视频验收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权限、通道或既有接口不可用，可能无法展示实时画面或明确失败原因，并影响首帧验证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4/5/20 极高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授权点位调阅失败、错误原因不明确、首帧无可测证据；关联 AC-G2-FR-006-01、PE-06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服务端鉴权、VideoPort 隔离、明确错误分类与审计；覆盖正常/无权/超时/无通道；接口不可用时明确失败并引导人工使用既有系统；升级 RR-01/Issue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每周及每次联调；AC 用例通过、真实请求/结果/错误与首帧证据齐备后关闭；OPEN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RR-08 性能/NFR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目标环境、数据规模或监控不齐，可能无法证明 PE-01—12、容量、可靠性与部署指标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4/4/16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压测环境未就绪、P95/错误率/资源数据缺失、PE-04/06 被阻断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提前准备数据、脚本和监控；按测试计划分层测量；不达标时画像、优化和复测；门禁前仍失败则禁止发布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每周及每轮性能测试；全部适用指标有可复现实测证据且无阻断缺陷后关闭；OPEN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RR-09 安全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鉴权、越权、依赖漏洞或敏感信息处理不足，可能导致高危漏洞或发布阻断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3/5/15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扫描/渗透发现高危、密钥入库、对象级越权或审计缺失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最小权限、服务端鉴权、密钥外置、SCA/扫描/渗透；隔离受影响版本并复测；高危未清零禁止候选发布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每周及安全扫描后；高危 0、复测通过、审计证据齐备后关闭；OPEN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RR-13 进度/资源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三人并行、外部等待和评审返工可能挤压关键路径并造成质量让步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4/4/16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关键任务 BLOCKED/延期、Review 排队、返工两轮仍未收敛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依赖驱动排期、限制 WIP、保留联调/复测缓冲；重排非关键项但不删门禁；关键路径偏差升级 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每周；关键路径恢复且连续两个复核周期无逾期征兆后降级/关闭；OPEN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RR-16 追踪/配置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FR—AC—设计—测试—证据或版本引用漂移，可能造成漏验、错版或不可审计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3/5/15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RTM 断链、哈希/版本不一致、状态列越界、发布包与批准版本不符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RTM 和配置审计、受控状态码、发布清单与哈希；发现错版立即停止发布并回滚；需改基线提交 CR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每周及发布前；连续两次配置审计无断链且发布包可回溯后关闭；OPEN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RR-03 数据/映射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八类外部端口字段、枚举、时间与错误语义漂移，可能造成契约失败或错误归一化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映射失败、未知字段积压或破坏性变更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版本化映射、未知字段隔离和契约差异门禁；失败时停用受影响映射并人工核对；破坏性变更升级 B/A 并按需提交 CR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每周；八端口契约及异常用例通过后关闭；OPEN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RR-06 地图/定位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坐标系、楼层、精度或新鲜度未确认，可能导致错误展示或调度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位置偏移、数据过期仍参与调派或楼层映射失败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保存源精度与时间，过期位置降级；异常时停止自动调派并人工确认；跨系统语义不一致升级 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每周；源与展示比对及过期降级用例通过后关闭；OPEN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RR-07 数据质量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组织、人员、点位、物资等源数据不完整或重复，可能影响调度和统计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完整率、唯一性、引用或对账检查失败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导入校验、主键/引用检查和异常清单；失败批次隔离并人工修正；持续失败升级 C/A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每周；受控样本导入与对账通过后关闭；OPEN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RR-10 部署/恢复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私有化资源、备份恢复或回滚未验证，可能延长中断或阻断发布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干净部署、备份校验、恢复或回滚演练失败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外置配置、迁移/回滚脚本和恢复演练；失败时停止发布并恢复已知良好版本；升级 B/A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每周及每次演练；独立部署、回滚和恢复演练通过后关闭；OPEN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RR-11 范围/变更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未经评估的需求扩张可能冲击冻结范围、关键路径和验收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出现口头新增或拟改变 FR/AC/数字/责任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所有变化进入 CR/CCB 和影响分析；未批准内容不实施；紧急事项先隔离并升级 A/CCB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每周；变更获批或拒绝并同步全部受控项后关闭；OPEN</w:t>
            </w:r>
          </w:p>
        </w:tc>
      </w:tr>
      <w:tr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RR-15 AI/证据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AI 生成内容可能引入未证实事实或把 Mock 写成实测，造成错误准出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3/4/12 高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无来源数字、虚构验证、日志缺失或结论与证据不一致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来源优先级、Prompt/输出日志、机械检查与人工 Review；发现后撤回错误结论并重审；重大证据污染升级 C/A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C</w:t>
            </w:r>
          </w:p>
        </w:tc>
        <w:tc>
          <w:tcPr>
            <w:tcW w:type="dxa" w:w="129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每周；抽查无未证实结论且证据链完整后关闭；OPEN</w:t>
            </w:r>
          </w:p>
        </w:tc>
      </w:tr>
    </w:tbl>
    <w:p>
      <w:pPr>
        <w:pStyle w:val="1"/>
        <w:keepNext/>
      </w:pPr>
      <w:r>
        <w:rPr>
          <w:rFonts w:ascii="Times New Roman" w:hAnsi="Times New Roman" w:eastAsia="黑体"/>
          <w:b/>
        </w:rPr>
        <w:t>4.2 当前中风险与持续监测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4-2 当前中风险登记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88"/>
        <w:gridCol w:w="1360"/>
        <w:gridCol w:w="3265"/>
        <w:gridCol w:w="1360"/>
        <w:gridCol w:w="1995"/>
      </w:tblGrid>
      <w:tr>
        <w:trPr>
          <w:tblHeader w:val="true"/>
        </w:trP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ID/类别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风险与主要控制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P/I/等级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责任人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5"/>
              </w:rPr>
              <w:t>触发/复核与关闭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RR-12 H5/兼容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宿主版本、弱网、定位/扫码权限差异导致移动端失败；确认矩阵并覆盖权限拒绝、切后台和弱网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3/3/9 中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B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目标宿主关键流程失败；每两周；确认矩阵全通过后关闭</w:t>
            </w:r>
          </w:p>
        </w:tc>
      </w:tr>
      <w:tr>
        <w:tc>
          <w:tcPr>
            <w:tcW w:type="dxa" w:w="108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RR-14 人员治理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关键知识集中或职责冲突导致停滞/误审；通过单一主责、独立 Review、交接清单与受控记录控制</w:t>
            </w:r>
          </w:p>
        </w:tc>
        <w:tc>
          <w:tcPr>
            <w:tcW w:type="dxa" w:w="32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2/4/8 中</w:t>
            </w:r>
          </w:p>
        </w:tc>
        <w:tc>
          <w:tcPr>
            <w:tcW w:type="dxa" w:w="1360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A</w:t>
            </w:r>
          </w:p>
        </w:tc>
        <w:tc>
          <w:tcPr>
            <w:tcW w:type="dxa" w:w="199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5"/>
              </w:rPr>
              <w:t>主责缺席或同人自审；每两周；替补可按记录完成演练后关闭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当前登记册无 1—4 分低风险；后续新增低风险仍按 §5 的月度周期持续监测，不得为填充分组而虚构风险。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极高/高风险至少每周复核，中风险至少每两周，低风险至少每月；触发器、Issue/缺陷、测试失败、外部条件变化或里程碑前均立即复核。责任人更新 P/I、趋势、证据、行动与到期项，A 汇总风险状态报告。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应对按四层执行：预防降低发生概率；缓解降低影响；应急在触发后维持业务与证据完整；升级用于跨职责、基线、预算/工期、★、安全或甲方依赖事项。任何应急措施不得静默降低验收标准或扩大乙方责任。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受控验收语义为：Given 用户选择有权限的视频点位，When 发起实时调阅，Then 系统通过既有接口请求并展示实时画面或明确失败原因。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6-1 AC-G2-FR-006-01 风险控制核对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27"/>
        <w:gridCol w:w="2433"/>
        <w:gridCol w:w="2765"/>
        <w:gridCol w:w="2544"/>
      </w:tblGrid>
      <w:tr>
        <w:trPr>
          <w:tblHeader w:val="true"/>
        </w:trP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核对点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风险控制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验证证据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当前判定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有权限的视频点位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服务端权限与数据范围检查；无权不得向外部发起有效调阅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无权/有权用例、审计日志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设计已覆盖，待实现与联调证据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通过既有接口请求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VideoPort/适配器隔离厂商协议，记录 traceId 与脱敏调用摘要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契约、真实请求响应或调用记录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外部真实证据受 ISSUE-G3-01-001 阻断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展示实时画面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正常场景测量请求至首帧，并关联 PE-06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目标环境视频、首帧计时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待现场实测，不宣称通过</w:t>
            </w:r>
          </w:p>
        </w:tc>
      </w:tr>
      <w:tr>
        <w:tc>
          <w:tcPr>
            <w:tcW w:type="dxa" w:w="1327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明确失败原因</w:t>
            </w:r>
          </w:p>
        </w:tc>
        <w:tc>
          <w:tcPr>
            <w:tcW w:type="dxa" w:w="2433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区分无权、通道不可用、超时、认证失败及未知错误，给出下一步</w:t>
            </w:r>
          </w:p>
        </w:tc>
        <w:tc>
          <w:tcPr>
            <w:tcW w:type="dxa" w:w="2765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错误码、界面提示、失败日志</w:t>
            </w:r>
          </w:p>
        </w:tc>
        <w:tc>
          <w:tcPr>
            <w:tcW w:type="dxa" w:w="254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必须纳入集成/验收用例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专项结论：验收点未被更改；RR-05 明确了责任人、触发器、应对、复核周期和关闭条件。现阶段不能以接口设计、Mock 或文档审计代替真实视频联调与首帧证据。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7-1 风险与 Issue、变更、测试及配置闭环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3024"/>
        <w:gridCol w:w="4536"/>
      </w:tblGrid>
      <w:tr>
        <w:trPr>
          <w:tblHeader w:val="true"/>
        </w:trP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情形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受控动作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关闭证据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风险触发并成为事实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新建/关联 Issue，风险记录引用 Issue，不擅改其状态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Issue 按责任人和关闭标准复核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应对改变冻结需求、数字、接口或基线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提交 CR，完成影响分析和 CCB 决策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批准记录、变更日志、同步后的基线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测试发现偏差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建立缺陷，按严重度修复复测；关联风险趋势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复测记录与回归结果</w:t>
            </w:r>
          </w:p>
        </w:tc>
      </w:tr>
      <w:tr>
        <w:tc>
          <w:tcPr>
            <w:tcW w:type="dxa" w:w="1512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发布/回滚风险</w:t>
            </w:r>
          </w:p>
        </w:tc>
        <w:tc>
          <w:tcPr>
            <w:tcW w:type="dxa" w:w="302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执行配置审计、发布清单、备份和回滚门禁</w:t>
            </w:r>
          </w:p>
        </w:tc>
        <w:tc>
          <w:tcPr>
            <w:tcW w:type="dxa" w:w="4536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哈希、审批、部署/回滚及恢复证据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ISSUE-G3-01-001 与 ISSUE-G3-10-001 当前均保持 OPEN。本计划只引用和管理其风险暴露，不关闭、不降级、不授权 M3 冻结。</w:t>
      </w:r>
    </w:p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风险状态报告至少包含新增/关闭/升级风险、P/I 趋势、已触发事项、逾期行动、关联 Issue/CR/缺陷、门禁影响和所需决策。关闭必须同时满足：触发源已消除或降至可接受水平；预防/缓解/应急措施已验证；关联 Issue/缺陷/CR 已按各自流程闭环；无未转移残余风险；B 对本计划的 Review 结论已记录。仅“当前未发生”不能作为关闭理由。</w:t>
      </w:r>
    </w:p>
    <w:p>
      <w:pPr>
        <w:keepNext/>
        <w:spacing w:before="80" w:after="60"/>
        <w:jc w:val="center"/>
      </w:pPr>
      <w:r>
        <w:rPr>
          <w:rFonts w:ascii="Times New Roman" w:hAnsi="Times New Roman" w:eastAsia="黑体"/>
          <w:b/>
          <w:sz w:val="18"/>
        </w:rPr>
        <w:t>表 9-1 G3-14 主责整改自检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6804"/>
      </w:tblGrid>
      <w:tr>
        <w:trPr>
          <w:tblHeader w:val="true"/>
        </w:trP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检查项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/>
                <w:sz w:val="17"/>
              </w:rPr>
              <w:t>结论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风险识别、分类、P/I、优先级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PASS：16 项 P×I 与等级一致；极高/高/中按阈值分组，当前无低风险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四要素与治理字段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PASS：风险陈述、触发器、责任人、四层应对、复核和关闭条件齐备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AC-G2-FR-006-01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PASS：语义未改，正常/无权/失败/现场证据边界明确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冻结事实和 Issue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PASS：39 FR、34★、117 AC 未变；两个 OPEN Issue 未改状态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Review 边界</w:t>
            </w:r>
          </w:p>
        </w:tc>
        <w:tc>
          <w:tcPr>
            <w:tcW w:type="dxa" w:w="6804"/>
            <w:vAlign w:val="center"/>
          </w:tcPr>
          <w:p>
            <w:pPr>
              <w:spacing w:after="0" w:line="240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7"/>
              </w:rPr>
              <w:t>PASS：已按 ISSUE-G3-14-001/002 整改，下一步仅由 B 复验；复验前保持候选</w:t>
            </w:r>
          </w:p>
        </w:tc>
      </w:tr>
    </w:tbl>
    <w:p>
      <w:pPr>
        <w:spacing w:after="100" w:line="300" w:lineRule="auto"/>
        <w:ind w:firstLine="480"/>
        <w:jc w:val="both"/>
      </w:pPr>
      <w:r>
        <w:rPr>
          <w:rFonts w:ascii="Times New Roman" w:hAnsi="Times New Roman" w:eastAsia="宋体"/>
          <w:sz w:val="21"/>
        </w:rPr>
        <w:t>本计划与风险登记册 v2 已达到 G3-14 主责提交条件，状态进入 REVIEW；是否通过由 B 独立复核决定。</w:t>
      </w:r>
    </w:p>
    <w:sectPr w:rsidR="00473490" w:rsidSect="00671365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83885" w14:textId="77777777" w:rsidR="00D80242" w:rsidRDefault="00D80242">
      <w:r>
        <w:separator/>
      </w:r>
    </w:p>
  </w:endnote>
  <w:endnote w:type="continuationSeparator" w:id="0">
    <w:p w14:paraId="122C9EC3" w14:textId="77777777" w:rsidR="00D80242" w:rsidRDefault="00D8024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FC0BF8" w14:textId="77777777" w:rsidR="00473490" w:rsidRDefault="00E92720">
    <w:pPr>
      <w:spacing w:after="100" w:line="360" w:lineRule="auto"/>
      <w:jc w:val="center"/>
    </w:pPr>
    <w:r>
      <w:rPr>
        <w:rFonts w:eastAsia="宋体"/>
        <w:color w:val="000000"/>
        <w:sz w:val="18"/>
        <w:szCs w:val="18"/>
      </w:rPr>
      <w:fldChar w:fldCharType="begin"/>
    </w:r>
    <w:r>
      <w:rPr>
        <w:rFonts w:eastAsia="宋体"/>
        <w:color w:val="000000"/>
        <w:sz w:val="18"/>
        <w:szCs w:val="18"/>
      </w:rPr>
      <w:instrText>PAGE</w:instrText>
    </w:r>
    <w:r>
      <w:rPr>
        <w:rFonts w:eastAsia="宋体"/>
        <w:color w:val="000000"/>
        <w:sz w:val="18"/>
        <w:szCs w:val="18"/>
      </w:rPr>
      <w:fldChar w:fldCharType="separate"/>
    </w:r>
    <w:r w:rsidR="00671365">
      <w:rPr>
        <w:rFonts w:eastAsia="宋体"/>
        <w:noProof/>
        <w:color w:val="000000"/>
        <w:sz w:val="18"/>
        <w:szCs w:val="18"/>
      </w:rPr>
      <w:t>1</w:t>
    </w:r>
    <w:r>
      <w:rPr>
        <w:rFonts w:eastAsia="宋体"/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7CA25B" w14:textId="77777777" w:rsidR="00D80242" w:rsidRDefault="00D80242">
      <w:r>
        <w:separator/>
      </w:r>
    </w:p>
  </w:footnote>
  <w:footnote w:type="continuationSeparator" w:id="0">
    <w:p w14:paraId="6571F54E" w14:textId="77777777" w:rsidR="00D80242" w:rsidRDefault="00D8024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FE1E44" w14:textId="77777777" w:rsidR="00473490" w:rsidRDefault="00E92720">
    <w:pPr>
      <w:spacing w:after="60"/>
      <w:jc w:val="cent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宋体"/>
        <w:sz w:val="18"/>
      </w:rPr>
      <w:t>某自然博物馆智能运营中心建设项目——应急管理子系统 · 风险管理计划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5C227E"/>
    <w:multiLevelType w:val="hybridMultilevel"/>
    <w:tmpl w:val="CF104B7A"/>
    <w:lvl w:ilvl="0" w:tplc="F5520426">
      <w:start w:val="1"/>
      <w:numFmt w:val="bullet"/>
      <w:lvlText w:val="●"/>
      <w:lvlJc w:val="left"/>
      <w:pPr>
        <w:ind w:left="720" w:hanging="360"/>
      </w:pPr>
    </w:lvl>
    <w:lvl w:ilvl="1" w:tplc="A1FE0D52">
      <w:start w:val="1"/>
      <w:numFmt w:val="bullet"/>
      <w:lvlText w:val="○"/>
      <w:lvlJc w:val="left"/>
      <w:pPr>
        <w:ind w:left="1440" w:hanging="360"/>
      </w:pPr>
    </w:lvl>
    <w:lvl w:ilvl="2" w:tplc="62BA168A">
      <w:start w:val="1"/>
      <w:numFmt w:val="bullet"/>
      <w:lvlText w:val="■"/>
      <w:lvlJc w:val="left"/>
      <w:pPr>
        <w:ind w:left="2160" w:hanging="360"/>
      </w:pPr>
    </w:lvl>
    <w:lvl w:ilvl="3" w:tplc="06345ED0">
      <w:start w:val="1"/>
      <w:numFmt w:val="bullet"/>
      <w:lvlText w:val="●"/>
      <w:lvlJc w:val="left"/>
      <w:pPr>
        <w:ind w:left="2880" w:hanging="360"/>
      </w:pPr>
    </w:lvl>
    <w:lvl w:ilvl="4" w:tplc="BBCC2086">
      <w:start w:val="1"/>
      <w:numFmt w:val="bullet"/>
      <w:lvlText w:val="○"/>
      <w:lvlJc w:val="left"/>
      <w:pPr>
        <w:ind w:left="3600" w:hanging="360"/>
      </w:pPr>
    </w:lvl>
    <w:lvl w:ilvl="5" w:tplc="F5AA036A">
      <w:start w:val="1"/>
      <w:numFmt w:val="bullet"/>
      <w:lvlText w:val="■"/>
      <w:lvlJc w:val="left"/>
      <w:pPr>
        <w:ind w:left="4320" w:hanging="360"/>
      </w:pPr>
    </w:lvl>
    <w:lvl w:ilvl="6" w:tplc="64DE043E">
      <w:start w:val="1"/>
      <w:numFmt w:val="bullet"/>
      <w:lvlText w:val="●"/>
      <w:lvlJc w:val="left"/>
      <w:pPr>
        <w:ind w:left="5040" w:hanging="360"/>
      </w:pPr>
    </w:lvl>
    <w:lvl w:ilvl="7" w:tplc="0B9842FA">
      <w:start w:val="1"/>
      <w:numFmt w:val="bullet"/>
      <w:lvlText w:val="●"/>
      <w:lvlJc w:val="left"/>
      <w:pPr>
        <w:ind w:left="5760" w:hanging="360"/>
      </w:pPr>
    </w:lvl>
    <w:lvl w:ilvl="8" w:tplc="F17E21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3490"/>
    <w:rsid w:val="0018218C"/>
    <w:rsid w:val="00473490"/>
    <w:rsid w:val="00671365"/>
    <w:rsid w:val="00D80242"/>
    <w:rsid w:val="00E92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ED009D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>
      <w:pPr>
        <w:spacing w:before="240"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671365"/>
  </w:style>
  <w:style w:type="paragraph" w:styleId="TOC2">
    <w:name w:val="toc 2"/>
    <w:basedOn w:val="a"/>
    <w:next w:val="a"/>
    <w:autoRedefine/>
    <w:uiPriority w:val="39"/>
    <w:unhideWhenUsed/>
    <w:rsid w:val="00671365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67136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671365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67136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67136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8</Pages>
  <Words>341</Words>
  <Characters>1950</Characters>
  <Application>Microsoft Office Word</Application>
  <DocSecurity>0</DocSecurity>
  <Lines>16</Lines>
  <Paragraphs>4</Paragraphs>
  <ScaleCrop>false</ScaleCrop>
  <Company/>
  <LinksUpToDate>false</LinksUpToDate>
  <CharactersWithSpaces>2287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风险管理计划与风险登记册 v2</dc:title>
  <dc:creator>020202项目组</dc:creator>
  <cp:lastModifiedBy>晓雷 李</cp:lastModifiedBy>
  <cp:revision>2</cp:revision>
  <dcterms:created xsi:type="dcterms:W3CDTF">2026-08-26T11:48:00Z</dcterms:created>
  <dcterms:modified xsi:type="dcterms:W3CDTF">2026-09-06T14:29:00Z</dcterms:modified>
  <dc:subject>G3-14</dc:subject>
</cp:coreProperties>
</file>