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宋体" w:hAnsi="宋体" w:eastAsia="宋体"/>
          <w:b w:val="0"/>
          <w:sz w:val="24"/>
        </w:rPr>
        <w:t>文档编号：【待人工确认】    版本号：V0.9</w:t>
      </w:r>
    </w:p>
    <w:p>
      <w:pPr>
        <w:jc w:val="right"/>
      </w:pPr>
      <w:r>
        <w:rPr>
          <w:rFonts w:ascii="宋体" w:hAnsi="宋体" w:eastAsia="宋体"/>
          <w:b w:val="0"/>
          <w:sz w:val="24"/>
        </w:rPr>
        <w:t>密  级：【待人工确认】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某自然博物馆智能运营中心建设项目——应急管理子系统</w:t>
      </w:r>
    </w:p>
    <w:p>
      <w:pPr>
        <w:jc w:val="center"/>
      </w:pPr>
      <w:r>
        <w:rPr>
          <w:rFonts w:ascii="黑体" w:hAnsi="黑体" w:eastAsia="黑体"/>
          <w:b/>
          <w:sz w:val="56"/>
        </w:rPr>
        <w:t>项 目 建 议 书</w:t>
      </w:r>
    </w:p>
    <w:p/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编制单位：【待人工确认】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编制：A（项目经理 PM / 总编）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审核：C（符合性复核）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批准：【待人工确认】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 年 9 月 10 日</w:t>
      </w:r>
    </w:p>
    <w:p>
      <w:r>
        <w:br w:type="page"/>
      </w:r>
    </w:p>
    <w:p>
      <w:pPr>
        <w:pStyle w:val="Heading1"/>
      </w:pPr>
      <w:r>
        <w:t>项目建议书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13"/>
        <w:gridCol w:w="4513"/>
      </w:tblGrid>
      <w:tr>
        <w:tc>
          <w:tcPr>
            <w:tcW w:type="dxa" w:w="4513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文档信息</w:t>
            </w:r>
          </w:p>
        </w:tc>
        <w:tc>
          <w:tcPr>
            <w:tcW w:type="dxa" w:w="4513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Task ID</w:t>
            </w:r>
          </w:p>
        </w:tc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G1-03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Owner</w:t>
            </w:r>
          </w:p>
        </w:tc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A（项目经理 PM / 总编）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Status</w:t>
            </w:r>
          </w:p>
        </w:tc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REVIEW（已按 C 复核意见修订，待复验）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Baseline</w:t>
            </w:r>
          </w:p>
        </w:tc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BASELINE-G1-V0.1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复核</w:t>
            </w:r>
          </w:p>
        </w:tc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C（符合性复核）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文档性质</w:t>
            </w:r>
          </w:p>
        </w:tc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第一关“立项竞标”项目建议书工作稿</w:t>
            </w:r>
          </w:p>
        </w:tc>
      </w:tr>
      <w:tr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编制日期</w:t>
            </w:r>
          </w:p>
        </w:tc>
        <w:tc>
          <w:tcPr>
            <w:tcW w:type="dxa" w:w="4513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2026-09-10</w:t>
            </w:r>
          </w:p>
        </w:tc>
      </w:tr>
    </w:tbl>
    <w:p/>
    <w:p>
      <w:pPr>
        <w:pStyle w:val="Heading1"/>
      </w:pPr>
      <w: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1805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日期</w:t>
            </w:r>
          </w:p>
        </w:tc>
        <w:tc>
          <w:tcPr>
            <w:tcW w:type="dxa" w:w="1805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修订章节</w:t>
            </w:r>
          </w:p>
        </w:tc>
        <w:tc>
          <w:tcPr>
            <w:tcW w:type="dxa" w:w="1805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修订说明</w:t>
            </w:r>
          </w:p>
        </w:tc>
        <w:tc>
          <w:tcPr>
            <w:tcW w:type="dxa" w:w="1805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编制人</w:t>
            </w:r>
          </w:p>
        </w:tc>
      </w:tr>
      <w:tr>
        <w:tc>
          <w:tcPr>
            <w:tcW w:type="dxa" w:w="1805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V0.1</w:t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2026-09-10</w:t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全文</w:t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基于 `BASELINE-G1-V0.1` 形成项目建议书工作稿，待 C 符合性复核。</w:t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A</w:t>
            </w:r>
          </w:p>
        </w:tc>
      </w:tr>
    </w:tbl>
    <w:p/>
    <w:p>
      <w:pPr>
        <w:pStyle w:val="Heading1"/>
      </w:pPr>
      <w:r>
        <w:t>1 项目背景与问题理解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某自然博物馆具有展厅、藏品库房、公共区域及配套功能区，是兼具观众人员密集与不可再生文物藏品保护责任的公共场所。随着免费开放和节假日、暑期客流增加，社会安全、自然灾害、火灾及运行事故等复合型突发事件的预防与处置，对应急管理的及时性、协同性和可追溯性提出了更高要求。[来源：用户需求书 §1.1]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需求书明确指出，当前预案以纸质或分散电子文件为主，启动依赖人工判断与电话通知；现场人员位置、视频和物资等态势难以集中呈现；资源、演练和值班缺少系统化支撑；事件接报、核实、处置、关闭、评估和调查尚未形成全过程闭环。[来源：用户需求书 §1.1]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因此，本项目的重点不是重建馆内视频、门禁、消防或物联网等既有基础系统，而是把其已具备的感知、信息与控制能力通过接口纳入应急业务闭环，使日常预案、资源、演练和值班管理能够在突发事件发生时转化为可调用的处置基础。【分析性结论；依据：用户需求书 §1.2、§1.3、§3.2—§3.4；BASELINE-G1-V0.1】</w:t>
      </w:r>
    </w:p>
    <w:p>
      <w:pPr>
        <w:pStyle w:val="Heading1"/>
      </w:pPr>
      <w:r>
        <w:t>2 建设目标与建设内容</w:t>
      </w:r>
    </w:p>
    <w:p>
      <w:pPr>
        <w:pStyle w:val="Heading2"/>
      </w:pPr>
      <w:r>
        <w:t>2.1 项目定位与建设目标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项目建设以数字化应急预案为核心、应急指挥中心为枢纽、移动处置为延伸，并与馆内既有安防、视频、物联网及运营中台联动的应急管理子系统，实现事前准备、事发预警、事中处置和事后改进的全流程闭环。[来源：BASELINE-G1-V0.1 §3]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建设目标是形成覆盖全馆的应急预案、应急资源、应急演练、应急事件、应急值班线上闭环管理能力，支撑统一指挥、移动处置、全过程留痕与跨系统协同；以实用实效、平战结合、融合联动、标准规范、安全可靠、开放可扩展六项原则约束建设与交付。[来源：用户需求书 §1.2—§1.3；BASELINE-G1-V0.1 §4]</w:t>
      </w:r>
    </w:p>
    <w:p>
      <w:pPr>
        <w:pStyle w:val="Heading2"/>
      </w:pPr>
      <w:r>
        <w:t>2.2 建设范围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本项目覆盖以下十一项功能域：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3009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建设内容</w:t>
            </w:r>
          </w:p>
        </w:tc>
        <w:tc>
          <w:tcPr>
            <w:tcW w:type="dxa" w:w="3009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建议建设能力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F-01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应急预案管理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预案编制、处置流程、任务预设、通知与附件管理、版本留痕。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F-02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应急指挥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事件救援动态、任务进展、人员位置、视频与物资的一张图协同展示。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F-03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应急资源管理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应急人员、物资站点、物资台账与盘点管理。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F-04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应急演练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演练计划、任务下发、执行、评估与持续改进。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F-05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应急事件管理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接报、核实、预案启动、任务处置、关闭、评估与事故调查闭环。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F-06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应急值班管理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打卡小组、点位、任务、就位统计和异常提醒。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F-07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应急基础管理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类型、站点、模板和核实审批流程等基础配置。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F-08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应急管理移动端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事件、任务、知识库、演练、打卡和物资盘点的移动业务入口。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F-09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应急信息视图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应急事件、监控、流程等信息的图表化展示。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F-10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综合安防视图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安防终端状态和告警信息的集中展示。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F-11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数据接口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与物联网平台、统一业务运行中台、视频监控、信息发布等系统的业务对接。</w:t>
            </w:r>
          </w:p>
        </w:tc>
      </w:tr>
    </w:tbl>
    <w:p/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交付范围包括 Web 端、H5 移动端、数据接口、配套部署、数据初始化、测试、文档、培训、试运行和服务。移动端固定采用 H5 嵌入甲方现有智慧管理 APP：乙方负责 H5 应用、H5 包、业务接口与必要适配，甲方负责宿主 APP、签名与发布。[来源：BASELINE-G1-V0.1 §5]</w:t>
      </w:r>
    </w:p>
    <w:p>
      <w:pPr>
        <w:pStyle w:val="Heading2"/>
      </w:pPr>
      <w:r>
        <w:t>2.3 范围边界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视频监控、入侵报警、出入口控制、消防报警、广播、客流统计等既有系统自身建设或改造，以及其前端硬件；应急物资、安防终端、定位基站等实体物资；机房、服务器、网络等基础硬件采购；与政府应急平台的专线联网工程，均不属于本项目建设范围。重新测绘、从零制作三维场景、购买基础地图版权，以及正式第三方等级保护测评服务采购，也不计入默认范围。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范围外不等于不集成。本项目仍负责既有系统在本系统范围内的接口适配、联调、容错、验证和软件交付；例如视频历史回放为强制响应项，但录像产生、存储和不低于 30 天保存由既有视频系统负责。[来源：BASELINE-G1-V0.1 §6—§7]</w:t>
      </w:r>
    </w:p>
    <w:p>
      <w:pPr>
        <w:pStyle w:val="Heading1"/>
      </w:pPr>
      <w:r>
        <w:t>3 初步总体方案</w:t>
      </w:r>
    </w:p>
    <w:p>
      <w:pPr>
        <w:pStyle w:val="Heading2"/>
      </w:pPr>
      <w:r>
        <w:t>3.1 总体思路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建议采用分层解耦的总体思路，以应急业务闭环为主线组织 Web 与 H5 应用、业务能力、数据接口和运行保障。系统部署于甲方私有环境，支持容器化交付和隔离网络环境安装；对外采用标准 REST API 和 OpenAPI 文档，视频接口遵循 GB/T 28181 等已冻结要求。具体产品、框架、中间件和服务拆分已由 G1-04 V0.6 完成技术论证，本建议书仅引用其稳定结论，不扩展为详细技术设计。[来源：BASELINE-G1-V0.1 §10；G1-04 V0.6]</w:t>
      </w:r>
    </w:p>
    <w:p>
      <w:pPr>
        <w:pStyle w:val="Heading2"/>
      </w:pPr>
      <w:r>
        <w:t>3.2 业务闭环与融合方式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事件发现或上报 → 核实审批 → 预案启动 → 通知与任务下发 → 指挥调度 → 移动处置与反馈 → 事件关闭、评估与调查，构成本项目的核心业务闭环。预案、人员、物资、值班、演练、视频、地图与消息能力为该闭环提供日常数据和协同支撑。[来源：用户需求书 §1.2、§5；`project_positioning.md` §8]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既有视频、人员定位、信息发布、入侵报警、出入口控制、消防报警、物联网平台、统一业务运行中台、统一消息/短信平台、地图与空间数据、服务器网络和基础业务数据均由甲方按冻结责任边界提供基础能力、资料、账号、环境或协调窗口；乙方负责本系统的软件建设及逐接口适配、联调、容错、降级、验证与交付。[来源：BASELINE-G1-V0.1 §9]</w:t>
      </w:r>
    </w:p>
    <w:p>
      <w:pPr>
        <w:pStyle w:val="Heading2"/>
      </w:pPr>
      <w:r>
        <w:t>3.3 关键约束响应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视频历史回放按强制要求响应，乙方不新建录像存储系统。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人员定位由甲方提供源数据和验收能力，乙方负责接入、关联、映射、展示和刷新，不降低源精度。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疏散门禁联动按“应支持”响应，由授权人员确认后执行，服从既有安全联锁；失败时告警并转人工处置或降级。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统一中台的身份、组织、权限、消息、工作流、文件、门户和数据汇聚等通用能力由甲方既有平台提供，乙方不重复建设。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上述 12 项责任澄清属于甲方/招标人（课程模拟）书面裁决，用于解决本课程模拟项目的需求歧义，并作为当前编标 Baseline 的解释依据；其不应被表述为真实甲方正式法律文件。以上仅明确已冻结的业务与责任边界，不构成对具体技术产品或实现方式的预先承诺。[来源：BASELINE-G1-V0.1 §7、§10]</w:t>
      </w:r>
    </w:p>
    <w:p>
      <w:pPr>
        <w:pStyle w:val="Heading1"/>
      </w:pPr>
      <w:r>
        <w:t>4 初步实施思路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项目按原始用户需求书的 M1 需求确认、M2 设计评审、M3 初验、M4 试运行、M5 竣工验收等正式里程碑执行，具体 WBS、资源安排与内部排期由 G1-06 项目计划 v1 展开。[来源：BASELINE-G1-V0.1 §11]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建议在需求确认和设计阶段同步落实接口资料、测试账号、联调环境、地图与基础数据、部署条件等前置资源。视频监控和统一消息通道须在 M2 设计评审前完成连通性验证。数据初始化由甲方提供并确认真实业务源数据，乙方完成模板、映射、清洗、转换、导入和技术校验，最终成果由双方确认。[来源：BASELINE-G1-V0.1 §7、§9]</w:t>
      </w:r>
    </w:p>
    <w:p>
      <w:pPr>
        <w:pStyle w:val="Heading1"/>
      </w:pPr>
      <w:r>
        <w:t>5 项目价值与可行性分析</w:t>
      </w:r>
    </w:p>
    <w:p>
      <w:pPr>
        <w:pStyle w:val="Heading2"/>
      </w:pPr>
      <w:r>
        <w:t>5.1 预期业务价值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**应急响应价值。** 将预案启动、通知、任务下发、现场反馈和关闭评估连成可追踪的流程，降低依赖分散记录和逐级电话协调带来的信息断点。【分析性结论；依据：用户需求书 §1.1、§1.2】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**指挥协同价值。** 围绕事件发生地汇聚人员、视频、物资和任务进展，为指挥人员提供统一态势入口，而不改变既有安防系统的建设责任。【分析性结论；依据：用户需求书 §1.2、F-02、F-10】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**平战结合价值。** 预案维护、资源台账、值班打卡、演练评估等日常工作持续积累可用于事件处置的基础数据和经验。【分析性结论；依据：用户需求书 §1.3、F-01、F-03、F-04、F-06】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1"/>
        </w:rPr>
        <w:t>**管理规范与留痕价值。** 事件、任务、审批、反馈、演练、评估与调查的结构化记录，有助于事后复盘、预案修订和持续改进。【分析性结论；依据：用户需求书 F-04、F-05】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本建议书不作无来源的成本节约、效率提升或收益比例承诺。</w:t>
      </w:r>
    </w:p>
    <w:p>
      <w:pPr>
        <w:pStyle w:val="Heading2"/>
      </w:pPr>
      <w:r>
        <w:t>5.2 可行性基础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项目具备明确的业务目标、功能范围、验收指标和既有系统融合边界；甲方既有基础系统、私有部署环境、地图与业务数据等外部条件，以及乙方的软件适配、联调和验证责任，均已在基线中明确。实施可行性仍依赖接口资料、账号权限、联调窗口、环境容量与基础数据按计划提供，并应通过后续技术验证、计划与风险管理持续控制。[来源：BASELINE-G1-V0.1 §9、§13]</w:t>
      </w:r>
    </w:p>
    <w:p>
      <w:pPr>
        <w:pStyle w:val="Heading1"/>
      </w:pPr>
      <w:r>
        <w:t>6 主要风险及应对思路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09"/>
        <w:gridCol w:w="3009"/>
        <w:gridCol w:w="3009"/>
      </w:tblGrid>
      <w:tr>
        <w:tc>
          <w:tcPr>
            <w:tcW w:type="dxa" w:w="3009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风险方向</w:t>
            </w:r>
          </w:p>
        </w:tc>
        <w:tc>
          <w:tcPr>
            <w:tcW w:type="dxa" w:w="3009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风险说明</w:t>
            </w:r>
          </w:p>
        </w:tc>
        <w:tc>
          <w:tcPr>
            <w:tcW w:type="dxa" w:w="3009"/>
            <w:vAlign w:val="center"/>
            <w:shd w:fill="1F4E78"/>
          </w:tcPr>
          <w:p>
            <w:pPr>
              <w:spacing w:after="40" w:before="40"/>
            </w:pPr>
            <w:r>
              <w:rPr>
                <w:rFonts w:ascii="宋体" w:hAnsi="宋体" w:eastAsia="宋体"/>
                <w:b/>
                <w:color w:val="FFFFFF"/>
                <w:sz w:val="19"/>
              </w:rPr>
              <w:t>建议应对思路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外部接口与联调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多个既有系统的资料、版本、权限和环境可能影响集成节奏。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由甲方协调接口资料、账号、环境和窗口；乙方逐接口适配验证，视频与消息通道在 M2 前完成连通性验证。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数据与地图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基础业务数据质量、地图格式与坐标兼容性影响初始化和一张图展示。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甲方提供合法数据源并确认业务正确性；乙方完成技术校验，相关差异进入问题和变更流程。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安全与部署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私有环境资源、网络区划和安全责任边界影响部署和验收。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提前明确最低配置、网络/端口和部署方案；乙方落实应用侧安全测试与高危清零，甲方负责基础环境与正式测评组织。</w:t>
            </w:r>
          </w:p>
        </w:tc>
      </w:tr>
      <w:tr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业务协同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门禁等联动须同时满足授权、安全联锁和现场人工处置要求。</w:t>
            </w:r>
          </w:p>
        </w:tc>
        <w:tc>
          <w:tcPr>
            <w:tcW w:type="dxa" w:w="3009"/>
            <w:vAlign w:val="center"/>
          </w:tcPr>
          <w:p>
            <w:pPr>
              <w:spacing w:after="40" w:before="40"/>
            </w:pPr>
            <w:r>
              <w:rPr>
                <w:rFonts w:ascii="宋体" w:hAnsi="宋体" w:eastAsia="宋体"/>
                <w:b w:val="0"/>
                <w:sz w:val="19"/>
              </w:rPr>
              <w:t>按冻结口径设计授权确认、回执、失败告警和人工降级，并在后续技术验证中确认。</w:t>
            </w:r>
          </w:p>
        </w:tc>
      </w:tr>
    </w:tbl>
    <w:p/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本节为初步风险识别；正式风险登记册由 G1-07 建立并维护。</w:t>
      </w:r>
    </w:p>
    <w:p>
      <w:pPr>
        <w:pStyle w:val="Heading1"/>
      </w:pPr>
      <w:r>
        <w:t>7 结论与建议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本项目围绕博物馆应急准备、指挥调度、移动处置和事后改进的连续业务链建设软件与接口联动能力，建设范围、范围外边界、关键澄清和甲乙双方责任已由 `BASELINE-G1-V0.1` 冻结。建议以该基线及已完成的 G1-04 技术方案作为后续编标输入，在 G1-05 完成逐条合规复核的基础上，继续推进项目计划、风险登记册和技术投标书整合。</w:t>
      </w:r>
    </w:p>
    <w:p>
      <w:pPr>
        <w:spacing w:line="360" w:lineRule="auto" w:after="120"/>
        <w:ind w:firstLine="420"/>
        <w:jc w:val="both"/>
      </w:pPr>
      <w:r>
        <w:rPr>
          <w:rFonts w:ascii="宋体" w:hAnsi="宋体" w:eastAsia="宋体"/>
          <w:b w:val="0"/>
          <w:sz w:val="21"/>
        </w:rPr>
        <w:t>本工作稿提交 C 进行符合性复核；如复核发现与冻结基线、控制文件或原始需求不一致的内容，应通过 Issue/Change 流程修订，不得静默改变已冻结口径。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fldSimple w:instr="PAGE"/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