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386975">
      <w:pPr>
        <w:spacing w:after="80"/>
        <w:jc w:val="right"/>
        <w:rPr>
          <w:sz w:val="24"/>
          <w:szCs w:val="24"/>
        </w:rPr>
      </w:pPr>
      <w:r>
        <w:rPr>
          <w:rFonts w:ascii="Times New Roman" w:hAnsi="Times New Roman" w:eastAsia="宋体"/>
          <w:sz w:val="24"/>
          <w:szCs w:val="24"/>
        </w:rPr>
        <w:t>文档编号：YJGL-G3-11　　版本号：V0.1</w:t>
      </w:r>
    </w:p>
    <w:p w14:paraId="0D32676D">
      <w:pPr>
        <w:spacing w:before="1200" w:after="360"/>
        <w:jc w:val="right"/>
        <w:rPr>
          <w:sz w:val="24"/>
          <w:szCs w:val="24"/>
        </w:rPr>
      </w:pPr>
      <w:r>
        <w:rPr>
          <w:rFonts w:ascii="Times New Roman" w:hAnsi="Times New Roman" w:eastAsia="宋体"/>
          <w:sz w:val="24"/>
          <w:szCs w:val="24"/>
        </w:rPr>
        <w:t>密　　级：内部 · 教学用</w:t>
      </w:r>
    </w:p>
    <w:p w14:paraId="61B683BB">
      <w:pPr>
        <w:spacing w:before="2000" w:after="480"/>
        <w:jc w:val="center"/>
      </w:pPr>
    </w:p>
    <w:p w14:paraId="31E8938C">
      <w:pPr>
        <w:pBdr>
          <w:bottom w:val="single" w:color="000000" w:sz="12" w:space="8"/>
        </w:pBdr>
        <w:spacing w:before="240" w:after="360"/>
        <w:jc w:val="center"/>
        <w:rPr>
          <w:b/>
          <w:bCs/>
          <w:sz w:val="44"/>
          <w:szCs w:val="44"/>
        </w:rPr>
      </w:pPr>
      <w:r>
        <w:rPr>
          <w:rFonts w:ascii="Times New Roman" w:hAnsi="Times New Roman" w:eastAsia="宋体"/>
          <w:b/>
          <w:bCs/>
          <w:sz w:val="44"/>
          <w:szCs w:val="44"/>
        </w:rPr>
        <w:t>某自然博物馆智能运营中心建设项目——应急管理子系统</w:t>
      </w:r>
    </w:p>
    <w:p w14:paraId="427129F1">
      <w:pPr>
        <w:spacing w:before="520" w:after="200"/>
        <w:jc w:val="center"/>
        <w:rPr>
          <w:b/>
          <w:bCs/>
          <w:sz w:val="56"/>
          <w:szCs w:val="56"/>
        </w:rPr>
      </w:pPr>
      <w:r>
        <w:rPr>
          <w:rFonts w:ascii="Times New Roman" w:hAnsi="Times New Roman" w:eastAsia="宋体"/>
          <w:b/>
          <w:bCs/>
          <w:sz w:val="56"/>
          <w:szCs w:val="56"/>
        </w:rPr>
        <w:t>项目管理计划</w:t>
      </w:r>
    </w:p>
    <w:p w14:paraId="0A62D25A">
      <w:pPr>
        <w:spacing w:after="80"/>
        <w:jc w:val="center"/>
        <w:rPr>
          <w:rFonts w:hint="eastAsia" w:ascii="仿宋" w:hAnsi="仿宋" w:eastAsia="仿宋" w:cs="仿宋"/>
          <w:sz w:val="28"/>
          <w:szCs w:val="28"/>
        </w:rPr>
      </w:pPr>
      <w:r>
        <w:rPr>
          <w:rFonts w:hint="eastAsia" w:ascii="仿宋" w:hAnsi="仿宋" w:eastAsia="仿宋" w:cs="仿宋"/>
          <w:sz w:val="28"/>
          <w:szCs w:val="28"/>
        </w:rPr>
        <w:t>（G3-11 评审候选）</w:t>
      </w:r>
    </w:p>
    <w:p w14:paraId="0C2C8B55">
      <w:pPr>
        <w:spacing w:before="1600" w:after="80"/>
        <w:jc w:val="center"/>
      </w:pPr>
      <w:bookmarkStart w:id="0" w:name="_GoBack"/>
      <w:bookmarkEnd w:id="0"/>
    </w:p>
    <w:p w14:paraId="23E9FE0B">
      <w:pPr>
        <w:spacing w:after="200"/>
        <w:ind w:left="2126" w:leftChars="1063"/>
        <w:jc w:val="left"/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编制单位：020202项目组【待人工确认】</w:t>
      </w:r>
    </w:p>
    <w:p w14:paraId="62C3AE61">
      <w:pPr>
        <w:spacing w:after="200"/>
        <w:ind w:left="2126" w:leftChars="1063"/>
        <w:jc w:val="left"/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编　　制：何思源（项目经理 / 总编）</w:t>
      </w:r>
    </w:p>
    <w:p w14:paraId="0805BCE6">
      <w:pPr>
        <w:spacing w:after="200"/>
        <w:ind w:left="2126" w:leftChars="1063"/>
        <w:jc w:val="left"/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审　　核：任俊强（需求与质量负责人）</w:t>
      </w:r>
    </w:p>
    <w:p w14:paraId="5F2C681E">
      <w:pPr>
        <w:spacing w:after="200"/>
        <w:ind w:left="2126" w:leftChars="1063"/>
        <w:jc w:val="left"/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批　　准：【待人工确认】</w:t>
      </w:r>
    </w:p>
    <w:p w14:paraId="45A33950">
      <w:pPr>
        <w:spacing w:before="200" w:after="80"/>
        <w:ind w:left="2126" w:leftChars="1063"/>
        <w:jc w:val="left"/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编制日期：2026 年 9 月 19 日</w:t>
      </w:r>
    </w:p>
    <w:p w14:paraId="21DA99EA">
      <w:r>
        <w:rPr>
          <w:color w:val="000000"/>
        </w:rPr>
        <w:br w:type="page"/>
      </w:r>
    </w:p>
    <w:p w14:paraId="5A4F7668">
      <w:pPr>
        <w:spacing w:before="120" w:after="120"/>
        <w:jc w:val="center"/>
      </w:pPr>
      <w:r>
        <w:rPr>
          <w:rFonts w:ascii="Times New Roman" w:hAnsi="Times New Roman" w:eastAsia="宋体"/>
        </w:rPr>
        <w:t>修订记录</w:t>
      </w:r>
    </w:p>
    <w:tbl>
      <w:tblPr>
        <w:tblStyle w:val="15"/>
        <w:tblW w:w="0" w:type="auto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88"/>
        <w:gridCol w:w="1360"/>
        <w:gridCol w:w="3265"/>
        <w:gridCol w:w="1360"/>
        <w:gridCol w:w="1995"/>
      </w:tblGrid>
      <w:tr w14:paraId="58FD40F9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  <w:jc w:val="center"/>
        </w:trPr>
        <w:tc>
          <w:tcPr>
            <w:tcW w:w="1088" w:type="dxa"/>
            <w:shd w:val="clear" w:color="auto" w:fill="D9E2EC"/>
            <w:vAlign w:val="center"/>
          </w:tcPr>
          <w:p w14:paraId="1174756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版本</w:t>
            </w:r>
          </w:p>
        </w:tc>
        <w:tc>
          <w:tcPr>
            <w:tcW w:w="1360" w:type="dxa"/>
            <w:shd w:val="clear" w:color="auto" w:fill="D9E2EC"/>
            <w:vAlign w:val="center"/>
          </w:tcPr>
          <w:p w14:paraId="72965AA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日期</w:t>
            </w:r>
          </w:p>
        </w:tc>
        <w:tc>
          <w:tcPr>
            <w:tcW w:w="3265" w:type="dxa"/>
            <w:shd w:val="clear" w:color="auto" w:fill="D9E2EC"/>
            <w:vAlign w:val="center"/>
          </w:tcPr>
          <w:p w14:paraId="55479F3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修订章节</w:t>
            </w:r>
          </w:p>
        </w:tc>
        <w:tc>
          <w:tcPr>
            <w:tcW w:w="1360" w:type="dxa"/>
            <w:shd w:val="clear" w:color="auto" w:fill="D9E2EC"/>
            <w:vAlign w:val="center"/>
          </w:tcPr>
          <w:p w14:paraId="19104E7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修订说明</w:t>
            </w:r>
          </w:p>
        </w:tc>
        <w:tc>
          <w:tcPr>
            <w:tcW w:w="1995" w:type="dxa"/>
            <w:shd w:val="clear" w:color="auto" w:fill="D9E2EC"/>
            <w:vAlign w:val="center"/>
          </w:tcPr>
          <w:p w14:paraId="01EECD7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编制/修订人</w:t>
            </w:r>
          </w:p>
        </w:tc>
      </w:tr>
      <w:tr w14:paraId="464C851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1088" w:type="dxa"/>
            <w:vAlign w:val="center"/>
          </w:tcPr>
          <w:p w14:paraId="5E54CE9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V0.1</w:t>
            </w:r>
          </w:p>
        </w:tc>
        <w:tc>
          <w:tcPr>
            <w:tcW w:w="1360" w:type="dxa"/>
            <w:vAlign w:val="center"/>
          </w:tcPr>
          <w:p w14:paraId="2DD394E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2026-09-19</w:t>
            </w:r>
          </w:p>
        </w:tc>
        <w:tc>
          <w:tcPr>
            <w:tcW w:w="3265" w:type="dxa"/>
            <w:vAlign w:val="center"/>
          </w:tcPr>
          <w:p w14:paraId="1B8C577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全文</w:t>
            </w:r>
          </w:p>
        </w:tc>
        <w:tc>
          <w:tcPr>
            <w:tcW w:w="1360" w:type="dxa"/>
            <w:vAlign w:val="center"/>
          </w:tcPr>
          <w:p w14:paraId="518F9DE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建立 G3-11 项目管理计划候选，形成范围、资源、里程碑、偏差与 AC-G2-FR-015-03 管理抽查规则。</w:t>
            </w:r>
          </w:p>
        </w:tc>
        <w:tc>
          <w:tcPr>
            <w:tcW w:w="1995" w:type="dxa"/>
            <w:vAlign w:val="center"/>
          </w:tcPr>
          <w:p w14:paraId="4ACBC23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何思源</w:t>
            </w:r>
          </w:p>
        </w:tc>
      </w:tr>
    </w:tbl>
    <w:p w14:paraId="13534200">
      <w:pPr>
        <w:spacing w:before="160" w:after="120"/>
        <w:jc w:val="left"/>
      </w:pPr>
      <w:r>
        <w:rPr>
          <w:rFonts w:ascii="Times New Roman" w:hAnsi="Times New Roman" w:eastAsia="宋体"/>
        </w:rPr>
        <w:t>注：本文件为评审候选；通过 C 复核后方可由 REVIEW 转为 DONE。</w:t>
      </w:r>
    </w:p>
    <w:p w14:paraId="7C17A7A1">
      <w:r>
        <w:rPr>
          <w:color w:val="000000"/>
        </w:rPr>
        <w:br w:type="page"/>
      </w:r>
    </w:p>
    <w:p w14:paraId="156E5D21">
      <w:pPr>
        <w:pageBreakBefore/>
      </w:pPr>
    </w:p>
    <w:p w14:paraId="45F78504">
      <w:pPr>
        <w:spacing w:after="240"/>
        <w:jc w:val="center"/>
      </w:pPr>
      <w:r>
        <w:rPr>
          <w:rFonts w:eastAsia="黑体"/>
          <w:b/>
          <w:bCs/>
          <w:color w:val="000000"/>
          <w:sz w:val="32"/>
          <w:szCs w:val="32"/>
        </w:rPr>
        <w:t>目　　录</w:t>
      </w:r>
    </w:p>
    <w:p w14:paraId="351504E2">
      <w:pPr>
        <w:jc w:val="center"/>
      </w:pPr>
      <w:r>
        <w:t>目 录</w:t>
      </w:r>
    </w:p>
    <w:p w14:paraId="416303C0">
      <w:pPr>
        <w:pStyle w:val="11"/>
        <w:tabs>
          <w:tab w:val="right" w:leader="dot" w:pos="8500"/>
        </w:tabs>
      </w:pPr>
      <w:r>
        <w:t>1 引言</w:t>
      </w:r>
      <w:r>
        <w:tab/>
      </w:r>
      <w:r>
        <w:t>1</w:t>
      </w:r>
    </w:p>
    <w:p w14:paraId="11F45174">
      <w:pPr>
        <w:pStyle w:val="13"/>
        <w:tabs>
          <w:tab w:val="right" w:leader="dot" w:pos="8500"/>
        </w:tabs>
      </w:pPr>
      <w:r>
        <w:t>1.1 编写目的</w:t>
      </w:r>
      <w:r>
        <w:tab/>
      </w:r>
      <w:r>
        <w:t>1</w:t>
      </w:r>
    </w:p>
    <w:p w14:paraId="519204BA">
      <w:pPr>
        <w:pStyle w:val="13"/>
        <w:tabs>
          <w:tab w:val="right" w:leader="dot" w:pos="8500"/>
        </w:tabs>
      </w:pPr>
      <w:r>
        <w:t>1.2 项目概况</w:t>
      </w:r>
      <w:r>
        <w:tab/>
      </w:r>
      <w:r>
        <w:t>1</w:t>
      </w:r>
    </w:p>
    <w:p w14:paraId="6C888C1C">
      <w:pPr>
        <w:pStyle w:val="13"/>
        <w:tabs>
          <w:tab w:val="right" w:leader="dot" w:pos="8500"/>
        </w:tabs>
      </w:pPr>
      <w:r>
        <w:t>1.3 管理原则</w:t>
      </w:r>
      <w:r>
        <w:tab/>
      </w:r>
      <w:r>
        <w:t>1</w:t>
      </w:r>
    </w:p>
    <w:p w14:paraId="6C8846F5">
      <w:pPr>
        <w:pStyle w:val="11"/>
        <w:tabs>
          <w:tab w:val="right" w:leader="dot" w:pos="8500"/>
        </w:tabs>
      </w:pPr>
      <w:r>
        <w:t>2 范围管理</w:t>
      </w:r>
      <w:r>
        <w:tab/>
      </w:r>
      <w:r>
        <w:t>1</w:t>
      </w:r>
    </w:p>
    <w:p w14:paraId="5D147A8B">
      <w:pPr>
        <w:pStyle w:val="13"/>
        <w:tabs>
          <w:tab w:val="right" w:leader="dot" w:pos="8500"/>
        </w:tabs>
      </w:pPr>
      <w:r>
        <w:t>2.1 范围基线</w:t>
      </w:r>
      <w:r>
        <w:tab/>
      </w:r>
      <w:r>
        <w:t>1</w:t>
      </w:r>
    </w:p>
    <w:p w14:paraId="3E94F8DD">
      <w:pPr>
        <w:pStyle w:val="13"/>
        <w:tabs>
          <w:tab w:val="right" w:leader="dot" w:pos="8500"/>
        </w:tabs>
      </w:pPr>
      <w:r>
        <w:t>2.2 范围控制</w:t>
      </w:r>
      <w:r>
        <w:tab/>
      </w:r>
      <w:r>
        <w:t>1</w:t>
      </w:r>
    </w:p>
    <w:p w14:paraId="0C3AD683">
      <w:pPr>
        <w:pStyle w:val="13"/>
        <w:tabs>
          <w:tab w:val="right" w:leader="dot" w:pos="8500"/>
        </w:tabs>
      </w:pPr>
      <w:r>
        <w:t>2.3 交付物与工作分解</w:t>
      </w:r>
      <w:r>
        <w:tab/>
      </w:r>
      <w:r>
        <w:t>1</w:t>
      </w:r>
    </w:p>
    <w:p w14:paraId="5C1B7A23">
      <w:pPr>
        <w:pStyle w:val="11"/>
        <w:tabs>
          <w:tab w:val="right" w:leader="dot" w:pos="8500"/>
        </w:tabs>
      </w:pPr>
      <w:r>
        <w:t>3 组织与资源管理</w:t>
      </w:r>
      <w:r>
        <w:tab/>
      </w:r>
      <w:r>
        <w:t>2</w:t>
      </w:r>
    </w:p>
    <w:p w14:paraId="201B8102">
      <w:pPr>
        <w:pStyle w:val="13"/>
        <w:tabs>
          <w:tab w:val="right" w:leader="dot" w:pos="8500"/>
        </w:tabs>
      </w:pPr>
      <w:r>
        <w:t>3.1 组织与职责</w:t>
      </w:r>
      <w:r>
        <w:tab/>
      </w:r>
      <w:r>
        <w:t>2</w:t>
      </w:r>
    </w:p>
    <w:p w14:paraId="1DAA4D2A">
      <w:pPr>
        <w:pStyle w:val="13"/>
        <w:tabs>
          <w:tab w:val="right" w:leader="dot" w:pos="8500"/>
        </w:tabs>
      </w:pPr>
      <w:r>
        <w:t>3.2 资源与 WIP</w:t>
      </w:r>
      <w:r>
        <w:tab/>
      </w:r>
      <w:r>
        <w:t>2</w:t>
      </w:r>
    </w:p>
    <w:p w14:paraId="10982BC6">
      <w:pPr>
        <w:pStyle w:val="11"/>
        <w:tabs>
          <w:tab w:val="right" w:leader="dot" w:pos="8500"/>
        </w:tabs>
      </w:pPr>
      <w:r>
        <w:t>4 进度与里程碑管理</w:t>
      </w:r>
      <w:r>
        <w:tab/>
      </w:r>
      <w:r>
        <w:t>2</w:t>
      </w:r>
    </w:p>
    <w:p w14:paraId="41926BC8">
      <w:pPr>
        <w:pStyle w:val="13"/>
        <w:tabs>
          <w:tab w:val="right" w:leader="dot" w:pos="8500"/>
        </w:tabs>
      </w:pPr>
      <w:r>
        <w:t>4.1 里程碑与依赖</w:t>
      </w:r>
      <w:r>
        <w:tab/>
      </w:r>
      <w:r>
        <w:t>2</w:t>
      </w:r>
    </w:p>
    <w:p w14:paraId="6F42A6FB">
      <w:pPr>
        <w:pStyle w:val="13"/>
        <w:tabs>
          <w:tab w:val="right" w:leader="dot" w:pos="8500"/>
        </w:tabs>
      </w:pPr>
      <w:r>
        <w:t>4.2 进度控制</w:t>
      </w:r>
      <w:r>
        <w:tab/>
      </w:r>
      <w:r>
        <w:t>3</w:t>
      </w:r>
    </w:p>
    <w:p w14:paraId="38E256F7">
      <w:pPr>
        <w:pStyle w:val="13"/>
        <w:tabs>
          <w:tab w:val="right" w:leader="dot" w:pos="8500"/>
        </w:tabs>
      </w:pPr>
      <w:r>
        <w:t>4.3 进度缓冲</w:t>
      </w:r>
      <w:r>
        <w:tab/>
      </w:r>
      <w:r>
        <w:t>3</w:t>
      </w:r>
    </w:p>
    <w:p w14:paraId="7BCD6E74">
      <w:pPr>
        <w:pStyle w:val="11"/>
        <w:tabs>
          <w:tab w:val="right" w:leader="dot" w:pos="8500"/>
        </w:tabs>
      </w:pPr>
      <w:r>
        <w:t>5 沟通与决策管理</w:t>
      </w:r>
      <w:r>
        <w:tab/>
      </w:r>
      <w:r>
        <w:t>3</w:t>
      </w:r>
    </w:p>
    <w:p w14:paraId="5ADF98C1">
      <w:pPr>
        <w:pStyle w:val="11"/>
        <w:tabs>
          <w:tab w:val="right" w:leader="dot" w:pos="8500"/>
        </w:tabs>
      </w:pPr>
      <w:r>
        <w:t>6 质量、配置与交付管理</w:t>
      </w:r>
      <w:r>
        <w:tab/>
      </w:r>
      <w:r>
        <w:t>3</w:t>
      </w:r>
    </w:p>
    <w:p w14:paraId="395B609B">
      <w:pPr>
        <w:pStyle w:val="13"/>
        <w:tabs>
          <w:tab w:val="right" w:leader="dot" w:pos="8500"/>
        </w:tabs>
      </w:pPr>
      <w:r>
        <w:t>6.1 质量门禁</w:t>
      </w:r>
      <w:r>
        <w:tab/>
      </w:r>
      <w:r>
        <w:t>3</w:t>
      </w:r>
    </w:p>
    <w:p w14:paraId="23E1FCD6">
      <w:pPr>
        <w:pStyle w:val="13"/>
        <w:tabs>
          <w:tab w:val="right" w:leader="dot" w:pos="8500"/>
        </w:tabs>
      </w:pPr>
      <w:r>
        <w:t>6.2 配置与基线</w:t>
      </w:r>
      <w:r>
        <w:tab/>
      </w:r>
      <w:r>
        <w:t>3</w:t>
      </w:r>
    </w:p>
    <w:p w14:paraId="0D167F04">
      <w:pPr>
        <w:pStyle w:val="13"/>
        <w:tabs>
          <w:tab w:val="right" w:leader="dot" w:pos="8500"/>
        </w:tabs>
      </w:pPr>
      <w:r>
        <w:t>6.3 验收与交付</w:t>
      </w:r>
      <w:r>
        <w:tab/>
      </w:r>
      <w:r>
        <w:t>4</w:t>
      </w:r>
    </w:p>
    <w:p w14:paraId="20CC84F1">
      <w:pPr>
        <w:pStyle w:val="11"/>
        <w:tabs>
          <w:tab w:val="right" w:leader="dot" w:pos="8500"/>
        </w:tabs>
      </w:pPr>
      <w:r>
        <w:t>7 偏差、问题与变更管理</w:t>
      </w:r>
      <w:r>
        <w:tab/>
      </w:r>
      <w:r>
        <w:t>4</w:t>
      </w:r>
    </w:p>
    <w:p w14:paraId="293F99D0">
      <w:pPr>
        <w:pStyle w:val="13"/>
        <w:tabs>
          <w:tab w:val="right" w:leader="dot" w:pos="8500"/>
        </w:tabs>
      </w:pPr>
      <w:r>
        <w:t>7.1 偏差分级</w:t>
      </w:r>
      <w:r>
        <w:tab/>
      </w:r>
      <w:r>
        <w:t>4</w:t>
      </w:r>
    </w:p>
    <w:p w14:paraId="6EE322A8">
      <w:pPr>
        <w:pStyle w:val="13"/>
        <w:tabs>
          <w:tab w:val="right" w:leader="dot" w:pos="8500"/>
        </w:tabs>
      </w:pPr>
      <w:r>
        <w:t>7.2 偏差处置流程</w:t>
      </w:r>
      <w:r>
        <w:tab/>
      </w:r>
      <w:r>
        <w:t>4</w:t>
      </w:r>
    </w:p>
    <w:p w14:paraId="4BAB4434">
      <w:pPr>
        <w:pStyle w:val="13"/>
        <w:tabs>
          <w:tab w:val="right" w:leader="dot" w:pos="8500"/>
        </w:tabs>
      </w:pPr>
      <w:r>
        <w:t>7.3 任务催办与临时任务专项规则</w:t>
      </w:r>
      <w:r>
        <w:tab/>
      </w:r>
      <w:r>
        <w:t>4</w:t>
      </w:r>
    </w:p>
    <w:p w14:paraId="3248BB2B">
      <w:pPr>
        <w:pStyle w:val="11"/>
        <w:tabs>
          <w:tab w:val="right" w:leader="dot" w:pos="8500"/>
        </w:tabs>
      </w:pPr>
      <w:r>
        <w:t>8 风险与问题管理</w:t>
      </w:r>
      <w:r>
        <w:tab/>
      </w:r>
      <w:r>
        <w:t>4</w:t>
      </w:r>
    </w:p>
    <w:p w14:paraId="2F83D530">
      <w:pPr>
        <w:pStyle w:val="11"/>
        <w:tabs>
          <w:tab w:val="right" w:leader="dot" w:pos="8500"/>
        </w:tabs>
      </w:pPr>
      <w:r>
        <w:t>9 监控、报告与收尾</w:t>
      </w:r>
      <w:r>
        <w:tab/>
      </w:r>
      <w:r>
        <w:t>5</w:t>
      </w:r>
    </w:p>
    <w:p w14:paraId="243CD5E7">
      <w:pPr>
        <w:pStyle w:val="11"/>
        <w:tabs>
          <w:tab w:val="right" w:leader="dot" w:pos="8500"/>
        </w:tabs>
      </w:pPr>
      <w:r>
        <w:t>10 本计划准出检查</w:t>
      </w:r>
      <w:r>
        <w:tab/>
      </w:r>
      <w:r>
        <w:t>5</w:t>
      </w:r>
    </w:p>
    <w:p w14:paraId="7F777258">
      <w:pPr>
        <w:pStyle w:val="2"/>
        <w:pageBreakBefore/>
        <w:spacing w:before="240" w:after="160"/>
        <w:rPr>
          <w:rFonts w:eastAsia="黑体"/>
          <w:b/>
          <w:bCs/>
        </w:rPr>
        <w:sectPr>
          <w:headerReference r:id="rId5" w:type="first"/>
          <w:headerReference r:id="rId3" w:type="default"/>
          <w:footerReference r:id="rId6" w:type="default"/>
          <w:headerReference r:id="rId4" w:type="even"/>
          <w:pgSz w:w="11906" w:h="16838"/>
          <w:pgMar w:top="1440" w:right="1440" w:bottom="1440" w:left="1440" w:header="708" w:footer="708" w:gutter="0"/>
          <w:pgNumType w:fmt="upperRoman" w:start="1"/>
          <w:cols w:space="720" w:num="1"/>
          <w:titlePg/>
          <w:docGrid w:linePitch="360" w:charSpace="0"/>
        </w:sectPr>
      </w:pPr>
    </w:p>
    <w:p w14:paraId="4EEEF93A">
      <w:pPr>
        <w:pStyle w:val="2"/>
        <w:keepNext/>
      </w:pPr>
      <w:r>
        <w:rPr>
          <w:rFonts w:ascii="Times New Roman" w:hAnsi="Times New Roman" w:eastAsia="黑体"/>
          <w:b/>
        </w:rPr>
        <w:t>1 引言</w:t>
      </w:r>
    </w:p>
    <w:p w14:paraId="4B6D7C83">
      <w:pPr>
        <w:pStyle w:val="3"/>
        <w:keepNext/>
      </w:pPr>
      <w:r>
        <w:rPr>
          <w:rFonts w:ascii="Times New Roman" w:hAnsi="Times New Roman" w:eastAsia="黑体"/>
          <w:b/>
        </w:rPr>
        <w:t>1.1 编写目的</w:t>
      </w:r>
    </w:p>
    <w:p w14:paraId="00D16726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本计划规定第三关及后续实施衔接阶段的范围、进度、资源、沟通、质量、配置、风险、偏差与验收管理方法，使三人团队能够按受控需求和工程门禁执行。本文只建立管理规则，不把未实施、未测试或未验收事项写成完成。</w:t>
      </w:r>
    </w:p>
    <w:p w14:paraId="671678EC">
      <w:pPr>
        <w:pStyle w:val="3"/>
        <w:keepNext/>
      </w:pPr>
      <w:r>
        <w:rPr>
          <w:rFonts w:ascii="Times New Roman" w:hAnsi="Times New Roman" w:eastAsia="黑体"/>
          <w:b/>
        </w:rPr>
        <w:t>1.2 项目概况</w:t>
      </w:r>
    </w:p>
    <w:p w14:paraId="39D0D20F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项目建设对象为某自然博物馆智能运营中心的应急管理子系统。当前受控需求为 39 条 FR、34 条★、117 条 AC，其中 29 条 MVP Must、10 条非 MVP 本期；第三关已形成设计、接口、ADR/NFR、RTM 与测试计划候选。ISSUE-G3-01-001 仍为 OPEN，真实视频和统一消息通道的环境、账号、字段、认证、脱敏请求响应/回执、失败场景及连通结论尚未齐备，继续阻断相关外部契约与 M3 最终冻结。</w:t>
      </w:r>
    </w:p>
    <w:p w14:paraId="118FD911">
      <w:pPr>
        <w:pStyle w:val="3"/>
        <w:keepNext/>
      </w:pPr>
      <w:r>
        <w:rPr>
          <w:rFonts w:ascii="Times New Roman" w:hAnsi="Times New Roman" w:eastAsia="黑体"/>
          <w:b/>
        </w:rPr>
        <w:t>1.3 管理原则</w:t>
      </w:r>
    </w:p>
    <w:p w14:paraId="73EDBC67">
      <w:pPr>
        <w:pStyle w:val="21"/>
        <w:spacing w:after="100" w:line="300" w:lineRule="auto"/>
      </w:pPr>
      <w:r>
        <w:rPr>
          <w:rFonts w:ascii="Times New Roman" w:hAnsi="Times New Roman" w:eastAsia="宋体"/>
          <w:sz w:val="21"/>
        </w:rPr>
        <w:t>1. 需求、★、关键数字、责任边界与验收强度以冻结基线和控制文件为准，禁止静默改变。</w:t>
      </w:r>
    </w:p>
    <w:p w14:paraId="2EAD577F">
      <w:pPr>
        <w:pStyle w:val="21"/>
        <w:spacing w:after="100" w:line="300" w:lineRule="auto"/>
      </w:pPr>
      <w:r>
        <w:rPr>
          <w:rFonts w:ascii="Times New Roman" w:hAnsi="Times New Roman" w:eastAsia="宋体"/>
          <w:sz w:val="21"/>
        </w:rPr>
        <w:t>2. 每项工作有唯一主责、明确复核、受控输入、可核验输出和具体 AC/门禁；每人同时进行的原子任务不超过 2 项。</w:t>
      </w:r>
    </w:p>
    <w:p w14:paraId="24B60413">
      <w:pPr>
        <w:pStyle w:val="21"/>
        <w:spacing w:after="100" w:line="300" w:lineRule="auto"/>
      </w:pPr>
      <w:r>
        <w:rPr>
          <w:rFonts w:ascii="Times New Roman" w:hAnsi="Times New Roman" w:eastAsia="宋体"/>
          <w:sz w:val="21"/>
        </w:rPr>
        <w:t>3. Mock、原型、静态校验和文档审查只证明对应层级，不替代真实环境、接口、性能、安全或验收证据。</w:t>
      </w:r>
    </w:p>
    <w:p w14:paraId="55E8D594">
      <w:pPr>
        <w:pStyle w:val="21"/>
        <w:spacing w:after="100" w:line="300" w:lineRule="auto"/>
      </w:pPr>
      <w:r>
        <w:rPr>
          <w:rFonts w:ascii="Times New Roman" w:hAnsi="Times New Roman" w:eastAsia="宋体"/>
          <w:sz w:val="21"/>
        </w:rPr>
        <w:t>4. 偏差、阻断和变更必须留痕；门禁失败不得表述为通过。</w:t>
      </w:r>
    </w:p>
    <w:p w14:paraId="23177962">
      <w:pPr>
        <w:pStyle w:val="2"/>
        <w:keepNext/>
      </w:pPr>
      <w:r>
        <w:rPr>
          <w:rFonts w:ascii="Times New Roman" w:hAnsi="Times New Roman" w:eastAsia="黑体"/>
          <w:b/>
        </w:rPr>
        <w:t>2 范围管理</w:t>
      </w:r>
    </w:p>
    <w:p w14:paraId="6C2E9294">
      <w:pPr>
        <w:pStyle w:val="3"/>
        <w:keepNext/>
      </w:pPr>
      <w:r>
        <w:rPr>
          <w:rFonts w:ascii="Times New Roman" w:hAnsi="Times New Roman" w:eastAsia="黑体"/>
          <w:b/>
        </w:rPr>
        <w:t>2.1 范围基线</w:t>
      </w:r>
    </w:p>
    <w:p w14:paraId="5E055D15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2-1 范围基线与管理口径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2"/>
        <w:gridCol w:w="3024"/>
        <w:gridCol w:w="4536"/>
      </w:tblGrid>
      <w:tr w14:paraId="029372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512" w:type="dxa"/>
            <w:vAlign w:val="center"/>
          </w:tcPr>
          <w:p w14:paraId="0AE6F2C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范围项</w:t>
            </w:r>
          </w:p>
        </w:tc>
        <w:tc>
          <w:tcPr>
            <w:tcW w:w="3024" w:type="dxa"/>
            <w:vAlign w:val="center"/>
          </w:tcPr>
          <w:p w14:paraId="6F4061A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受控口径</w:t>
            </w:r>
          </w:p>
        </w:tc>
        <w:tc>
          <w:tcPr>
            <w:tcW w:w="4536" w:type="dxa"/>
            <w:vAlign w:val="center"/>
          </w:tcPr>
          <w:p w14:paraId="7F1A95D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管理方法</w:t>
            </w:r>
          </w:p>
        </w:tc>
      </w:tr>
      <w:tr w14:paraId="17D739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178AAD6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功能与验收</w:t>
            </w:r>
          </w:p>
        </w:tc>
        <w:tc>
          <w:tcPr>
            <w:tcW w:w="3024" w:type="dxa"/>
            <w:vAlign w:val="center"/>
          </w:tcPr>
          <w:p w14:paraId="1CDA287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G2-FR-001—039、117 条 AC、34 条★</w:t>
            </w:r>
          </w:p>
        </w:tc>
        <w:tc>
          <w:tcPr>
            <w:tcW w:w="4536" w:type="dxa"/>
            <w:vAlign w:val="center"/>
          </w:tcPr>
          <w:p w14:paraId="4573592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由 spec、SRS、RTM 双向追踪；变更须进入 Change/Issue</w:t>
            </w:r>
          </w:p>
        </w:tc>
      </w:tr>
      <w:tr w14:paraId="734714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4FEE0AE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交付范围</w:t>
            </w:r>
          </w:p>
        </w:tc>
        <w:tc>
          <w:tcPr>
            <w:tcW w:w="3024" w:type="dxa"/>
            <w:vAlign w:val="center"/>
          </w:tcPr>
          <w:p w14:paraId="7C92739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G3 至少 12 项正式成果及 plan/tasks/constitution/RTM 基线资产</w:t>
            </w:r>
          </w:p>
        </w:tc>
        <w:tc>
          <w:tcPr>
            <w:tcW w:w="4536" w:type="dxa"/>
            <w:vAlign w:val="center"/>
          </w:tcPr>
          <w:p w14:paraId="36BA31C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按唯一主责、复核和统一 DoD 准出</w:t>
            </w:r>
          </w:p>
        </w:tc>
      </w:tr>
      <w:tr w14:paraId="113B18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703C7CA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外部能力</w:t>
            </w:r>
          </w:p>
        </w:tc>
        <w:tc>
          <w:tcPr>
            <w:tcW w:w="3024" w:type="dxa"/>
            <w:vAlign w:val="center"/>
          </w:tcPr>
          <w:p w14:paraId="0594017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视频、信息发布、门禁、消防、入侵、物联网、中台、统一消息</w:t>
            </w:r>
          </w:p>
        </w:tc>
        <w:tc>
          <w:tcPr>
            <w:tcW w:w="4536" w:type="dxa"/>
            <w:vAlign w:val="center"/>
          </w:tcPr>
          <w:p w14:paraId="6399E81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甲方提供能力/环境/合法数据；项目组负责适配与验证，不扩展为第三方系统建设</w:t>
            </w:r>
          </w:p>
        </w:tc>
      </w:tr>
      <w:tr w14:paraId="792522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56618F8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不在范围</w:t>
            </w:r>
          </w:p>
        </w:tc>
        <w:tc>
          <w:tcPr>
            <w:tcW w:w="3024" w:type="dxa"/>
            <w:vAlign w:val="center"/>
          </w:tcPr>
          <w:p w14:paraId="3181308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重新测绘、三维模型制作、既有录像存储、宿主 APP 原生开发、外部系统内部改造</w:t>
            </w:r>
          </w:p>
        </w:tc>
        <w:tc>
          <w:tcPr>
            <w:tcW w:w="4536" w:type="dxa"/>
            <w:vAlign w:val="center"/>
          </w:tcPr>
          <w:p w14:paraId="2725686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仅验证本项目接口、嵌入、授权、失败与降级边界</w:t>
            </w:r>
          </w:p>
        </w:tc>
      </w:tr>
    </w:tbl>
    <w:p w14:paraId="2C7A93C9">
      <w:pPr>
        <w:pStyle w:val="3"/>
        <w:keepNext/>
      </w:pPr>
      <w:r>
        <w:rPr>
          <w:rFonts w:ascii="Times New Roman" w:hAnsi="Times New Roman" w:eastAsia="黑体"/>
          <w:b/>
        </w:rPr>
        <w:t>2.2 范围控制</w:t>
      </w:r>
    </w:p>
    <w:p w14:paraId="78D74DFC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新增、删除或改变 FR、★、AC、关键数字、责任边界、工期门禁和验收强度时，主责先登记 Issue/Change，完成影响分析、授权裁决、RTM 与计划同步，再执行获批变更。未经批准的建议、原型差异或技术便利不得进入正式范围。需求澄清不等于新增承诺；证据不足时统一标记 【待人工确认】。</w:t>
      </w:r>
    </w:p>
    <w:p w14:paraId="470667A5">
      <w:pPr>
        <w:pStyle w:val="3"/>
        <w:keepNext/>
      </w:pPr>
      <w:r>
        <w:rPr>
          <w:rFonts w:ascii="Times New Roman" w:hAnsi="Times New Roman" w:eastAsia="黑体"/>
          <w:b/>
        </w:rPr>
        <w:t>2.3 交付物与工作分解</w:t>
      </w:r>
    </w:p>
    <w:p w14:paraId="05C4CFC6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G3-02 已将工作拆分为 32 个不大于 0.5 人日的原子包，覆盖设计、数据、接口、ADR/NFR、RTM、测试和四份管理计划。G3-11 对应 WBS-05；其输出为本计划工作稿、正式 Word、版式/内容检查证据与复核入口。后续实现必须继续回指相应 WBS、设计 ID、FR/AC 与验证记录，不得以聚合任务替代原子执行记录。</w:t>
      </w:r>
    </w:p>
    <w:p w14:paraId="431DF71E">
      <w:pPr>
        <w:pStyle w:val="2"/>
        <w:keepNext/>
      </w:pPr>
      <w:r>
        <w:rPr>
          <w:rFonts w:ascii="Times New Roman" w:hAnsi="Times New Roman" w:eastAsia="黑体"/>
          <w:b/>
        </w:rPr>
        <w:t>3 组织与资源管理</w:t>
      </w:r>
    </w:p>
    <w:p w14:paraId="1A8B4FF4">
      <w:pPr>
        <w:pStyle w:val="3"/>
        <w:keepNext/>
      </w:pPr>
      <w:r>
        <w:rPr>
          <w:rFonts w:ascii="Times New Roman" w:hAnsi="Times New Roman" w:eastAsia="黑体"/>
          <w:b/>
        </w:rPr>
        <w:t>3.1 组织与职责</w:t>
      </w:r>
    </w:p>
    <w:p w14:paraId="59B632DA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3-1 项目团队职责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7"/>
        <w:gridCol w:w="2433"/>
        <w:gridCol w:w="2765"/>
        <w:gridCol w:w="2544"/>
      </w:tblGrid>
      <w:tr w14:paraId="0867B4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327" w:type="dxa"/>
            <w:vAlign w:val="center"/>
          </w:tcPr>
          <w:p w14:paraId="09AE561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成员</w:t>
            </w:r>
          </w:p>
        </w:tc>
        <w:tc>
          <w:tcPr>
            <w:tcW w:w="2433" w:type="dxa"/>
            <w:vAlign w:val="center"/>
          </w:tcPr>
          <w:p w14:paraId="7EB5A01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项目角色</w:t>
            </w:r>
          </w:p>
        </w:tc>
        <w:tc>
          <w:tcPr>
            <w:tcW w:w="2765" w:type="dxa"/>
            <w:vAlign w:val="center"/>
          </w:tcPr>
          <w:p w14:paraId="0B91D69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主要职责</w:t>
            </w:r>
          </w:p>
        </w:tc>
        <w:tc>
          <w:tcPr>
            <w:tcW w:w="2544" w:type="dxa"/>
            <w:vAlign w:val="center"/>
          </w:tcPr>
          <w:p w14:paraId="4D4CB66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复核边界</w:t>
            </w:r>
          </w:p>
        </w:tc>
      </w:tr>
      <w:tr w14:paraId="5E4CAE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1475DA0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何思源</w:t>
            </w:r>
          </w:p>
        </w:tc>
        <w:tc>
          <w:tcPr>
            <w:tcW w:w="2433" w:type="dxa"/>
            <w:vAlign w:val="center"/>
          </w:tcPr>
          <w:p w14:paraId="274540D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A；项目经理、总编、配置/风险主责</w:t>
            </w:r>
          </w:p>
        </w:tc>
        <w:tc>
          <w:tcPr>
            <w:tcW w:w="2765" w:type="dxa"/>
            <w:vAlign w:val="center"/>
          </w:tcPr>
          <w:p w14:paraId="2D8867B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计划、资源协调、跨文档一致性、配置与变更、风险、M3 和交付收口</w:t>
            </w:r>
          </w:p>
        </w:tc>
        <w:tc>
          <w:tcPr>
            <w:tcW w:w="2544" w:type="dxa"/>
            <w:vAlign w:val="center"/>
          </w:tcPr>
          <w:p w14:paraId="290DF77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复核 B 的可交付性与 C 的 RTM/测试；不替代技术或事实主责</w:t>
            </w:r>
          </w:p>
        </w:tc>
      </w:tr>
      <w:tr w14:paraId="42FDD1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0598C7E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严宇</w:t>
            </w:r>
          </w:p>
        </w:tc>
        <w:tc>
          <w:tcPr>
            <w:tcW w:w="2433" w:type="dxa"/>
            <w:vAlign w:val="center"/>
          </w:tcPr>
          <w:p w14:paraId="76AF8C3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B；技术负责人</w:t>
            </w:r>
          </w:p>
        </w:tc>
        <w:tc>
          <w:tcPr>
            <w:tcW w:w="2765" w:type="dxa"/>
            <w:vAlign w:val="center"/>
          </w:tcPr>
          <w:p w14:paraId="22AC0D7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架构、详细/数据/接口设计、OpenAPI、ADR/NFR、实施与技术验证</w:t>
            </w:r>
          </w:p>
        </w:tc>
        <w:tc>
          <w:tcPr>
            <w:tcW w:w="2544" w:type="dxa"/>
            <w:vAlign w:val="center"/>
          </w:tcPr>
          <w:p w14:paraId="2B06953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复核 C 的技术可测性；提供技术风险与估算</w:t>
            </w:r>
          </w:p>
        </w:tc>
      </w:tr>
      <w:tr w14:paraId="794B52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42A93D2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任俊强</w:t>
            </w:r>
          </w:p>
        </w:tc>
        <w:tc>
          <w:tcPr>
            <w:tcW w:w="2433" w:type="dxa"/>
            <w:vAlign w:val="center"/>
          </w:tcPr>
          <w:p w14:paraId="00E175D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C；需求与质量负责人</w:t>
            </w:r>
          </w:p>
        </w:tc>
        <w:tc>
          <w:tcPr>
            <w:tcW w:w="2765" w:type="dxa"/>
            <w:vAlign w:val="center"/>
          </w:tcPr>
          <w:p w14:paraId="5A6D9C9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facts、关键数字、★、RTM、测试与质量、合规审计</w:t>
            </w:r>
          </w:p>
        </w:tc>
        <w:tc>
          <w:tcPr>
            <w:tcW w:w="2544" w:type="dxa"/>
            <w:vAlign w:val="center"/>
          </w:tcPr>
          <w:p w14:paraId="0A0F1B7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复核 A 的范围、计划和配置；不以 Mock 替代现场证据</w:t>
            </w:r>
          </w:p>
        </w:tc>
      </w:tr>
    </w:tbl>
    <w:p w14:paraId="464657D4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三名成员可兼任多个岗位，但同一正式产物只设一名主责；主责不得以自检替代指定复核。批准、甲方提供条件或真实环境结论由有权人员确认，项目组不得代造。</w:t>
      </w:r>
    </w:p>
    <w:p w14:paraId="0889C9CD">
      <w:pPr>
        <w:pStyle w:val="3"/>
        <w:keepNext/>
      </w:pPr>
      <w:r>
        <w:rPr>
          <w:rFonts w:ascii="Times New Roman" w:hAnsi="Times New Roman" w:eastAsia="黑体"/>
          <w:b/>
        </w:rPr>
        <w:t>3.2 资源与 WIP</w:t>
      </w:r>
    </w:p>
    <w:p w14:paraId="7D73C32D">
      <w:pPr>
        <w:pStyle w:val="21"/>
        <w:spacing w:after="100" w:line="300" w:lineRule="auto"/>
      </w:pPr>
      <w:r>
        <w:rPr>
          <w:rFonts w:ascii="Times New Roman" w:hAnsi="Times New Roman" w:eastAsia="宋体"/>
          <w:sz w:val="21"/>
        </w:rPr>
        <w:t>1. 每人最多 2 个 DOING 原子任务；新增紧急任务前先暂停、完成或重新排序现有任务。</w:t>
      </w:r>
    </w:p>
    <w:p w14:paraId="0136ED6F">
      <w:pPr>
        <w:pStyle w:val="21"/>
        <w:spacing w:after="100" w:line="300" w:lineRule="auto"/>
      </w:pPr>
      <w:r>
        <w:rPr>
          <w:rFonts w:ascii="Times New Roman" w:hAnsi="Times New Roman" w:eastAsia="宋体"/>
          <w:sz w:val="21"/>
        </w:rPr>
        <w:t>2. 关键路径优先配置 B 的连续技术时间、C 的追踪/测试时间和 A 的门禁/协调时间。</w:t>
      </w:r>
    </w:p>
    <w:p w14:paraId="23C6F6AE">
      <w:pPr>
        <w:pStyle w:val="21"/>
        <w:spacing w:after="100" w:line="300" w:lineRule="auto"/>
      </w:pPr>
      <w:r>
        <w:rPr>
          <w:rFonts w:ascii="Times New Roman" w:hAnsi="Times New Roman" w:eastAsia="宋体"/>
          <w:sz w:val="21"/>
        </w:rPr>
        <w:t>3. 外部环境、账号、窗口、合法数据和接口材料作为受约束资源登记；未就绪即建阻断 Issue，不以内部桩测宣称联调完成。</w:t>
      </w:r>
    </w:p>
    <w:p w14:paraId="48884A4C">
      <w:pPr>
        <w:pStyle w:val="21"/>
        <w:spacing w:after="100" w:line="300" w:lineRule="auto"/>
      </w:pPr>
      <w:r>
        <w:rPr>
          <w:rFonts w:ascii="Times New Roman" w:hAnsi="Times New Roman" w:eastAsia="宋体"/>
          <w:sz w:val="21"/>
        </w:rPr>
        <w:t>4. 出现人员冲突时，由 A 依据关键路径、★影响、阻断级别和最近门禁重新分配；涉及范围、工期或质量目标变化时升级变更。</w:t>
      </w:r>
    </w:p>
    <w:p w14:paraId="710CDB09">
      <w:pPr>
        <w:pStyle w:val="2"/>
        <w:keepNext/>
      </w:pPr>
      <w:r>
        <w:rPr>
          <w:rFonts w:ascii="Times New Roman" w:hAnsi="Times New Roman" w:eastAsia="黑体"/>
          <w:b/>
        </w:rPr>
        <w:t>4 进度与里程碑管理</w:t>
      </w:r>
    </w:p>
    <w:p w14:paraId="32C797A9">
      <w:pPr>
        <w:pStyle w:val="3"/>
        <w:keepNext/>
      </w:pPr>
      <w:r>
        <w:rPr>
          <w:rFonts w:ascii="Times New Roman" w:hAnsi="Times New Roman" w:eastAsia="黑体"/>
          <w:b/>
        </w:rPr>
        <w:t>4.1 里程碑与依赖</w:t>
      </w:r>
    </w:p>
    <w:p w14:paraId="1BC27142">
      <w:pPr>
        <w:jc w:val="center"/>
      </w:pPr>
      <w:r>
        <w:drawing>
          <wp:inline distT="0" distB="0" distL="114300" distR="114300">
            <wp:extent cx="5471795" cy="3077845"/>
            <wp:effectExtent l="0" t="0" r="14605" b="8255"/>
            <wp:docPr id="1" name="Picture 1" descr="展示单元测试、集成测试、系统测试到验收测试的四级证据递进关系。" title="图 3-1 四级测试与验收证据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展示单元测试、集成测试、系统测试到验收测试的四级证据递进关系。" title="图 3-1 四级测试与验收证据链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4B4F3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图 4-1 G3 至 M3 里程碑与门禁</w:t>
      </w:r>
    </w:p>
    <w:p w14:paraId="5FACB1B9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G3 的关键路径为 G3-02 → G3-03 → G3-04 → G3-05 → G3-06 → G3-08 → G3-09 → G3-10；G3-07 可与 G3-04 并行，G3-11—14 可在 G3-02 REVIEW 后与设计并行。M3 的受控门禁要求 G3-02—14 至少进入 REVIEW、RTM 无断链、评审问题闭环，且阻断项已关闭或取得有权书面替代/延期裁决。</w:t>
      </w:r>
    </w:p>
    <w:p w14:paraId="5DFE6990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4-1 里程碑准入与准出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7"/>
        <w:gridCol w:w="2433"/>
        <w:gridCol w:w="2765"/>
        <w:gridCol w:w="2544"/>
      </w:tblGrid>
      <w:tr w14:paraId="52CE7C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327" w:type="dxa"/>
            <w:vAlign w:val="center"/>
          </w:tcPr>
          <w:p w14:paraId="5F3DF28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节点</w:t>
            </w:r>
          </w:p>
        </w:tc>
        <w:tc>
          <w:tcPr>
            <w:tcW w:w="2433" w:type="dxa"/>
            <w:vAlign w:val="center"/>
          </w:tcPr>
          <w:p w14:paraId="115201A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准入</w:t>
            </w:r>
          </w:p>
        </w:tc>
        <w:tc>
          <w:tcPr>
            <w:tcW w:w="2765" w:type="dxa"/>
            <w:vAlign w:val="center"/>
          </w:tcPr>
          <w:p w14:paraId="2769F78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准出/证据</w:t>
            </w:r>
          </w:p>
        </w:tc>
        <w:tc>
          <w:tcPr>
            <w:tcW w:w="2544" w:type="dxa"/>
            <w:vAlign w:val="center"/>
          </w:tcPr>
          <w:p w14:paraId="329E727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责任</w:t>
            </w:r>
          </w:p>
        </w:tc>
      </w:tr>
      <w:tr w14:paraId="00AAAC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29E6F10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D0 概要设计</w:t>
            </w:r>
          </w:p>
        </w:tc>
        <w:tc>
          <w:tcPr>
            <w:tcW w:w="2433" w:type="dxa"/>
            <w:vAlign w:val="center"/>
          </w:tcPr>
          <w:p w14:paraId="3656022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G3-02 REVIEW</w:t>
            </w:r>
          </w:p>
        </w:tc>
        <w:tc>
          <w:tcPr>
            <w:tcW w:w="2765" w:type="dxa"/>
            <w:vAlign w:val="center"/>
          </w:tcPr>
          <w:p w14:paraId="68C9099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模块、数据、部署、责任边界和开放假设清楚</w:t>
            </w:r>
          </w:p>
        </w:tc>
        <w:tc>
          <w:tcPr>
            <w:tcW w:w="2544" w:type="dxa"/>
            <w:vAlign w:val="center"/>
          </w:tcPr>
          <w:p w14:paraId="318CB4C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 主责，A/C 复核</w:t>
            </w:r>
          </w:p>
        </w:tc>
      </w:tr>
      <w:tr w14:paraId="06404F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381413D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D1 数据与 ADR/NFR</w:t>
            </w:r>
          </w:p>
        </w:tc>
        <w:tc>
          <w:tcPr>
            <w:tcW w:w="2433" w:type="dxa"/>
            <w:vAlign w:val="center"/>
          </w:tcPr>
          <w:p w14:paraId="34D46FE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D0 可用</w:t>
            </w:r>
          </w:p>
        </w:tc>
        <w:tc>
          <w:tcPr>
            <w:tcW w:w="2765" w:type="dxa"/>
            <w:vAlign w:val="center"/>
          </w:tcPr>
          <w:p w14:paraId="5CC940F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数据可支撑详细设计；决策和 NFR 可追踪</w:t>
            </w:r>
          </w:p>
        </w:tc>
        <w:tc>
          <w:tcPr>
            <w:tcW w:w="2544" w:type="dxa"/>
            <w:vAlign w:val="center"/>
          </w:tcPr>
          <w:p w14:paraId="33DC7A8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 主责，A/C 复核</w:t>
            </w:r>
          </w:p>
        </w:tc>
      </w:tr>
      <w:tr w14:paraId="3227A7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68654DF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D2 详细与接口</w:t>
            </w:r>
          </w:p>
        </w:tc>
        <w:tc>
          <w:tcPr>
            <w:tcW w:w="2433" w:type="dxa"/>
            <w:vAlign w:val="center"/>
          </w:tcPr>
          <w:p w14:paraId="0B62180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D1 可用</w:t>
            </w:r>
          </w:p>
        </w:tc>
        <w:tc>
          <w:tcPr>
            <w:tcW w:w="2765" w:type="dxa"/>
            <w:vAlign w:val="center"/>
          </w:tcPr>
          <w:p w14:paraId="48222D7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状态/异常/补偿可走查；OpenAPI 可解析；未证实外部契约不冻结</w:t>
            </w:r>
          </w:p>
        </w:tc>
        <w:tc>
          <w:tcPr>
            <w:tcW w:w="2544" w:type="dxa"/>
            <w:vAlign w:val="center"/>
          </w:tcPr>
          <w:p w14:paraId="54D05F3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 主责，A/C 复核</w:t>
            </w:r>
          </w:p>
        </w:tc>
      </w:tr>
      <w:tr w14:paraId="6E4914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14D50E4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D3 RTM 与测试</w:t>
            </w:r>
          </w:p>
        </w:tc>
        <w:tc>
          <w:tcPr>
            <w:tcW w:w="2433" w:type="dxa"/>
            <w:vAlign w:val="center"/>
          </w:tcPr>
          <w:p w14:paraId="5CDF216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D0—D2 候选齐备</w:t>
            </w:r>
          </w:p>
        </w:tc>
        <w:tc>
          <w:tcPr>
            <w:tcW w:w="2765" w:type="dxa"/>
            <w:vAlign w:val="center"/>
          </w:tcPr>
          <w:p w14:paraId="201FA99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39 FR/34★/117 AC 双向挂接，测试门禁可执行</w:t>
            </w:r>
          </w:p>
        </w:tc>
        <w:tc>
          <w:tcPr>
            <w:tcW w:w="2544" w:type="dxa"/>
            <w:vAlign w:val="center"/>
          </w:tcPr>
          <w:p w14:paraId="3150B51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C 主责，A/B 复核</w:t>
            </w:r>
          </w:p>
        </w:tc>
      </w:tr>
      <w:tr w14:paraId="137D1C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2EB3476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 管理计划</w:t>
            </w:r>
          </w:p>
        </w:tc>
        <w:tc>
          <w:tcPr>
            <w:tcW w:w="2433" w:type="dxa"/>
            <w:vAlign w:val="center"/>
          </w:tcPr>
          <w:p w14:paraId="1B72BC3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G3-02 REVIEW</w:t>
            </w:r>
          </w:p>
        </w:tc>
        <w:tc>
          <w:tcPr>
            <w:tcW w:w="2765" w:type="dxa"/>
            <w:vAlign w:val="center"/>
          </w:tcPr>
          <w:p w14:paraId="5D55180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G3-11—14 正式候选、渲染 QA 与指定复核入口齐备</w:t>
            </w:r>
          </w:p>
        </w:tc>
        <w:tc>
          <w:tcPr>
            <w:tcW w:w="2544" w:type="dxa"/>
            <w:vAlign w:val="center"/>
          </w:tcPr>
          <w:p w14:paraId="2EEE60A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A/C 分工</w:t>
            </w:r>
          </w:p>
        </w:tc>
      </w:tr>
      <w:tr w14:paraId="27A899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5111D84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M3 工程基线</w:t>
            </w:r>
          </w:p>
        </w:tc>
        <w:tc>
          <w:tcPr>
            <w:tcW w:w="2433" w:type="dxa"/>
            <w:vAlign w:val="center"/>
          </w:tcPr>
          <w:p w14:paraId="1E7961C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G3-02—14 至少 REVIEW</w:t>
            </w:r>
          </w:p>
        </w:tc>
        <w:tc>
          <w:tcPr>
            <w:tcW w:w="2765" w:type="dxa"/>
            <w:vAlign w:val="center"/>
          </w:tcPr>
          <w:p w14:paraId="48E854F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一致性审计通过，阻断关闭或获有权裁决后方可冻结</w:t>
            </w:r>
          </w:p>
        </w:tc>
        <w:tc>
          <w:tcPr>
            <w:tcW w:w="2544" w:type="dxa"/>
            <w:vAlign w:val="center"/>
          </w:tcPr>
          <w:p w14:paraId="3B05056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 主责，B/C 复核</w:t>
            </w:r>
          </w:p>
        </w:tc>
      </w:tr>
    </w:tbl>
    <w:p w14:paraId="68E912E6">
      <w:pPr>
        <w:pStyle w:val="3"/>
        <w:keepNext/>
      </w:pPr>
      <w:r>
        <w:rPr>
          <w:rFonts w:ascii="Times New Roman" w:hAnsi="Times New Roman" w:eastAsia="黑体"/>
          <w:b/>
        </w:rPr>
        <w:t>4.2 进度控制</w:t>
      </w:r>
    </w:p>
    <w:p w14:paraId="6602E973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A 每个工作日核对任务状态、前置、WIP、阻断和最近门禁；主责只在证据齐备后更新状态。预计偏差影响一个门禁或关键路径时，应在当日登记偏差并通知相关复核人；影响冻结范围、验收强度或外部责任时，必须升级 Change/CCB。计划不使用未获依据的绝对完成日期；后续日期由批准后的实施计划受控发布。</w:t>
      </w:r>
    </w:p>
    <w:p w14:paraId="3C42F508">
      <w:pPr>
        <w:pStyle w:val="3"/>
        <w:keepNext/>
      </w:pPr>
      <w:r>
        <w:rPr>
          <w:rFonts w:ascii="Times New Roman" w:hAnsi="Times New Roman" w:eastAsia="黑体"/>
          <w:b/>
        </w:rPr>
        <w:t>4.3 进度缓冲</w:t>
      </w:r>
    </w:p>
    <w:p w14:paraId="55A51FC5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缓冲优先配置于外部联调、修复复测、渲染返工和评审闭环，不以压缩必要复核、删除异常场景或降低★验收强度换取进度。ISSUE-G3-01-001 未关闭期间，相关活动保持 BLOCKED/PENDING，其他不依赖事项可按依赖并行。</w:t>
      </w:r>
    </w:p>
    <w:p w14:paraId="65FD3401">
      <w:pPr>
        <w:pStyle w:val="2"/>
        <w:keepNext/>
      </w:pPr>
      <w:r>
        <w:rPr>
          <w:rFonts w:ascii="Times New Roman" w:hAnsi="Times New Roman" w:eastAsia="黑体"/>
          <w:b/>
        </w:rPr>
        <w:t>5 沟通与决策管理</w:t>
      </w:r>
    </w:p>
    <w:p w14:paraId="7E15CF4A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5-1 沟通机制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7"/>
        <w:gridCol w:w="2433"/>
        <w:gridCol w:w="2765"/>
        <w:gridCol w:w="2544"/>
      </w:tblGrid>
      <w:tr w14:paraId="4289F3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327" w:type="dxa"/>
            <w:vAlign w:val="center"/>
          </w:tcPr>
          <w:p w14:paraId="12C689F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场景</w:t>
            </w:r>
          </w:p>
        </w:tc>
        <w:tc>
          <w:tcPr>
            <w:tcW w:w="2433" w:type="dxa"/>
            <w:vAlign w:val="center"/>
          </w:tcPr>
          <w:p w14:paraId="7B33A85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参与者</w:t>
            </w:r>
          </w:p>
        </w:tc>
        <w:tc>
          <w:tcPr>
            <w:tcW w:w="2765" w:type="dxa"/>
            <w:vAlign w:val="center"/>
          </w:tcPr>
          <w:p w14:paraId="38FA73B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频率/触发</w:t>
            </w:r>
          </w:p>
        </w:tc>
        <w:tc>
          <w:tcPr>
            <w:tcW w:w="2544" w:type="dxa"/>
            <w:vAlign w:val="center"/>
          </w:tcPr>
          <w:p w14:paraId="132F0F8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输出与时限</w:t>
            </w:r>
          </w:p>
        </w:tc>
      </w:tr>
      <w:tr w14:paraId="0660A7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69252FC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工作同步</w:t>
            </w:r>
          </w:p>
        </w:tc>
        <w:tc>
          <w:tcPr>
            <w:tcW w:w="2433" w:type="dxa"/>
            <w:vAlign w:val="center"/>
          </w:tcPr>
          <w:p w14:paraId="276B396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A、B、C</w:t>
            </w:r>
          </w:p>
        </w:tc>
        <w:tc>
          <w:tcPr>
            <w:tcW w:w="2765" w:type="dxa"/>
            <w:vAlign w:val="center"/>
          </w:tcPr>
          <w:p w14:paraId="1BBFA56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每个工作日或状态变化</w:t>
            </w:r>
          </w:p>
        </w:tc>
        <w:tc>
          <w:tcPr>
            <w:tcW w:w="2544" w:type="dxa"/>
            <w:vAlign w:val="center"/>
          </w:tcPr>
          <w:p w14:paraId="1597410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tasks 状态、下一步、阻断和责任人</w:t>
            </w:r>
          </w:p>
        </w:tc>
      </w:tr>
      <w:tr w14:paraId="060985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07D785B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设计/计划评审</w:t>
            </w:r>
          </w:p>
        </w:tc>
        <w:tc>
          <w:tcPr>
            <w:tcW w:w="2433" w:type="dxa"/>
            <w:vAlign w:val="center"/>
          </w:tcPr>
          <w:p w14:paraId="5413307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主责、指定复核人</w:t>
            </w:r>
          </w:p>
        </w:tc>
        <w:tc>
          <w:tcPr>
            <w:tcW w:w="2765" w:type="dxa"/>
            <w:vAlign w:val="center"/>
          </w:tcPr>
          <w:p w14:paraId="284D863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候选自检通过后</w:t>
            </w:r>
          </w:p>
        </w:tc>
        <w:tc>
          <w:tcPr>
            <w:tcW w:w="2544" w:type="dxa"/>
            <w:vAlign w:val="center"/>
          </w:tcPr>
          <w:p w14:paraId="3080574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Review 结论、Issue、关闭证据</w:t>
            </w:r>
          </w:p>
        </w:tc>
      </w:tr>
      <w:tr w14:paraId="5DD9B6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7D1902B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范围/基线变更</w:t>
            </w:r>
          </w:p>
        </w:tc>
        <w:tc>
          <w:tcPr>
            <w:tcW w:w="2433" w:type="dxa"/>
            <w:vAlign w:val="center"/>
          </w:tcPr>
          <w:p w14:paraId="5E1FEDD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A、B、C及有权裁决人</w:t>
            </w:r>
          </w:p>
        </w:tc>
        <w:tc>
          <w:tcPr>
            <w:tcW w:w="2765" w:type="dxa"/>
            <w:vAlign w:val="center"/>
          </w:tcPr>
          <w:p w14:paraId="3B2BC2F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出现范围、数字、责任或验收变化</w:t>
            </w:r>
          </w:p>
        </w:tc>
        <w:tc>
          <w:tcPr>
            <w:tcW w:w="2544" w:type="dxa"/>
            <w:vAlign w:val="center"/>
          </w:tcPr>
          <w:p w14:paraId="691C58B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Change、影响分析、批准/拒绝和同步清单</w:t>
            </w:r>
          </w:p>
        </w:tc>
      </w:tr>
      <w:tr w14:paraId="53D8FB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4EE2B6F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外部条件协调</w:t>
            </w:r>
          </w:p>
        </w:tc>
        <w:tc>
          <w:tcPr>
            <w:tcW w:w="2433" w:type="dxa"/>
            <w:vAlign w:val="center"/>
          </w:tcPr>
          <w:p w14:paraId="47DAEDC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A、B、C与甲方模拟角色</w:t>
            </w:r>
          </w:p>
        </w:tc>
        <w:tc>
          <w:tcPr>
            <w:tcW w:w="2765" w:type="dxa"/>
            <w:vAlign w:val="center"/>
          </w:tcPr>
          <w:p w14:paraId="3659EC6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环境/账号/窗口不足时</w:t>
            </w:r>
          </w:p>
        </w:tc>
        <w:tc>
          <w:tcPr>
            <w:tcW w:w="2544" w:type="dxa"/>
            <w:vAlign w:val="center"/>
          </w:tcPr>
          <w:p w14:paraId="5F6F3DD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条件清单、责任、目标时间、替代/延期裁决</w:t>
            </w:r>
          </w:p>
        </w:tc>
      </w:tr>
      <w:tr w14:paraId="1C9B78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386220E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重大风险/阻断</w:t>
            </w:r>
          </w:p>
        </w:tc>
        <w:tc>
          <w:tcPr>
            <w:tcW w:w="2433" w:type="dxa"/>
            <w:vAlign w:val="center"/>
          </w:tcPr>
          <w:p w14:paraId="153245B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A、责任人、复核人</w:t>
            </w:r>
          </w:p>
        </w:tc>
        <w:tc>
          <w:tcPr>
            <w:tcW w:w="2765" w:type="dxa"/>
            <w:vAlign w:val="center"/>
          </w:tcPr>
          <w:p w14:paraId="6774C78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发现即报</w:t>
            </w:r>
          </w:p>
        </w:tc>
        <w:tc>
          <w:tcPr>
            <w:tcW w:w="2544" w:type="dxa"/>
            <w:vAlign w:val="center"/>
          </w:tcPr>
          <w:p w14:paraId="5F475A2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Issue、影响、临时措施、解除条件</w:t>
            </w:r>
          </w:p>
        </w:tc>
      </w:tr>
    </w:tbl>
    <w:p w14:paraId="705E3D0E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决定以受控文档、Issue、Change 或 Review 为准；口头讨论和即时消息不能替代批准证据。分歧先依据来源优先级核对，仍存在语义冲突时停止相关修改并请求裁决。</w:t>
      </w:r>
    </w:p>
    <w:p w14:paraId="0F41A6D1">
      <w:pPr>
        <w:pStyle w:val="2"/>
        <w:keepNext/>
      </w:pPr>
      <w:r>
        <w:rPr>
          <w:rFonts w:ascii="Times New Roman" w:hAnsi="Times New Roman" w:eastAsia="黑体"/>
          <w:b/>
        </w:rPr>
        <w:t>6 质量、配置与交付管理</w:t>
      </w:r>
    </w:p>
    <w:p w14:paraId="6D3C093D">
      <w:pPr>
        <w:pStyle w:val="3"/>
        <w:keepNext/>
      </w:pPr>
      <w:r>
        <w:rPr>
          <w:rFonts w:ascii="Times New Roman" w:hAnsi="Times New Roman" w:eastAsia="黑体"/>
          <w:b/>
        </w:rPr>
        <w:t>6.1 质量门禁</w:t>
      </w:r>
    </w:p>
    <w:p w14:paraId="6A641C7D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各交付物依次完成受控输入核对、内容自检、编号/引用检查、机械审计、正式件生成、全页渲染 QA 和指定复核。检查至少覆盖事实/数字、FR/AC/★追踪、表图编号、样例残留、乱码、越界、异常空白页、孤立标题和可访问性。未通过项登记 Issue 并返工，不得仅以“文件已生成”准出。</w:t>
      </w:r>
    </w:p>
    <w:p w14:paraId="57B1469B">
      <w:pPr>
        <w:pStyle w:val="3"/>
        <w:keepNext/>
      </w:pPr>
      <w:r>
        <w:rPr>
          <w:rFonts w:ascii="Times New Roman" w:hAnsi="Times New Roman" w:eastAsia="黑体"/>
          <w:b/>
        </w:rPr>
        <w:t>6.2 配置与基线</w:t>
      </w:r>
    </w:p>
    <w:p w14:paraId="7BA96610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代码、文档、OpenAPI、图源、脚本、测试证据、控制文件、Prompt/Review 日志均为配置项。正式任务按安全同步、最小暂存、提交和非 force 推送执行；冻结基线不得原位覆盖。候选进入基线前必须列明版本、依赖、检查、批准和开放项。</w:t>
      </w:r>
    </w:p>
    <w:p w14:paraId="3C4BCD01">
      <w:pPr>
        <w:pStyle w:val="3"/>
        <w:keepNext/>
      </w:pPr>
      <w:r>
        <w:rPr>
          <w:rFonts w:ascii="Times New Roman" w:hAnsi="Times New Roman" w:eastAsia="黑体"/>
          <w:b/>
        </w:rPr>
        <w:t>6.3 验收与交付</w:t>
      </w:r>
    </w:p>
    <w:p w14:paraId="7F063A91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6-1 交付准出责任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8"/>
        <w:gridCol w:w="1360"/>
        <w:gridCol w:w="3265"/>
        <w:gridCol w:w="1360"/>
        <w:gridCol w:w="1995"/>
      </w:tblGrid>
      <w:tr w14:paraId="63080B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088" w:type="dxa"/>
            <w:vAlign w:val="center"/>
          </w:tcPr>
          <w:p w14:paraId="6F99E46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活动</w:t>
            </w:r>
          </w:p>
        </w:tc>
        <w:tc>
          <w:tcPr>
            <w:tcW w:w="1360" w:type="dxa"/>
            <w:vAlign w:val="center"/>
          </w:tcPr>
          <w:p w14:paraId="3A35B04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A</w:t>
            </w:r>
          </w:p>
        </w:tc>
        <w:tc>
          <w:tcPr>
            <w:tcW w:w="3265" w:type="dxa"/>
            <w:vAlign w:val="center"/>
          </w:tcPr>
          <w:p w14:paraId="40CFF18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B</w:t>
            </w:r>
          </w:p>
        </w:tc>
        <w:tc>
          <w:tcPr>
            <w:tcW w:w="1360" w:type="dxa"/>
            <w:vAlign w:val="center"/>
          </w:tcPr>
          <w:p w14:paraId="061D3E5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C</w:t>
            </w:r>
          </w:p>
        </w:tc>
        <w:tc>
          <w:tcPr>
            <w:tcW w:w="1995" w:type="dxa"/>
            <w:vAlign w:val="center"/>
          </w:tcPr>
          <w:p w14:paraId="24899A3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准出依据</w:t>
            </w:r>
          </w:p>
        </w:tc>
      </w:tr>
      <w:tr w14:paraId="2E5E5B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8" w:type="dxa"/>
            <w:vAlign w:val="center"/>
          </w:tcPr>
          <w:p w14:paraId="3165128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计划与跨文档一致性</w:t>
            </w:r>
          </w:p>
        </w:tc>
        <w:tc>
          <w:tcPr>
            <w:tcW w:w="1360" w:type="dxa"/>
            <w:vAlign w:val="center"/>
          </w:tcPr>
          <w:p w14:paraId="417809A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R/A</w:t>
            </w:r>
          </w:p>
        </w:tc>
        <w:tc>
          <w:tcPr>
            <w:tcW w:w="3265" w:type="dxa"/>
            <w:vAlign w:val="center"/>
          </w:tcPr>
          <w:p w14:paraId="136DE74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  <w:tc>
          <w:tcPr>
            <w:tcW w:w="1360" w:type="dxa"/>
            <w:vAlign w:val="center"/>
          </w:tcPr>
          <w:p w14:paraId="74E2A9E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  <w:tc>
          <w:tcPr>
            <w:tcW w:w="1995" w:type="dxa"/>
            <w:vAlign w:val="center"/>
          </w:tcPr>
          <w:p w14:paraId="78A0F36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范围、依赖、资源、Issue 与状态一致</w:t>
            </w:r>
          </w:p>
        </w:tc>
      </w:tr>
      <w:tr w14:paraId="6A3ECF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8" w:type="dxa"/>
            <w:vAlign w:val="center"/>
          </w:tcPr>
          <w:p w14:paraId="62DDA57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技术正确性</w:t>
            </w:r>
          </w:p>
        </w:tc>
        <w:tc>
          <w:tcPr>
            <w:tcW w:w="1360" w:type="dxa"/>
            <w:vAlign w:val="center"/>
          </w:tcPr>
          <w:p w14:paraId="4AE6370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  <w:tc>
          <w:tcPr>
            <w:tcW w:w="3265" w:type="dxa"/>
            <w:vAlign w:val="center"/>
          </w:tcPr>
          <w:p w14:paraId="5286D95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R/A</w:t>
            </w:r>
          </w:p>
        </w:tc>
        <w:tc>
          <w:tcPr>
            <w:tcW w:w="1360" w:type="dxa"/>
            <w:vAlign w:val="center"/>
          </w:tcPr>
          <w:p w14:paraId="2E9572E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  <w:tc>
          <w:tcPr>
            <w:tcW w:w="1995" w:type="dxa"/>
            <w:vAlign w:val="center"/>
          </w:tcPr>
          <w:p w14:paraId="525CC50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设计、契约、异常、可实施与验证方法</w:t>
            </w:r>
          </w:p>
        </w:tc>
      </w:tr>
      <w:tr w14:paraId="7AB6BE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8" w:type="dxa"/>
            <w:vAlign w:val="center"/>
          </w:tcPr>
          <w:p w14:paraId="6FCAE8D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符合性与数字</w:t>
            </w:r>
          </w:p>
        </w:tc>
        <w:tc>
          <w:tcPr>
            <w:tcW w:w="1360" w:type="dxa"/>
            <w:vAlign w:val="center"/>
          </w:tcPr>
          <w:p w14:paraId="4EB20B5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  <w:tc>
          <w:tcPr>
            <w:tcW w:w="3265" w:type="dxa"/>
            <w:vAlign w:val="center"/>
          </w:tcPr>
          <w:p w14:paraId="2A2AF22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  <w:tc>
          <w:tcPr>
            <w:tcW w:w="1360" w:type="dxa"/>
            <w:vAlign w:val="center"/>
          </w:tcPr>
          <w:p w14:paraId="2DCEB57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R/A</w:t>
            </w:r>
          </w:p>
        </w:tc>
        <w:tc>
          <w:tcPr>
            <w:tcW w:w="1995" w:type="dxa"/>
            <w:vAlign w:val="center"/>
          </w:tcPr>
          <w:p w14:paraId="1EDF19C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FR/★/AC、事实、关键数字、责任边界</w:t>
            </w:r>
          </w:p>
        </w:tc>
      </w:tr>
      <w:tr w14:paraId="5871C54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8" w:type="dxa"/>
            <w:vAlign w:val="center"/>
          </w:tcPr>
          <w:p w14:paraId="15A24A2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基线冻结</w:t>
            </w:r>
          </w:p>
        </w:tc>
        <w:tc>
          <w:tcPr>
            <w:tcW w:w="1360" w:type="dxa"/>
            <w:vAlign w:val="center"/>
          </w:tcPr>
          <w:p w14:paraId="7A5FC00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R/A</w:t>
            </w:r>
          </w:p>
        </w:tc>
        <w:tc>
          <w:tcPr>
            <w:tcW w:w="3265" w:type="dxa"/>
            <w:vAlign w:val="center"/>
          </w:tcPr>
          <w:p w14:paraId="26796F7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  <w:tc>
          <w:tcPr>
            <w:tcW w:w="1360" w:type="dxa"/>
            <w:vAlign w:val="center"/>
          </w:tcPr>
          <w:p w14:paraId="43CB39D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  <w:tc>
          <w:tcPr>
            <w:tcW w:w="1995" w:type="dxa"/>
            <w:vAlign w:val="center"/>
          </w:tcPr>
          <w:p w14:paraId="7E2DB86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三方复核、阻断关闭/裁决、审计通过</w:t>
            </w:r>
          </w:p>
        </w:tc>
      </w:tr>
    </w:tbl>
    <w:p w14:paraId="312C0AF7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R/A 表示负责并最终汇总，C 表示协作/复核。本文处于 REVIEW，只代表 A 已形成候选并完成自检，不代表 C 已通过，也不代表 M3 已冻结。</w:t>
      </w:r>
    </w:p>
    <w:p w14:paraId="64BB4C8C">
      <w:pPr>
        <w:pStyle w:val="2"/>
        <w:keepNext/>
      </w:pPr>
      <w:r>
        <w:rPr>
          <w:rFonts w:ascii="Times New Roman" w:hAnsi="Times New Roman" w:eastAsia="黑体"/>
          <w:b/>
        </w:rPr>
        <w:t>7 偏差、问题与变更管理</w:t>
      </w:r>
    </w:p>
    <w:p w14:paraId="5C1CB8CF">
      <w:pPr>
        <w:pStyle w:val="3"/>
        <w:keepNext/>
      </w:pPr>
      <w:r>
        <w:rPr>
          <w:rFonts w:ascii="Times New Roman" w:hAnsi="Times New Roman" w:eastAsia="黑体"/>
          <w:b/>
        </w:rPr>
        <w:t>7.1 偏差分级</w:t>
      </w:r>
    </w:p>
    <w:p w14:paraId="274DAB05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7-1 偏差分级与处置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2"/>
        <w:gridCol w:w="3024"/>
        <w:gridCol w:w="4536"/>
      </w:tblGrid>
      <w:tr w14:paraId="1CBFA6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512" w:type="dxa"/>
            <w:vAlign w:val="center"/>
          </w:tcPr>
          <w:p w14:paraId="43AEC59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等级</w:t>
            </w:r>
          </w:p>
        </w:tc>
        <w:tc>
          <w:tcPr>
            <w:tcW w:w="3024" w:type="dxa"/>
            <w:vAlign w:val="center"/>
          </w:tcPr>
          <w:p w14:paraId="40DEF38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判定示例</w:t>
            </w:r>
          </w:p>
        </w:tc>
        <w:tc>
          <w:tcPr>
            <w:tcW w:w="4536" w:type="dxa"/>
            <w:vAlign w:val="center"/>
          </w:tcPr>
          <w:p w14:paraId="2FD4522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处置</w:t>
            </w:r>
          </w:p>
        </w:tc>
      </w:tr>
      <w:tr w14:paraId="3C3AFC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3D47390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BLOCKER</w:t>
            </w:r>
          </w:p>
        </w:tc>
        <w:tc>
          <w:tcPr>
            <w:tcW w:w="3024" w:type="dxa"/>
            <w:vAlign w:val="center"/>
          </w:tcPr>
          <w:p w14:paraId="69ECAB9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★负偏离、外部证据缺失却拟冻结、RTM 断链、关键路径无法继续</w:t>
            </w:r>
          </w:p>
        </w:tc>
        <w:tc>
          <w:tcPr>
            <w:tcW w:w="4536" w:type="dxa"/>
            <w:vAlign w:val="center"/>
          </w:tcPr>
          <w:p w14:paraId="0217AD3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立即停止受影响准出，登记 Issue，明确解除条件并升级裁决</w:t>
            </w:r>
          </w:p>
        </w:tc>
      </w:tr>
      <w:tr w14:paraId="75D2F3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08EB57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MAJOR</w:t>
            </w:r>
          </w:p>
        </w:tc>
        <w:tc>
          <w:tcPr>
            <w:tcW w:w="3024" w:type="dxa"/>
            <w:vAlign w:val="center"/>
          </w:tcPr>
          <w:p w14:paraId="233C6F8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范围/责任/验收口径不一致，关键设计或管理机制缺失</w:t>
            </w:r>
          </w:p>
        </w:tc>
        <w:tc>
          <w:tcPr>
            <w:tcW w:w="4536" w:type="dxa"/>
            <w:vAlign w:val="center"/>
          </w:tcPr>
          <w:p w14:paraId="1026A2E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限期返工并由指定复核人验证关闭</w:t>
            </w:r>
          </w:p>
        </w:tc>
      </w:tr>
      <w:tr w14:paraId="655658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7AF31BD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MINOR</w:t>
            </w:r>
          </w:p>
        </w:tc>
        <w:tc>
          <w:tcPr>
            <w:tcW w:w="3024" w:type="dxa"/>
            <w:vAlign w:val="center"/>
          </w:tcPr>
          <w:p w14:paraId="40CB7D5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不改变实质口径的格式、引用或局部表达问题</w:t>
            </w:r>
          </w:p>
        </w:tc>
        <w:tc>
          <w:tcPr>
            <w:tcW w:w="4536" w:type="dxa"/>
            <w:vAlign w:val="center"/>
          </w:tcPr>
          <w:p w14:paraId="16A6739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登记并在置 DONE 前关闭</w:t>
            </w:r>
          </w:p>
        </w:tc>
      </w:tr>
      <w:tr w14:paraId="534B8F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0F34BDB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观察项</w:t>
            </w:r>
          </w:p>
        </w:tc>
        <w:tc>
          <w:tcPr>
            <w:tcW w:w="3024" w:type="dxa"/>
            <w:vAlign w:val="center"/>
          </w:tcPr>
          <w:p w14:paraId="07988FA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当前不影响准出但可能形成风险</w:t>
            </w:r>
          </w:p>
        </w:tc>
        <w:tc>
          <w:tcPr>
            <w:tcW w:w="4536" w:type="dxa"/>
            <w:vAlign w:val="center"/>
          </w:tcPr>
          <w:p w14:paraId="7AAE00E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记录触发条件和复查节点</w:t>
            </w:r>
          </w:p>
        </w:tc>
      </w:tr>
    </w:tbl>
    <w:p w14:paraId="45E8240F">
      <w:pPr>
        <w:pStyle w:val="3"/>
        <w:keepNext/>
      </w:pPr>
      <w:r>
        <w:rPr>
          <w:rFonts w:ascii="Times New Roman" w:hAnsi="Times New Roman" w:eastAsia="黑体"/>
          <w:b/>
        </w:rPr>
        <w:t>7.2 偏差处置流程</w:t>
      </w:r>
    </w:p>
    <w:p w14:paraId="11FB7178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发现偏差后依次记录事实与证据、影响的 FR/AC/设计/里程碑、责任人和时限；选择纠正、规避、延期或提出变更；执行后由非主责复核关闭。任何“接受风险”必须由有权人员书面确认，不得由 AI 或主责单方代替。</w:t>
      </w:r>
    </w:p>
    <w:p w14:paraId="7D61FFD3">
      <w:pPr>
        <w:pStyle w:val="3"/>
        <w:keepNext/>
      </w:pPr>
      <w:r>
        <w:rPr>
          <w:rFonts w:ascii="Times New Roman" w:hAnsi="Times New Roman" w:eastAsia="黑体"/>
          <w:b/>
        </w:rPr>
        <w:t>7.3 任务催办与临时任务专项规则</w:t>
      </w:r>
    </w:p>
    <w:p w14:paraId="0D6DD5CB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为落实 AC-G2-FR-015-03，后续系统实现与管理抽查必须覆盖两类触发：任务逾期催办、指挥人员追加临时任务。每次触发至少记录原任务/事件标识、触发类型、触发原因、操作者、时间、通知对象、后续处置、责任人、目标时限、状态与审计引用；涉及改派时还应保留原/新责任人，默认不重置原到期时间，除非发生经授权且可审计的变更。G3-11 仅确认该规则和验证入口已进入计划，不宣称功能已经实现或通过验收。</w:t>
      </w:r>
    </w:p>
    <w:p w14:paraId="1310ED1B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7-2 AC-G2-FR-015-03 管理抽查设计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7"/>
        <w:gridCol w:w="2433"/>
        <w:gridCol w:w="2765"/>
        <w:gridCol w:w="2544"/>
      </w:tblGrid>
      <w:tr w14:paraId="36D039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327" w:type="dxa"/>
            <w:vAlign w:val="center"/>
          </w:tcPr>
          <w:p w14:paraId="53E4E12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场景</w:t>
            </w:r>
          </w:p>
        </w:tc>
        <w:tc>
          <w:tcPr>
            <w:tcW w:w="2433" w:type="dxa"/>
            <w:vAlign w:val="center"/>
          </w:tcPr>
          <w:p w14:paraId="349EC63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Given/When</w:t>
            </w:r>
          </w:p>
        </w:tc>
        <w:tc>
          <w:tcPr>
            <w:tcW w:w="2765" w:type="dxa"/>
            <w:vAlign w:val="center"/>
          </w:tcPr>
          <w:p w14:paraId="6512609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预期记录</w:t>
            </w:r>
          </w:p>
        </w:tc>
        <w:tc>
          <w:tcPr>
            <w:tcW w:w="2544" w:type="dxa"/>
            <w:vAlign w:val="center"/>
          </w:tcPr>
          <w:p w14:paraId="0B0650B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计划验证</w:t>
            </w:r>
          </w:p>
        </w:tc>
      </w:tr>
      <w:tr w14:paraId="14164F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2A7217F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逾期催办</w:t>
            </w:r>
          </w:p>
        </w:tc>
        <w:tc>
          <w:tcPr>
            <w:tcW w:w="2433" w:type="dxa"/>
            <w:vAlign w:val="center"/>
          </w:tcPr>
          <w:p w14:paraId="70A9D00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任务已逾期，触发催办</w:t>
            </w:r>
          </w:p>
        </w:tc>
        <w:tc>
          <w:tcPr>
            <w:tcW w:w="2765" w:type="dxa"/>
            <w:vAlign w:val="center"/>
          </w:tcPr>
          <w:p w14:paraId="581E7E4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逾期事实、原因、通知对象、后续处置和审计链</w:t>
            </w:r>
          </w:p>
        </w:tc>
        <w:tc>
          <w:tcPr>
            <w:tcW w:w="2544" w:type="dxa"/>
            <w:vAlign w:val="center"/>
          </w:tcPr>
          <w:p w14:paraId="023C420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后续系统测试检查业务记录、通知/回执与审计一致</w:t>
            </w:r>
          </w:p>
        </w:tc>
      </w:tr>
      <w:tr w14:paraId="59CBC0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4991033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临时任务</w:t>
            </w:r>
          </w:p>
        </w:tc>
        <w:tc>
          <w:tcPr>
            <w:tcW w:w="2433" w:type="dxa"/>
            <w:vAlign w:val="center"/>
          </w:tcPr>
          <w:p w14:paraId="71076B0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指挥人员需追加任务，创建临时任务</w:t>
            </w:r>
          </w:p>
        </w:tc>
        <w:tc>
          <w:tcPr>
            <w:tcW w:w="2765" w:type="dxa"/>
            <w:vAlign w:val="center"/>
          </w:tcPr>
          <w:p w14:paraId="728B036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授权人、触发原因、任务内容、责任人、时限、关联事件和处置结果</w:t>
            </w:r>
          </w:p>
        </w:tc>
        <w:tc>
          <w:tcPr>
            <w:tcW w:w="2544" w:type="dxa"/>
            <w:vAlign w:val="center"/>
          </w:tcPr>
          <w:p w14:paraId="7037273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后续系统测试检查权限、任务、状态与审计一致</w:t>
            </w:r>
          </w:p>
        </w:tc>
      </w:tr>
      <w:tr w14:paraId="18A782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7D48979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改派</w:t>
            </w:r>
          </w:p>
        </w:tc>
        <w:tc>
          <w:tcPr>
            <w:tcW w:w="2433" w:type="dxa"/>
            <w:vAlign w:val="center"/>
          </w:tcPr>
          <w:p w14:paraId="3AEA5FF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催办或处置导致责任人变化</w:t>
            </w:r>
          </w:p>
        </w:tc>
        <w:tc>
          <w:tcPr>
            <w:tcW w:w="2765" w:type="dxa"/>
            <w:vAlign w:val="center"/>
          </w:tcPr>
          <w:p w14:paraId="1055F1A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原/新责任人、操作者、时间、原因、历史；到期时间不静默重置</w:t>
            </w:r>
          </w:p>
        </w:tc>
        <w:tc>
          <w:tcPr>
            <w:tcW w:w="2544" w:type="dxa"/>
            <w:vAlign w:val="center"/>
          </w:tcPr>
          <w:p w14:paraId="155EC69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按 G2-RCLR-003 做状态与审计走查</w:t>
            </w:r>
          </w:p>
        </w:tc>
      </w:tr>
    </w:tbl>
    <w:p w14:paraId="2E71914B">
      <w:pPr>
        <w:pStyle w:val="2"/>
        <w:keepNext/>
      </w:pPr>
      <w:r>
        <w:rPr>
          <w:rFonts w:ascii="Times New Roman" w:hAnsi="Times New Roman" w:eastAsia="黑体"/>
          <w:b/>
        </w:rPr>
        <w:t>8 风险与问题管理</w:t>
      </w:r>
    </w:p>
    <w:p w14:paraId="3A057B53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风险至少记录事件、原因、影响、概率、等级、触发器、责任人、应对、应急和复核周期。当前首要问题为 ISSUE-G3-01-001 与由其及管理计划未齐套引出的 ISSUE-G3-10-001；前者关闭或取得有权替代/延期裁决、G3-11—14 至少 REVIEW 且 G3-10 重新审计通过之前，不得创建 M3 FROZEN 基线。</w:t>
      </w:r>
    </w:p>
    <w:p w14:paraId="35C07F4D">
      <w:pPr>
        <w:pStyle w:val="2"/>
        <w:keepNext/>
      </w:pPr>
      <w:r>
        <w:rPr>
          <w:rFonts w:ascii="Times New Roman" w:hAnsi="Times New Roman" w:eastAsia="黑体"/>
          <w:b/>
        </w:rPr>
        <w:t>9 监控、报告与收尾</w:t>
      </w:r>
    </w:p>
    <w:p w14:paraId="6C8D03CE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A 汇总范围变更数、任务状态/WIP、里程碑偏差、开放 Issue、评审问题、需求追踪、缺陷和交付物状态。指标只用于发现问题，不用平均数掩盖★失败、阻断或缺证据。任务收尾须确认输出入库、验证记录可复现、Review/Issue 闭环、tasks 与日志同步、Git 工作区干净；G3-11 需由 C 复核通过后才能由 REVIEW 转为 DONE。</w:t>
      </w:r>
    </w:p>
    <w:p w14:paraId="6AB4746F">
      <w:pPr>
        <w:pStyle w:val="2"/>
        <w:keepNext/>
      </w:pPr>
      <w:r>
        <w:rPr>
          <w:rFonts w:ascii="Times New Roman" w:hAnsi="Times New Roman" w:eastAsia="黑体"/>
          <w:b/>
        </w:rPr>
        <w:t>10 本计划准出检查</w:t>
      </w:r>
    </w:p>
    <w:p w14:paraId="5D56608B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10-1 G3-11 自检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4"/>
      </w:tblGrid>
      <w:tr w14:paraId="7E924F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268" w:type="dxa"/>
            <w:vAlign w:val="center"/>
          </w:tcPr>
          <w:p w14:paraId="57BEA73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检查项</w:t>
            </w:r>
          </w:p>
        </w:tc>
        <w:tc>
          <w:tcPr>
            <w:tcW w:w="6804" w:type="dxa"/>
            <w:vAlign w:val="center"/>
          </w:tcPr>
          <w:p w14:paraId="0E7C9CC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结论</w:t>
            </w:r>
          </w:p>
        </w:tc>
      </w:tr>
      <w:tr w14:paraId="708F53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vAlign w:val="center"/>
          </w:tcPr>
          <w:p w14:paraId="26B9C96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范围、资源、里程碑、依赖与偏差处置</w:t>
            </w:r>
          </w:p>
        </w:tc>
        <w:tc>
          <w:tcPr>
            <w:tcW w:w="6804" w:type="dxa"/>
            <w:vAlign w:val="center"/>
          </w:tcPr>
          <w:p w14:paraId="0877384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PASS：均有独立章节、责任与门禁</w:t>
            </w:r>
          </w:p>
        </w:tc>
      </w:tr>
      <w:tr w14:paraId="057E21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vAlign w:val="center"/>
          </w:tcPr>
          <w:p w14:paraId="087539A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AC-G2-FR-015-03 抽查</w:t>
            </w:r>
          </w:p>
        </w:tc>
        <w:tc>
          <w:tcPr>
            <w:tcW w:w="6804" w:type="dxa"/>
            <w:vAlign w:val="center"/>
          </w:tcPr>
          <w:p w14:paraId="542D66A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PASS：催办、临时任务、改派和后续处置记录已纳入计划；功能待后续实现/测试</w:t>
            </w:r>
          </w:p>
        </w:tc>
      </w:tr>
      <w:tr w14:paraId="7E5460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vAlign w:val="center"/>
          </w:tcPr>
          <w:p w14:paraId="2EA39F7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基线与阻断边界</w:t>
            </w:r>
          </w:p>
        </w:tc>
        <w:tc>
          <w:tcPr>
            <w:tcW w:w="6804" w:type="dxa"/>
            <w:vAlign w:val="center"/>
          </w:tcPr>
          <w:p w14:paraId="32E2232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PASS：39 FR/34★/117 AC 未变；ISSUE-G3-01-001、ISSUE-G3-10-001 未关闭</w:t>
            </w:r>
          </w:p>
        </w:tc>
      </w:tr>
      <w:tr w14:paraId="1DB4D4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vAlign w:val="center"/>
          </w:tcPr>
          <w:p w14:paraId="0A2805A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状态</w:t>
            </w:r>
          </w:p>
        </w:tc>
        <w:tc>
          <w:tcPr>
            <w:tcW w:w="6804" w:type="dxa"/>
            <w:vAlign w:val="center"/>
          </w:tcPr>
          <w:p w14:paraId="0934168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REVIEW：待 C 复核，不得自行置 DONE</w:t>
            </w:r>
          </w:p>
        </w:tc>
      </w:tr>
    </w:tbl>
    <w:p w14:paraId="6C96B758"/>
    <w:sectPr>
      <w:pgSz w:w="11906" w:h="16838"/>
      <w:pgMar w:top="1440" w:right="1440" w:bottom="1440" w:left="1440" w:header="708" w:footer="708" w:gutter="0"/>
      <w:pgNumType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320C7F">
    <w:pPr>
      <w:spacing w:after="100" w:line="360" w:lineRule="auto"/>
      <w:jc w:val="center"/>
    </w:pPr>
    <w:r>
      <w:rPr>
        <w:rFonts w:eastAsia="宋体"/>
        <w:color w:val="000000"/>
        <w:sz w:val="18"/>
        <w:szCs w:val="18"/>
      </w:rPr>
      <w:fldChar w:fldCharType="begin"/>
    </w:r>
    <w:r>
      <w:rPr>
        <w:rFonts w:eastAsia="宋体"/>
        <w:color w:val="000000"/>
        <w:sz w:val="18"/>
        <w:szCs w:val="18"/>
      </w:rPr>
      <w:instrText xml:space="preserve">PAGE</w:instrText>
    </w:r>
    <w:r>
      <w:rPr>
        <w:rFonts w:eastAsia="宋体"/>
        <w:color w:val="000000"/>
        <w:sz w:val="18"/>
        <w:szCs w:val="18"/>
      </w:rPr>
      <w:fldChar w:fldCharType="separate"/>
    </w:r>
    <w:r>
      <w:rPr>
        <w:rFonts w:eastAsia="宋体"/>
        <w:color w:val="000000"/>
        <w:sz w:val="18"/>
        <w:szCs w:val="18"/>
      </w:rPr>
      <w:t>1</w:t>
    </w:r>
    <w:r>
      <w:rPr>
        <w:rFonts w:eastAsia="宋体"/>
        <w:color w:val="000000"/>
        <w:sz w:val="18"/>
        <w:szCs w:val="18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EDA160">
    <w:pPr>
      <w:spacing w:after="60"/>
      <w:jc w:val="center"/>
    </w:pPr>
    <w:r>
      <w:rPr>
        <w:rFonts w:ascii="Times New Roman" w:hAnsi="Times New Roman" w:eastAsia="宋体"/>
        <w:sz w:val="18"/>
      </w:rPr>
      <w:t>某自然博物馆智能运营中心建设项目——应急管理子系统 · 项目管理计划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6EA14D">
    <w:r>
      <w:rPr>
        <w:rFonts w:ascii="Times New Roman" w:hAnsi="Times New Roman" w:eastAsia="宋体"/>
        <w:sz w:val="18"/>
      </w:rPr>
      <w:t>某自然博物馆智能运营中心建设项目——应急管理子系统 · 项目管理计划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EA24BF">
    <w:r>
      <w:rPr>
        <w:rFonts w:ascii="Times New Roman" w:hAnsi="Times New Roman" w:eastAsia="宋体"/>
        <w:sz w:val="18"/>
      </w:rPr>
      <w:t>某自然博物馆智能运营中心建设项目——应急管理子系统 · 项目管理计划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1"/>
  <w:bordersDoNotSurroundFooter w:val="1"/>
  <w:documentProtection w:enforcement="0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0BD0"/>
    <w:rsid w:val="00133F58"/>
    <w:rsid w:val="009D2014"/>
    <w:rsid w:val="00D60BD0"/>
    <w:rsid w:val="34C91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Theme="minorEastAsia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cs="Times New Roman" w:eastAsiaTheme="minorEastAsia"/>
      <w:lang w:val="en-US" w:eastAsia="zh-CN" w:bidi="ar-SA"/>
    </w:rPr>
  </w:style>
  <w:style w:type="paragraph" w:styleId="2">
    <w:name w:val="heading 1"/>
    <w:qFormat/>
    <w:uiPriority w:val="9"/>
    <w:pPr>
      <w:outlineLvl w:val="0"/>
    </w:pPr>
    <w:rPr>
      <w:rFonts w:ascii="Times New Roman" w:hAnsi="Times New Roman" w:cs="Times New Roman" w:eastAsiaTheme="minorEastAsia"/>
      <w:color w:val="000000"/>
      <w:sz w:val="32"/>
      <w:szCs w:val="32"/>
      <w:lang w:val="en-US" w:eastAsia="zh-CN" w:bidi="ar-SA"/>
    </w:rPr>
  </w:style>
  <w:style w:type="paragraph" w:styleId="3">
    <w:name w:val="heading 2"/>
    <w:unhideWhenUsed/>
    <w:qFormat/>
    <w:uiPriority w:val="9"/>
    <w:pPr>
      <w:outlineLvl w:val="1"/>
    </w:pPr>
    <w:rPr>
      <w:rFonts w:ascii="Times New Roman" w:hAnsi="Times New Roman" w:cs="Times New Roman" w:eastAsiaTheme="minorEastAsia"/>
      <w:color w:val="000000"/>
      <w:sz w:val="26"/>
      <w:szCs w:val="26"/>
      <w:lang w:val="en-US" w:eastAsia="zh-CN" w:bidi="ar-SA"/>
    </w:rPr>
  </w:style>
  <w:style w:type="paragraph" w:styleId="4">
    <w:name w:val="heading 3"/>
    <w:semiHidden/>
    <w:unhideWhenUsed/>
    <w:qFormat/>
    <w:uiPriority w:val="9"/>
    <w:pPr>
      <w:outlineLvl w:val="2"/>
    </w:pPr>
    <w:rPr>
      <w:rFonts w:ascii="Times New Roman" w:hAnsi="Times New Roman" w:cs="Times New Roman" w:eastAsiaTheme="minorEastAsia"/>
      <w:color w:val="000000"/>
      <w:sz w:val="24"/>
      <w:szCs w:val="24"/>
      <w:lang w:val="en-US" w:eastAsia="zh-CN" w:bidi="ar-SA"/>
    </w:rPr>
  </w:style>
  <w:style w:type="paragraph" w:styleId="5">
    <w:name w:val="heading 4"/>
    <w:semiHidden/>
    <w:unhideWhenUsed/>
    <w:qFormat/>
    <w:uiPriority w:val="9"/>
    <w:pPr>
      <w:outlineLvl w:val="3"/>
    </w:pPr>
    <w:rPr>
      <w:rFonts w:ascii="Times New Roman" w:hAnsi="Times New Roman" w:cs="Times New Roman" w:eastAsiaTheme="minorEastAsia"/>
      <w:i/>
      <w:iCs/>
      <w:color w:val="000000"/>
      <w:lang w:val="en-US" w:eastAsia="zh-CN" w:bidi="ar-SA"/>
    </w:rPr>
  </w:style>
  <w:style w:type="paragraph" w:styleId="6">
    <w:name w:val="heading 5"/>
    <w:semiHidden/>
    <w:unhideWhenUsed/>
    <w:qFormat/>
    <w:uiPriority w:val="9"/>
    <w:pPr>
      <w:outlineLvl w:val="4"/>
    </w:pPr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paragraph" w:styleId="7">
    <w:name w:val="heading 6"/>
    <w:semiHidden/>
    <w:unhideWhenUsed/>
    <w:qFormat/>
    <w:uiPriority w:val="9"/>
    <w:pPr>
      <w:outlineLvl w:val="5"/>
    </w:pPr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character" w:default="1" w:styleId="16">
    <w:name w:val="Default Paragraph Font"/>
    <w:semiHidden/>
    <w:unhideWhenUsed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23"/>
    <w:semiHidden/>
    <w:unhideWhenUsed/>
    <w:qFormat/>
    <w:uiPriority w:val="99"/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paragraph" w:styleId="9">
    <w:name w:val="footer"/>
    <w:basedOn w:val="1"/>
    <w:link w:val="25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0">
    <w:name w:val="header"/>
    <w:basedOn w:val="1"/>
    <w:link w:val="24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footnote text"/>
    <w:link w:val="22"/>
    <w:semiHidden/>
    <w:unhideWhenUsed/>
    <w:qFormat/>
    <w:uiPriority w:val="99"/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paragraph" w:styleId="13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4">
    <w:name w:val="Title"/>
    <w:qFormat/>
    <w:uiPriority w:val="10"/>
    <w:rPr>
      <w:rFonts w:ascii="Times New Roman" w:hAnsi="Times New Roman" w:cs="Times New Roman" w:eastAsiaTheme="minorEastAsia"/>
      <w:color w:val="000000"/>
      <w:sz w:val="56"/>
      <w:szCs w:val="56"/>
      <w:lang w:val="en-US" w:eastAsia="zh-CN" w:bidi="ar-SA"/>
    </w:rPr>
  </w:style>
  <w:style w:type="character" w:styleId="17">
    <w:name w:val="endnote reference"/>
    <w:semiHidden/>
    <w:unhideWhenUsed/>
    <w:uiPriority w:val="99"/>
    <w:rPr>
      <w:color w:val="000000"/>
      <w:vertAlign w:val="superscript"/>
    </w:rPr>
  </w:style>
  <w:style w:type="character" w:styleId="18">
    <w:name w:val="Hyperlink"/>
    <w:unhideWhenUsed/>
    <w:uiPriority w:val="99"/>
    <w:rPr>
      <w:color w:val="000000"/>
      <w:u w:val="single"/>
    </w:rPr>
  </w:style>
  <w:style w:type="character" w:styleId="19">
    <w:name w:val="footnote reference"/>
    <w:semiHidden/>
    <w:unhideWhenUsed/>
    <w:uiPriority w:val="99"/>
    <w:rPr>
      <w:color w:val="000000"/>
      <w:vertAlign w:val="superscript"/>
    </w:rPr>
  </w:style>
  <w:style w:type="paragraph" w:customStyle="1" w:styleId="20">
    <w:name w:val="要点1"/>
    <w:qFormat/>
    <w:uiPriority w:val="0"/>
    <w:rPr>
      <w:rFonts w:ascii="Times New Roman" w:hAnsi="Times New Roman" w:cs="Times New Roman" w:eastAsiaTheme="minorEastAsia"/>
      <w:b/>
      <w:bCs/>
      <w:color w:val="000000"/>
      <w:lang w:val="en-US" w:eastAsia="zh-CN" w:bidi="ar-SA"/>
    </w:rPr>
  </w:style>
  <w:style w:type="paragraph" w:styleId="21">
    <w:name w:val="List Paragraph"/>
    <w:qFormat/>
    <w:uiPriority w:val="0"/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character" w:customStyle="1" w:styleId="22">
    <w:name w:val="脚注文本 字符"/>
    <w:link w:val="12"/>
    <w:semiHidden/>
    <w:unhideWhenUsed/>
    <w:qFormat/>
    <w:uiPriority w:val="99"/>
    <w:rPr>
      <w:color w:val="000000"/>
      <w:sz w:val="20"/>
      <w:szCs w:val="20"/>
    </w:rPr>
  </w:style>
  <w:style w:type="character" w:customStyle="1" w:styleId="23">
    <w:name w:val="尾注文本 字符"/>
    <w:link w:val="8"/>
    <w:semiHidden/>
    <w:unhideWhenUsed/>
    <w:qFormat/>
    <w:uiPriority w:val="99"/>
    <w:rPr>
      <w:color w:val="000000"/>
      <w:sz w:val="20"/>
      <w:szCs w:val="20"/>
    </w:rPr>
  </w:style>
  <w:style w:type="character" w:customStyle="1" w:styleId="24">
    <w:name w:val="页眉 字符"/>
    <w:basedOn w:val="16"/>
    <w:link w:val="10"/>
    <w:uiPriority w:val="99"/>
    <w:rPr>
      <w:sz w:val="18"/>
      <w:szCs w:val="18"/>
    </w:rPr>
  </w:style>
  <w:style w:type="character" w:customStyle="1" w:styleId="25">
    <w:name w:val="页脚 字符"/>
    <w:basedOn w:val="16"/>
    <w:link w:val="9"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214</Words>
  <Characters>278</Characters>
  <Lines>23</Lines>
  <Paragraphs>6</Paragraphs>
  <TotalTime>4</TotalTime>
  <ScaleCrop>false</ScaleCrop>
  <LinksUpToDate>false</LinksUpToDate>
  <CharactersWithSpaces>307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2026-08-26T12:15:00Z</dcterms:created>
  <dc:creator>020202项目组</dc:creator>
  <cp:lastModifiedBy>任俊强</cp:lastModifiedBy>
  <dcterms:modified xsi:type="dcterms:W3CDTF">2026-09-19T10:30:32Z</dcterms:modified>
  <dc:subject>某自然博物馆智能运营中心建设项目——应急管理子系统 G3-11</dc:subject>
  <dc:title>项目管理计划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eyJoZGlkIjoiZDAxNWUzZDUwYTM4NzA3NGMyZDFiMmY2YWVkYzQ0MzkiLCJ1c2VySWQiOiIxNzgzMjc2NDkxIn0=</vt:lpwstr>
  </property>
  <property fmtid="{D5CDD505-2E9C-101B-9397-08002B2CF9AE}" pid="3" name="KSOProductBuildVer">
    <vt:lpwstr>2052-12.1.0.28505</vt:lpwstr>
  </property>
  <property fmtid="{D5CDD505-2E9C-101B-9397-08002B2CF9AE}" pid="4" name="ICV">
    <vt:lpwstr>6F7E2CB439C74E88857D8874A246495A_12</vt:lpwstr>
  </property>
</Properties>
</file>