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A84F3">
      <w:pPr>
        <w:spacing w:after="80"/>
        <w:jc w:val="right"/>
      </w:pPr>
      <w:r>
        <w:rPr>
          <w:rFonts w:ascii="Times New Roman" w:hAnsi="Times New Roman" w:eastAsia="宋体"/>
        </w:rPr>
        <w:t>文档编号：YJGL-G3-14-RMP　　版本号：V0.2</w:t>
      </w:r>
    </w:p>
    <w:p w14:paraId="0CBB310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45394DC">
      <w:pPr>
        <w:spacing w:before="2000" w:after="480"/>
        <w:jc w:val="center"/>
      </w:pPr>
    </w:p>
    <w:p w14:paraId="158276D2">
      <w:pPr>
        <w:pBdr>
          <w:bottom w:val="single" w:color="000000" w:sz="12" w:space="8"/>
        </w:pBdr>
        <w:spacing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491500EC">
      <w:pPr>
        <w:spacing w:before="520" w:after="200"/>
        <w:jc w:val="center"/>
      </w:pPr>
      <w:r>
        <w:rPr>
          <w:rFonts w:ascii="Times New Roman" w:hAnsi="Times New Roman" w:eastAsia="宋体"/>
        </w:rPr>
        <w:t>风险管理计划与风险登记册 v2</w:t>
      </w:r>
    </w:p>
    <w:p w14:paraId="45D14523">
      <w:pPr>
        <w:spacing w:after="80"/>
        <w:jc w:val="center"/>
      </w:pPr>
      <w:r>
        <w:rPr>
          <w:rFonts w:ascii="Times New Roman" w:hAnsi="Times New Roman" w:eastAsia="宋体"/>
        </w:rPr>
        <w:t>（G3-14 评审候选）</w:t>
      </w:r>
    </w:p>
    <w:p w14:paraId="08561CAC">
      <w:pPr>
        <w:spacing w:before="1600" w:after="80"/>
        <w:jc w:val="center"/>
      </w:pPr>
    </w:p>
    <w:p w14:paraId="6A969480">
      <w:pPr>
        <w:spacing w:after="200"/>
        <w:ind w:left="2268" w:leftChars="1134"/>
      </w:pPr>
      <w:r>
        <w:rPr>
          <w:rFonts w:ascii="Times New Roman" w:hAnsi="Times New Roman" w:eastAsia="宋体"/>
        </w:rPr>
        <w:t>编制单位：020202项目组【待人工确认】</w:t>
      </w:r>
    </w:p>
    <w:p w14:paraId="2DCBDE2C">
      <w:pPr>
        <w:spacing w:after="200"/>
        <w:ind w:left="2268" w:leftChars="1134"/>
      </w:pPr>
      <w:r>
        <w:rPr>
          <w:rFonts w:ascii="Times New Roman" w:hAnsi="Times New Roman" w:eastAsia="宋体"/>
        </w:rPr>
        <w:t>编　　制：何思源（项目负责人）</w:t>
      </w:r>
    </w:p>
    <w:p w14:paraId="01171880">
      <w:pPr>
        <w:spacing w:after="200"/>
        <w:ind w:left="2268" w:leftChars="1134"/>
      </w:pPr>
      <w:r>
        <w:rPr>
          <w:rFonts w:ascii="Times New Roman" w:hAnsi="Times New Roman" w:eastAsia="宋体"/>
        </w:rPr>
        <w:t>审　　核：严宇（技术负责人）</w:t>
      </w:r>
    </w:p>
    <w:p w14:paraId="6E13AA28">
      <w:pPr>
        <w:spacing w:after="200"/>
        <w:ind w:left="2268" w:leftChars="1134"/>
      </w:pPr>
      <w:r>
        <w:rPr>
          <w:rFonts w:ascii="Times New Roman" w:hAnsi="Times New Roman" w:eastAsia="宋体"/>
        </w:rPr>
        <w:t>批　　准：【待人工确认】</w:t>
      </w:r>
    </w:p>
    <w:p w14:paraId="0373C190">
      <w:pPr>
        <w:spacing w:before="200" w:after="80"/>
        <w:ind w:left="2268" w:leftChars="1134"/>
      </w:pPr>
      <w:r>
        <w:rPr>
          <w:rFonts w:ascii="Times New Roman" w:hAnsi="Times New Roman" w:eastAsia="宋体"/>
        </w:rPr>
        <w:t>编制日期：2026 年 9 月 21 日</w:t>
      </w:r>
    </w:p>
    <w:p w14:paraId="0AD56817">
      <w:r>
        <w:rPr>
          <w:color w:val="000000"/>
        </w:rPr>
        <w:br w:type="page"/>
      </w:r>
    </w:p>
    <w:p w14:paraId="3806E55D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88"/>
        <w:gridCol w:w="1360"/>
        <w:gridCol w:w="3265"/>
        <w:gridCol w:w="1360"/>
        <w:gridCol w:w="1995"/>
      </w:tblGrid>
      <w:tr w14:paraId="3D3D8098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  <w:jc w:val="center"/>
        </w:trPr>
        <w:tc>
          <w:tcPr>
            <w:tcW w:w="1088" w:type="dxa"/>
            <w:shd w:val="clear" w:color="auto" w:fill="D9E2EC"/>
            <w:vAlign w:val="center"/>
          </w:tcPr>
          <w:p w14:paraId="4868CDA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75D9F42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 w14:paraId="2A9DCAF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 w14:paraId="6A963E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 w14:paraId="71EF1A5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 w14:paraId="63BE08D5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088" w:type="dxa"/>
            <w:vAlign w:val="center"/>
          </w:tcPr>
          <w:p w14:paraId="24663C7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w="1360" w:type="dxa"/>
            <w:vAlign w:val="center"/>
          </w:tcPr>
          <w:p w14:paraId="0811C8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w="3265" w:type="dxa"/>
            <w:vAlign w:val="center"/>
          </w:tcPr>
          <w:p w14:paraId="4C3E39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w="1360" w:type="dxa"/>
            <w:vAlign w:val="center"/>
          </w:tcPr>
          <w:p w14:paraId="5D3910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建立 G3-14 风险管理计划与风险登记册 v2，覆盖识别、评价、责任、触发、应对、复核、关闭及 AC-G2-FR-006-01 专项核对。</w:t>
            </w:r>
          </w:p>
        </w:tc>
        <w:tc>
          <w:tcPr>
            <w:tcW w:w="1995" w:type="dxa"/>
            <w:vAlign w:val="center"/>
          </w:tcPr>
          <w:p w14:paraId="26F26F6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  <w:tr w14:paraId="45C49A36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088" w:type="dxa"/>
            <w:vAlign w:val="center"/>
          </w:tcPr>
          <w:p w14:paraId="5E967C8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w="1360" w:type="dxa"/>
            <w:vAlign w:val="center"/>
          </w:tcPr>
          <w:p w14:paraId="6A455BF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2026-09-21</w:t>
            </w:r>
          </w:p>
        </w:tc>
        <w:tc>
          <w:tcPr>
            <w:tcW w:w="3265" w:type="dxa"/>
            <w:vAlign w:val="center"/>
          </w:tcPr>
          <w:p w14:paraId="12266D2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§2—§9</w:t>
            </w:r>
          </w:p>
        </w:tc>
        <w:tc>
          <w:tcPr>
            <w:tcW w:w="1360" w:type="dxa"/>
            <w:vAlign w:val="center"/>
          </w:tcPr>
          <w:p w14:paraId="07F7245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按 ISSUE-G3-14-001/002 统一风险评分分组，并为 7 张业务表补齐连续、紧邻的编号题注；风险 ID、P/I、责任、应对和 Issue 状态不变。</w:t>
            </w:r>
          </w:p>
        </w:tc>
        <w:tc>
          <w:tcPr>
            <w:tcW w:w="1995" w:type="dxa"/>
            <w:vAlign w:val="center"/>
          </w:tcPr>
          <w:p w14:paraId="6AC2C1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06AEBA57">
      <w:pPr>
        <w:spacing w:before="160" w:after="120"/>
      </w:pPr>
      <w:r>
        <w:rPr>
          <w:rFonts w:ascii="Times New Roman" w:hAnsi="Times New Roman" w:eastAsia="宋体"/>
        </w:rPr>
        <w:t>修订记录</w:t>
      </w:r>
    </w:p>
    <w:p w14:paraId="313A1715">
      <w:pPr>
        <w:rPr>
          <w:color w:val="000000"/>
        </w:rPr>
        <w:sectPr>
          <w:headerReference r:id="rId6" w:type="first"/>
          <w:headerReference r:id="rId4" w:type="default"/>
          <w:footerReference r:id="rId7" w:type="default"/>
          <w:headerReference r:id="rId5" w:type="even"/>
          <w:pgSz w:w="11906" w:h="16838"/>
          <w:pgMar w:top="1440" w:right="1440" w:bottom="1440" w:left="1440" w:header="708" w:footer="708" w:gutter="0"/>
          <w:cols w:space="720" w:num="1"/>
          <w:titlePg/>
          <w:docGrid w:linePitch="360" w:charSpace="0"/>
        </w:sectPr>
      </w:pPr>
      <w:r>
        <w:rPr>
          <w:rFonts w:ascii="Times New Roman" w:hAnsi="Times New Roman" w:eastAsia="宋体"/>
        </w:rPr>
        <w:t>注：本表只记录可核验的版本事件；B 独立复核通过前，本文件保持评审候选。</w:t>
      </w:r>
    </w:p>
    <w:p w14:paraId="63CE956D">
      <w:pPr>
        <w:pageBreakBefore/>
      </w:pPr>
    </w:p>
    <w:p w14:paraId="074759BB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 w14:paraId="1CED5518">
      <w:pPr>
        <w:pStyle w:val="11"/>
        <w:tabs>
          <w:tab w:val="right" w:leader="dot" w:pos="8500"/>
        </w:tabs>
      </w:pPr>
      <w:r>
        <w:t>1 目的、范围与依据</w:t>
      </w:r>
      <w:r>
        <w:tab/>
      </w:r>
      <w:r>
        <w:t>1</w:t>
      </w:r>
    </w:p>
    <w:p w14:paraId="1AB1FBD1">
      <w:pPr>
        <w:pStyle w:val="11"/>
        <w:tabs>
          <w:tab w:val="right" w:leader="dot" w:pos="8500"/>
        </w:tabs>
      </w:pPr>
      <w:r>
        <w:t>2 风险治理、角色与衔接</w:t>
      </w:r>
      <w:r>
        <w:tab/>
      </w:r>
      <w:r>
        <w:t>1</w:t>
      </w:r>
    </w:p>
    <w:p w14:paraId="10557743">
      <w:pPr>
        <w:pStyle w:val="11"/>
        <w:tabs>
          <w:tab w:val="right" w:leader="dot" w:pos="8500"/>
        </w:tabs>
      </w:pPr>
      <w:r>
        <w:t>3 识别、评价与优先级</w:t>
      </w:r>
      <w:r>
        <w:tab/>
      </w:r>
      <w:r>
        <w:t>1</w:t>
      </w:r>
    </w:p>
    <w:p w14:paraId="30188878">
      <w:pPr>
        <w:pStyle w:val="13"/>
        <w:tabs>
          <w:tab w:val="right" w:leader="dot" w:pos="8500"/>
        </w:tabs>
      </w:pPr>
      <w:r>
        <w:t>3.1 识别与分类</w:t>
      </w:r>
      <w:r>
        <w:tab/>
      </w:r>
      <w:r>
        <w:t>1</w:t>
      </w:r>
    </w:p>
    <w:p w14:paraId="7F2AD51A">
      <w:pPr>
        <w:pStyle w:val="13"/>
        <w:tabs>
          <w:tab w:val="right" w:leader="dot" w:pos="8500"/>
        </w:tabs>
      </w:pPr>
      <w:r>
        <w:t>3.2 概率与影响</w:t>
      </w:r>
      <w:r>
        <w:tab/>
      </w:r>
      <w:r>
        <w:t>2</w:t>
      </w:r>
    </w:p>
    <w:p w14:paraId="1FADE7B1">
      <w:pPr>
        <w:pStyle w:val="11"/>
        <w:tabs>
          <w:tab w:val="right" w:leader="dot" w:pos="8500"/>
        </w:tabs>
      </w:pPr>
      <w:r>
        <w:t>4 风险登记册 v2</w:t>
      </w:r>
      <w:r>
        <w:tab/>
      </w:r>
      <w:r>
        <w:t>2</w:t>
      </w:r>
    </w:p>
    <w:p w14:paraId="697750B1">
      <w:pPr>
        <w:pStyle w:val="13"/>
        <w:tabs>
          <w:tab w:val="right" w:leader="dot" w:pos="8500"/>
        </w:tabs>
      </w:pPr>
      <w:r>
        <w:t>4.1 当前极高与高风险</w:t>
      </w:r>
      <w:r>
        <w:tab/>
      </w:r>
      <w:r>
        <w:t>2</w:t>
      </w:r>
    </w:p>
    <w:p w14:paraId="5785C377">
      <w:pPr>
        <w:pStyle w:val="13"/>
        <w:tabs>
          <w:tab w:val="right" w:leader="dot" w:pos="8500"/>
        </w:tabs>
      </w:pPr>
      <w:r>
        <w:t>4.2 当前中风险与持续监测</w:t>
      </w:r>
      <w:r>
        <w:tab/>
      </w:r>
      <w:r>
        <w:t>4</w:t>
      </w:r>
    </w:p>
    <w:p w14:paraId="1F93736B">
      <w:pPr>
        <w:pStyle w:val="11"/>
        <w:tabs>
          <w:tab w:val="right" w:leader="dot" w:pos="8500"/>
        </w:tabs>
      </w:pPr>
      <w:r>
        <w:t>5 触发、监测、应对与升级</w:t>
      </w:r>
      <w:r>
        <w:tab/>
      </w:r>
      <w:r>
        <w:t>4</w:t>
      </w:r>
    </w:p>
    <w:p w14:paraId="7B98054E">
      <w:pPr>
        <w:pStyle w:val="11"/>
        <w:tabs>
          <w:tab w:val="right" w:leader="dot" w:pos="8500"/>
        </w:tabs>
        <w:rPr>
          <w:rFonts w:hint="eastAsia" w:eastAsiaTheme="minorEastAsia"/>
          <w:lang w:val="en-US" w:eastAsia="zh-CN"/>
        </w:rPr>
      </w:pPr>
      <w:r>
        <w:t>6 AC-G2-FR-006-01 专项核对</w:t>
      </w:r>
      <w:r>
        <w:tab/>
      </w:r>
      <w:r>
        <w:rPr>
          <w:rFonts w:hint="eastAsia"/>
          <w:lang w:val="en-US" w:eastAsia="zh-CN"/>
        </w:rPr>
        <w:t>5</w:t>
      </w:r>
    </w:p>
    <w:p w14:paraId="79CA7D65">
      <w:pPr>
        <w:pStyle w:val="11"/>
        <w:tabs>
          <w:tab w:val="right" w:leader="dot" w:pos="8500"/>
        </w:tabs>
      </w:pPr>
      <w:r>
        <w:t>7 Issue、变更、测试与配置闭环</w:t>
      </w:r>
      <w:r>
        <w:tab/>
      </w:r>
      <w:r>
        <w:t>5</w:t>
      </w:r>
    </w:p>
    <w:p w14:paraId="4DA19C89">
      <w:pPr>
        <w:pStyle w:val="11"/>
        <w:tabs>
          <w:tab w:val="right" w:leader="dot" w:pos="8500"/>
        </w:tabs>
      </w:pPr>
      <w:r>
        <w:t>8 报告、复核与关闭</w:t>
      </w:r>
      <w:r>
        <w:tab/>
      </w:r>
      <w:r>
        <w:t>5</w:t>
      </w:r>
    </w:p>
    <w:p w14:paraId="0003DA6E">
      <w:pPr>
        <w:pStyle w:val="11"/>
        <w:tabs>
          <w:tab w:val="right" w:leader="dot" w:pos="8500"/>
        </w:tabs>
        <w:rPr>
          <w:rFonts w:hint="eastAsia" w:eastAsiaTheme="minorEastAsia"/>
          <w:b/>
          <w:bCs/>
          <w:lang w:val="en-US" w:eastAsia="zh-CN"/>
        </w:rPr>
        <w:sectPr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docGrid w:linePitch="360" w:charSpace="0"/>
        </w:sectPr>
      </w:pPr>
      <w:r>
        <w:t>9 主责自检与准出</w:t>
      </w:r>
      <w:r>
        <w:tab/>
      </w:r>
      <w:r>
        <w:rPr>
          <w:rFonts w:hint="eastAsia"/>
          <w:lang w:val="en-US" w:eastAsia="zh-CN"/>
        </w:rPr>
        <w:t>6</w:t>
      </w:r>
      <w:bookmarkStart w:id="0" w:name="_GoBack"/>
      <w:bookmarkEnd w:id="0"/>
    </w:p>
    <w:p w14:paraId="795AC163">
      <w:pPr>
        <w:pStyle w:val="2"/>
        <w:keepNext/>
      </w:pPr>
      <w:r>
        <w:rPr>
          <w:rFonts w:ascii="Times New Roman" w:hAnsi="Times New Roman" w:eastAsia="黑体"/>
          <w:b/>
        </w:rPr>
        <w:t>1.1 目的</w:t>
      </w:r>
    </w:p>
    <w:p w14:paraId="2FDB37F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本计划规定第三关及后续实现、联调、测试、发布阶段的风险识别、评价、责任、监测、应对、升级、复核和关闭方法，并形成风险登记册 v2。计划不以文档检查代替实现、真实接口联调、性能测试或验收证据。</w:t>
      </w:r>
    </w:p>
    <w:p w14:paraId="67A93644">
      <w:pPr>
        <w:pStyle w:val="2"/>
        <w:keepNext/>
      </w:pPr>
      <w:r>
        <w:rPr>
          <w:rFonts w:ascii="Times New Roman" w:hAnsi="Times New Roman" w:eastAsia="黑体"/>
          <w:b/>
        </w:rPr>
        <w:t>1.2 范围与受控边界</w:t>
      </w:r>
    </w:p>
    <w:p w14:paraId="642FD91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适用范围包括需求与范围、外部依赖、接口联调、架构与数据、非功能、信息安全、进度、人员、质量、配置与发布。受控需求仍为 39 条 FR、34 条★、117 条 AC；本计划不改变冻结 FR/AC/★、关键数字、责任边界或既有 Issue 状态。</w:t>
      </w:r>
    </w:p>
    <w:p w14:paraId="0BB19A08">
      <w:pPr>
        <w:pStyle w:val="2"/>
        <w:keepNext/>
      </w:pPr>
      <w:r>
        <w:rPr>
          <w:rFonts w:ascii="Times New Roman" w:hAnsi="Times New Roman" w:eastAsia="黑体"/>
          <w:b/>
        </w:rPr>
        <w:t>1.3 依据与优先级</w:t>
      </w:r>
    </w:p>
    <w:p w14:paraId="619C003F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依据为冻结 M2 基线、G3-01 设计输入、G3-03—09 设计与测试成果、项目/质量/配置管理计划、现有风险登记册、control/issues.md 与变更记录。发生矛盾时依次服从真实需求、任务书、受控事实与数字、已批准变更；教学样例仅提供物理版式。</w:t>
      </w:r>
    </w:p>
    <w:p w14:paraId="711C8A43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风险治理角色职责与边界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2F9167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0A01C1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w="3024" w:type="dxa"/>
            <w:vAlign w:val="center"/>
          </w:tcPr>
          <w:p w14:paraId="382923F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w="4536" w:type="dxa"/>
            <w:vAlign w:val="center"/>
          </w:tcPr>
          <w:p w14:paraId="2E9E455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本任务边界</w:t>
            </w:r>
          </w:p>
        </w:tc>
      </w:tr>
      <w:tr w14:paraId="0DC59D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4A1A465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 项目负责人</w:t>
            </w:r>
          </w:p>
        </w:tc>
        <w:tc>
          <w:tcPr>
            <w:tcW w:w="3024" w:type="dxa"/>
            <w:vAlign w:val="center"/>
          </w:tcPr>
          <w:p w14:paraId="661D6E1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维护计划和登记册，协调责任人，主持升级与跨域处置</w:t>
            </w:r>
          </w:p>
        </w:tc>
        <w:tc>
          <w:tcPr>
            <w:tcW w:w="4536" w:type="dxa"/>
            <w:vAlign w:val="center"/>
          </w:tcPr>
          <w:p w14:paraId="7678170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G3-14 主责；不得代替 Issue/变更授权人关闭事项</w:t>
            </w:r>
          </w:p>
        </w:tc>
      </w:tr>
      <w:tr w14:paraId="3D5E92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7FBF0A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B 技术负责人</w:t>
            </w:r>
          </w:p>
        </w:tc>
        <w:tc>
          <w:tcPr>
            <w:tcW w:w="3024" w:type="dxa"/>
            <w:vAlign w:val="center"/>
          </w:tcPr>
          <w:p w14:paraId="1EB33C8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识别技术、接口与 NFR 风险，核对技术应对与证据</w:t>
            </w:r>
          </w:p>
        </w:tc>
        <w:tc>
          <w:tcPr>
            <w:tcW w:w="4536" w:type="dxa"/>
            <w:vAlign w:val="center"/>
          </w:tcPr>
          <w:p w14:paraId="721F1D6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G3-14 唯一 Review 人</w:t>
            </w:r>
          </w:p>
        </w:tc>
      </w:tr>
      <w:tr w14:paraId="7EE774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50C93E0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C 需求与质量负责人</w:t>
            </w:r>
          </w:p>
        </w:tc>
        <w:tc>
          <w:tcPr>
            <w:tcW w:w="3024" w:type="dxa"/>
            <w:vAlign w:val="center"/>
          </w:tcPr>
          <w:p w14:paraId="6B3E29F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提供合规、追踪、关键数字与验收风险输入</w:t>
            </w:r>
          </w:p>
        </w:tc>
        <w:tc>
          <w:tcPr>
            <w:tcW w:w="4536" w:type="dxa"/>
            <w:vAlign w:val="center"/>
          </w:tcPr>
          <w:p w14:paraId="2D5B888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不承担本文件 Review</w:t>
            </w:r>
          </w:p>
        </w:tc>
      </w:tr>
      <w:tr w14:paraId="1037C1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72D3E1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风险责任人</w:t>
            </w:r>
          </w:p>
        </w:tc>
        <w:tc>
          <w:tcPr>
            <w:tcW w:w="3024" w:type="dxa"/>
            <w:vAlign w:val="center"/>
          </w:tcPr>
          <w:p w14:paraId="63DAFE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监测触发器、执行预防/缓解、提交证据与关闭建议</w:t>
            </w:r>
          </w:p>
        </w:tc>
        <w:tc>
          <w:tcPr>
            <w:tcW w:w="4536" w:type="dxa"/>
            <w:vAlign w:val="center"/>
          </w:tcPr>
          <w:p w14:paraId="7B9B172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一项风险只指定一名牵头角色，可协同但不可转移责任</w:t>
            </w:r>
          </w:p>
        </w:tc>
      </w:tr>
    </w:tbl>
    <w:p w14:paraId="140E203A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风险是可能发生的不确定事件；Issue 是已经发生且需跟踪的问题；缺陷进入缺陷流程；改变基线、范围、接口或指标的处置进入 CR/CCB。风险触发后不得只改风险状态：已成事实则创建或关联 Issue，需改基线则提交 CR，发布阻断按质量与配置门禁处理。</w:t>
      </w:r>
    </w:p>
    <w:p w14:paraId="6395C452">
      <w:pPr>
        <w:pStyle w:val="2"/>
        <w:keepNext/>
      </w:pPr>
      <w:r>
        <w:rPr>
          <w:rFonts w:ascii="Times New Roman" w:hAnsi="Times New Roman" w:eastAsia="黑体"/>
          <w:b/>
        </w:rPr>
        <w:t>3.1 识别与分类</w:t>
      </w:r>
    </w:p>
    <w:p w14:paraId="3D85DE04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每周例会、里程碑评审、需求/设计/测试 Review、接口联调、监控告警、缺陷趋势、变更影响和复盘均可提出风险。风险陈述至少包含原因、可能事件、影响；分类采用范围/需求、外部依赖、技术/接口、数据、NFR/安全、进度/资源、质量/配置、运维/发布。</w:t>
      </w:r>
    </w:p>
    <w:p w14:paraId="7C2E3420">
      <w:pPr>
        <w:pStyle w:val="2"/>
        <w:keepNext/>
      </w:pPr>
      <w:r>
        <w:rPr>
          <w:rFonts w:ascii="Times New Roman" w:hAnsi="Times New Roman" w:eastAsia="黑体"/>
          <w:b/>
        </w:rPr>
        <w:t>3.2 概率与影响</w:t>
      </w:r>
    </w:p>
    <w:p w14:paraId="48959A6C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风险概率与影响评分定义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398473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40AC0A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分值</w:t>
            </w:r>
          </w:p>
        </w:tc>
        <w:tc>
          <w:tcPr>
            <w:tcW w:w="3024" w:type="dxa"/>
            <w:vAlign w:val="center"/>
          </w:tcPr>
          <w:p w14:paraId="5AABA8A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概率判定</w:t>
            </w:r>
          </w:p>
        </w:tc>
        <w:tc>
          <w:tcPr>
            <w:tcW w:w="4536" w:type="dxa"/>
            <w:vAlign w:val="center"/>
          </w:tcPr>
          <w:p w14:paraId="0F33A95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影响判定</w:t>
            </w:r>
          </w:p>
        </w:tc>
      </w:tr>
      <w:tr w14:paraId="18BB8E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6818EDE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w="3024" w:type="dxa"/>
            <w:vAlign w:val="center"/>
          </w:tcPr>
          <w:p w14:paraId="701E349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极少，当前无迹象</w:t>
            </w:r>
          </w:p>
        </w:tc>
        <w:tc>
          <w:tcPr>
            <w:tcW w:w="4536" w:type="dxa"/>
            <w:vAlign w:val="center"/>
          </w:tcPr>
          <w:p w14:paraId="7EBF6E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可在责任人日常工作内吸收，不影响门禁</w:t>
            </w:r>
          </w:p>
        </w:tc>
      </w:tr>
      <w:tr w14:paraId="4CBE0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12CCB49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w="3024" w:type="dxa"/>
            <w:vAlign w:val="center"/>
          </w:tcPr>
          <w:p w14:paraId="5B85AA4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较低，有替代方案且依赖稳定</w:t>
            </w:r>
          </w:p>
        </w:tc>
        <w:tc>
          <w:tcPr>
            <w:tcW w:w="4536" w:type="dxa"/>
            <w:vAlign w:val="center"/>
          </w:tcPr>
          <w:p w14:paraId="0569E61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小范围返工，不改变关键路径</w:t>
            </w:r>
          </w:p>
        </w:tc>
      </w:tr>
      <w:tr w14:paraId="2856A2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2A4E837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w="3024" w:type="dxa"/>
            <w:vAlign w:val="center"/>
          </w:tcPr>
          <w:p w14:paraId="5E7D483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可能，存在未决条件或历史先例</w:t>
            </w:r>
          </w:p>
        </w:tc>
        <w:tc>
          <w:tcPr>
            <w:tcW w:w="4536" w:type="dxa"/>
            <w:vAlign w:val="center"/>
          </w:tcPr>
          <w:p w14:paraId="161264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影响单一交付件、测试批次或一般里程碑</w:t>
            </w:r>
          </w:p>
        </w:tc>
      </w:tr>
      <w:tr w14:paraId="62763E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76F457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w="3024" w:type="dxa"/>
            <w:vAlign w:val="center"/>
          </w:tcPr>
          <w:p w14:paraId="6821F4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较高，已有明确缺口或触发征兆</w:t>
            </w:r>
          </w:p>
        </w:tc>
        <w:tc>
          <w:tcPr>
            <w:tcW w:w="4536" w:type="dxa"/>
            <w:vAlign w:val="center"/>
          </w:tcPr>
          <w:p w14:paraId="465FF91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影响关键路径、★验收、外部联调或发布门禁</w:t>
            </w:r>
          </w:p>
        </w:tc>
      </w:tr>
      <w:tr w14:paraId="060E59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7318389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w="3024" w:type="dxa"/>
            <w:vAlign w:val="center"/>
          </w:tcPr>
          <w:p w14:paraId="302017A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几乎确定或已接近触发</w:t>
            </w:r>
          </w:p>
        </w:tc>
        <w:tc>
          <w:tcPr>
            <w:tcW w:w="4536" w:type="dxa"/>
            <w:vAlign w:val="center"/>
          </w:tcPr>
          <w:p w14:paraId="25EFE9E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导致基线不可冻结、验收失败、严重安全/业务中断</w:t>
            </w:r>
          </w:p>
        </w:tc>
      </w:tr>
    </w:tbl>
    <w:p w14:paraId="0AA7357B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风险值为 P×I：1—4 低、5—9 中、10—16 高、17—25 极高。同等级按★/安全/基线门禁、触发临近度、依赖范围排序；Issue 已 OPEN 的相关风险不得因“已知”而降低等级。</w:t>
      </w:r>
    </w:p>
    <w:p w14:paraId="716434B3">
      <w:pPr>
        <w:pStyle w:val="2"/>
        <w:keepNext/>
      </w:pPr>
      <w:r>
        <w:rPr>
          <w:rFonts w:ascii="Times New Roman" w:hAnsi="Times New Roman" w:eastAsia="黑体"/>
          <w:b/>
        </w:rPr>
        <w:t>4.1 当前极高与高风险</w:t>
      </w:r>
    </w:p>
    <w:p w14:paraId="7B71A177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当前极高与高风险登记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 w14:paraId="4F0838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296" w:type="dxa"/>
            <w:vAlign w:val="center"/>
          </w:tcPr>
          <w:p w14:paraId="08BC889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w="1296" w:type="dxa"/>
            <w:vAlign w:val="center"/>
          </w:tcPr>
          <w:p w14:paraId="727FF63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原因—事件—影响</w:t>
            </w:r>
          </w:p>
        </w:tc>
        <w:tc>
          <w:tcPr>
            <w:tcW w:w="1296" w:type="dxa"/>
            <w:vAlign w:val="center"/>
          </w:tcPr>
          <w:p w14:paraId="33EF981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w="1296" w:type="dxa"/>
            <w:vAlign w:val="center"/>
          </w:tcPr>
          <w:p w14:paraId="460A031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触发与监测</w:t>
            </w:r>
          </w:p>
        </w:tc>
        <w:tc>
          <w:tcPr>
            <w:tcW w:w="1296" w:type="dxa"/>
            <w:vAlign w:val="center"/>
          </w:tcPr>
          <w:p w14:paraId="327D060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预防、缓解、应急与升级</w:t>
            </w:r>
          </w:p>
        </w:tc>
        <w:tc>
          <w:tcPr>
            <w:tcW w:w="1296" w:type="dxa"/>
            <w:vAlign w:val="center"/>
          </w:tcPr>
          <w:p w14:paraId="0743320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w="1296" w:type="dxa"/>
            <w:vAlign w:val="center"/>
          </w:tcPr>
          <w:p w14:paraId="0EE977F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复核/关闭条件/状态</w:t>
            </w:r>
          </w:p>
        </w:tc>
      </w:tr>
      <w:tr w14:paraId="0044D4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5D6C383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RR-01 外部依赖</w:t>
            </w:r>
          </w:p>
        </w:tc>
        <w:tc>
          <w:tcPr>
            <w:tcW w:w="1296" w:type="dxa"/>
            <w:vAlign w:val="center"/>
          </w:tcPr>
          <w:p w14:paraId="418FA8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视频/消息真实环境、账号、版本、认证、样例和回执不足，可能无法联通或证明性能，阻断外部契约与 M3</w:t>
            </w:r>
          </w:p>
        </w:tc>
        <w:tc>
          <w:tcPr>
            <w:tcW w:w="1296" w:type="dxa"/>
            <w:vAlign w:val="center"/>
          </w:tcPr>
          <w:p w14:paraId="283D125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w="1296" w:type="dxa"/>
            <w:vAlign w:val="center"/>
          </w:tcPr>
          <w:p w14:paraId="43A8DA1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ISSUE-G3-01-001 保持 OPEN；每周核对证据清单、联通记录和失败场景</w:t>
            </w:r>
          </w:p>
        </w:tc>
        <w:tc>
          <w:tcPr>
            <w:tcW w:w="1296" w:type="dxa"/>
            <w:vAlign w:val="center"/>
          </w:tcPr>
          <w:p w14:paraId="6994871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预防：维护缺口清单并提前预约环境；缓解：冻结内部端口而不冒认厂商 Schema；应急：使用桩继续非现场测试但标明边界；升级：A 协调甲方并按需提交延期/替代裁决</w:t>
            </w:r>
          </w:p>
        </w:tc>
        <w:tc>
          <w:tcPr>
            <w:tcW w:w="1296" w:type="dxa"/>
            <w:vAlign w:val="center"/>
          </w:tcPr>
          <w:p w14:paraId="570EE84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w="1296" w:type="dxa"/>
            <w:vAlign w:val="center"/>
          </w:tcPr>
          <w:p w14:paraId="2B79195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每周及证据到达即复核；Issue 按其关闭条件闭环且相关联调复测通过后方可建议关闭；OPEN</w:t>
            </w:r>
          </w:p>
        </w:tc>
      </w:tr>
      <w:tr w14:paraId="200BB0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3606263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RR-02 基线/进度</w:t>
            </w:r>
          </w:p>
        </w:tc>
        <w:tc>
          <w:tcPr>
            <w:tcW w:w="1296" w:type="dxa"/>
            <w:vAlign w:val="center"/>
          </w:tcPr>
          <w:p w14:paraId="5D33338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RR-01 与管理计划未齐套使 M3 门禁不满足，可能造成错误冻结或关键路径延期</w:t>
            </w:r>
          </w:p>
        </w:tc>
        <w:tc>
          <w:tcPr>
            <w:tcW w:w="1296" w:type="dxa"/>
            <w:vAlign w:val="center"/>
          </w:tcPr>
          <w:p w14:paraId="57F5245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w="1296" w:type="dxa"/>
            <w:vAlign w:val="center"/>
          </w:tcPr>
          <w:p w14:paraId="193AF12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ISSUE-G3-10-001 OPEN；G3-10 结论为不可冻结</w:t>
            </w:r>
          </w:p>
        </w:tc>
        <w:tc>
          <w:tcPr>
            <w:tcW w:w="1296" w:type="dxa"/>
            <w:vAlign w:val="center"/>
          </w:tcPr>
          <w:p w14:paraId="59F1AF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保持 DO_NOT_FREEZE；并行完成不依赖工作；解除前重新执行 M3 审计；任何越权冻结立即升级 A/CCB</w:t>
            </w:r>
          </w:p>
        </w:tc>
        <w:tc>
          <w:tcPr>
            <w:tcW w:w="1296" w:type="dxa"/>
            <w:vAlign w:val="center"/>
          </w:tcPr>
          <w:p w14:paraId="6BA6407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w="1296" w:type="dxa"/>
            <w:vAlign w:val="center"/>
          </w:tcPr>
          <w:p w14:paraId="6404D9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每周和门禁输入变化时；仅在关联 Issue 关闭、G3-11—14 达门禁且重审通过后关闭；OPEN</w:t>
            </w:r>
          </w:p>
        </w:tc>
      </w:tr>
      <w:tr w14:paraId="48A75C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61521F8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RR-04 消息联调</w:t>
            </w:r>
          </w:p>
        </w:tc>
        <w:tc>
          <w:tcPr>
            <w:tcW w:w="1296" w:type="dxa"/>
            <w:vAlign w:val="center"/>
          </w:tcPr>
          <w:p w14:paraId="463ECAA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回执、限流、错误和幂等语义未获真实证据，可能无法证明 ≥20 路并行与正常验收通道到达率 ≥99%</w:t>
            </w:r>
          </w:p>
        </w:tc>
        <w:tc>
          <w:tcPr>
            <w:tcW w:w="1296" w:type="dxa"/>
            <w:vAlign w:val="center"/>
          </w:tcPr>
          <w:p w14:paraId="1F0CE60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w="1296" w:type="dxa"/>
            <w:vAlign w:val="center"/>
          </w:tcPr>
          <w:p w14:paraId="2FC583F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PE-04 仍受 ISSUE-G3-01-001 阻断；监测回执终态、重复率、超时率</w:t>
            </w:r>
          </w:p>
        </w:tc>
        <w:tc>
          <w:tcPr>
            <w:tcW w:w="1296" w:type="dxa"/>
            <w:vAlign w:val="center"/>
          </w:tcPr>
          <w:p w14:paraId="388A767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契约占位、Outbox 与幂等设计；获取真实样例后执行正常/重复/迟到/失败场景；失败时保留人工处置和可追踪状态；重大偏差升级 A/B</w:t>
            </w:r>
          </w:p>
        </w:tc>
        <w:tc>
          <w:tcPr>
            <w:tcW w:w="1296" w:type="dxa"/>
            <w:vAlign w:val="center"/>
          </w:tcPr>
          <w:p w14:paraId="531B07F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0B9B14B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每周；真实通道测试达标、失败恢复和审计证据齐备后关闭；OPEN</w:t>
            </w:r>
          </w:p>
        </w:tc>
      </w:tr>
      <w:tr w14:paraId="099F9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3818653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RR-05 视频验收</w:t>
            </w:r>
          </w:p>
        </w:tc>
        <w:tc>
          <w:tcPr>
            <w:tcW w:w="1296" w:type="dxa"/>
            <w:vAlign w:val="center"/>
          </w:tcPr>
          <w:p w14:paraId="2D754E4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权限、通道或既有接口不可用，可能无法展示实时画面或明确失败原因，并影响首帧验证</w:t>
            </w:r>
          </w:p>
        </w:tc>
        <w:tc>
          <w:tcPr>
            <w:tcW w:w="1296" w:type="dxa"/>
            <w:vAlign w:val="center"/>
          </w:tcPr>
          <w:p w14:paraId="41FDE18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w="1296" w:type="dxa"/>
            <w:vAlign w:val="center"/>
          </w:tcPr>
          <w:p w14:paraId="101D632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授权点位调阅失败、错误原因不明确、首帧无可测证据；关联 AC-G2-FR-006-01、PE-06</w:t>
            </w:r>
          </w:p>
        </w:tc>
        <w:tc>
          <w:tcPr>
            <w:tcW w:w="1296" w:type="dxa"/>
            <w:vAlign w:val="center"/>
          </w:tcPr>
          <w:p w14:paraId="4998269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服务端鉴权、VideoPort 隔离、明确错误分类与审计；覆盖正常/无权/超时/无通道；接口不可用时明确失败并引导人工使用既有系统；升级 RR-01/Issue</w:t>
            </w:r>
          </w:p>
        </w:tc>
        <w:tc>
          <w:tcPr>
            <w:tcW w:w="1296" w:type="dxa"/>
            <w:vAlign w:val="center"/>
          </w:tcPr>
          <w:p w14:paraId="112F1C3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729C988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每周及每次联调；AC 用例通过、真实请求/结果/错误与首帧证据齐备后关闭；OPEN</w:t>
            </w:r>
          </w:p>
        </w:tc>
      </w:tr>
      <w:tr w14:paraId="0E4FA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06AA175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RR-08 性能/NFR</w:t>
            </w:r>
          </w:p>
        </w:tc>
        <w:tc>
          <w:tcPr>
            <w:tcW w:w="1296" w:type="dxa"/>
            <w:vAlign w:val="center"/>
          </w:tcPr>
          <w:p w14:paraId="497C71C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目标环境、数据规模或监控不齐，可能无法证明 PE-01—12、容量、可靠性与部署指标</w:t>
            </w:r>
          </w:p>
        </w:tc>
        <w:tc>
          <w:tcPr>
            <w:tcW w:w="1296" w:type="dxa"/>
            <w:vAlign w:val="center"/>
          </w:tcPr>
          <w:p w14:paraId="74E872B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w="1296" w:type="dxa"/>
            <w:vAlign w:val="center"/>
          </w:tcPr>
          <w:p w14:paraId="0333C7B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压测环境未就绪、P95/错误率/资源数据缺失、PE-04/06 被阻断</w:t>
            </w:r>
          </w:p>
        </w:tc>
        <w:tc>
          <w:tcPr>
            <w:tcW w:w="1296" w:type="dxa"/>
            <w:vAlign w:val="center"/>
          </w:tcPr>
          <w:p w14:paraId="4A60218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提前准备数据、脚本和监控；按测试计划分层测量；不达标时画像、优化和复测；门禁前仍失败则禁止发布</w:t>
            </w:r>
          </w:p>
        </w:tc>
        <w:tc>
          <w:tcPr>
            <w:tcW w:w="1296" w:type="dxa"/>
            <w:vAlign w:val="center"/>
          </w:tcPr>
          <w:p w14:paraId="4EAF14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251884A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每周及每轮性能测试；全部适用指标有可复现实测证据且无阻断缺陷后关闭；OPEN</w:t>
            </w:r>
          </w:p>
        </w:tc>
      </w:tr>
      <w:tr w14:paraId="47F60F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2C59B44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RR-09 安全</w:t>
            </w:r>
          </w:p>
        </w:tc>
        <w:tc>
          <w:tcPr>
            <w:tcW w:w="1296" w:type="dxa"/>
            <w:vAlign w:val="center"/>
          </w:tcPr>
          <w:p w14:paraId="20C3DAD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鉴权、越权、依赖漏洞或敏感信息处理不足，可能导致高危漏洞或发布阻断</w:t>
            </w:r>
          </w:p>
        </w:tc>
        <w:tc>
          <w:tcPr>
            <w:tcW w:w="1296" w:type="dxa"/>
            <w:vAlign w:val="center"/>
          </w:tcPr>
          <w:p w14:paraId="612564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w="1296" w:type="dxa"/>
            <w:vAlign w:val="center"/>
          </w:tcPr>
          <w:p w14:paraId="63CED5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扫描/渗透发现高危、密钥入库、对象级越权或审计缺失</w:t>
            </w:r>
          </w:p>
        </w:tc>
        <w:tc>
          <w:tcPr>
            <w:tcW w:w="1296" w:type="dxa"/>
            <w:vAlign w:val="center"/>
          </w:tcPr>
          <w:p w14:paraId="0D1F631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最小权限、服务端鉴权、密钥外置、SCA/扫描/渗透；隔离受影响版本并复测；高危未清零禁止候选发布</w:t>
            </w:r>
          </w:p>
        </w:tc>
        <w:tc>
          <w:tcPr>
            <w:tcW w:w="1296" w:type="dxa"/>
            <w:vAlign w:val="center"/>
          </w:tcPr>
          <w:p w14:paraId="42955FC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29B6599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每周及安全扫描后；高危 0、复测通过、审计证据齐备后关闭；OPEN</w:t>
            </w:r>
          </w:p>
        </w:tc>
      </w:tr>
      <w:tr w14:paraId="746E6E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790AA89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RR-13 进度/资源</w:t>
            </w:r>
          </w:p>
        </w:tc>
        <w:tc>
          <w:tcPr>
            <w:tcW w:w="1296" w:type="dxa"/>
            <w:vAlign w:val="center"/>
          </w:tcPr>
          <w:p w14:paraId="7DB9D89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三人并行、外部等待和评审返工可能挤压关键路径并造成质量让步</w:t>
            </w:r>
          </w:p>
        </w:tc>
        <w:tc>
          <w:tcPr>
            <w:tcW w:w="1296" w:type="dxa"/>
            <w:vAlign w:val="center"/>
          </w:tcPr>
          <w:p w14:paraId="6C1BD2A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w="1296" w:type="dxa"/>
            <w:vAlign w:val="center"/>
          </w:tcPr>
          <w:p w14:paraId="02C3DA9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关键任务 BLOCKED/延期、Review 排队、返工两轮仍未收敛</w:t>
            </w:r>
          </w:p>
        </w:tc>
        <w:tc>
          <w:tcPr>
            <w:tcW w:w="1296" w:type="dxa"/>
            <w:vAlign w:val="center"/>
          </w:tcPr>
          <w:p w14:paraId="58FC95C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依赖驱动排期、限制 WIP、保留联调/复测缓冲；重排非关键项但不删门禁；关键路径偏差升级 A</w:t>
            </w:r>
          </w:p>
        </w:tc>
        <w:tc>
          <w:tcPr>
            <w:tcW w:w="1296" w:type="dxa"/>
            <w:vAlign w:val="center"/>
          </w:tcPr>
          <w:p w14:paraId="35ED286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w="1296" w:type="dxa"/>
            <w:vAlign w:val="center"/>
          </w:tcPr>
          <w:p w14:paraId="20158B4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每周；关键路径恢复且连续两个复核周期无逾期征兆后降级/关闭；OPEN</w:t>
            </w:r>
          </w:p>
        </w:tc>
      </w:tr>
      <w:tr w14:paraId="15959C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457C242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RR-16 追踪/配置</w:t>
            </w:r>
          </w:p>
        </w:tc>
        <w:tc>
          <w:tcPr>
            <w:tcW w:w="1296" w:type="dxa"/>
            <w:vAlign w:val="center"/>
          </w:tcPr>
          <w:p w14:paraId="4DAEEC8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FR—AC—设计—测试—证据或版本引用漂移，可能造成漏验、错版或不可审计</w:t>
            </w:r>
          </w:p>
        </w:tc>
        <w:tc>
          <w:tcPr>
            <w:tcW w:w="1296" w:type="dxa"/>
            <w:vAlign w:val="center"/>
          </w:tcPr>
          <w:p w14:paraId="2C35086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w="1296" w:type="dxa"/>
            <w:vAlign w:val="center"/>
          </w:tcPr>
          <w:p w14:paraId="1222C1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RTM 断链、哈希/版本不一致、状态列越界、发布包与批准版本不符</w:t>
            </w:r>
          </w:p>
        </w:tc>
        <w:tc>
          <w:tcPr>
            <w:tcW w:w="1296" w:type="dxa"/>
            <w:vAlign w:val="center"/>
          </w:tcPr>
          <w:p w14:paraId="6EF98BE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RTM 和配置审计、受控状态码、发布清单与哈希；发现错版立即停止发布并回滚；需改基线提交 CR</w:t>
            </w:r>
          </w:p>
        </w:tc>
        <w:tc>
          <w:tcPr>
            <w:tcW w:w="1296" w:type="dxa"/>
            <w:vAlign w:val="center"/>
          </w:tcPr>
          <w:p w14:paraId="7D50519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w="1296" w:type="dxa"/>
            <w:vAlign w:val="center"/>
          </w:tcPr>
          <w:p w14:paraId="0CD7B0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每周及发布前；连续两次配置审计无断链且发布包可回溯后关闭；OPEN</w:t>
            </w:r>
          </w:p>
        </w:tc>
      </w:tr>
      <w:tr w14:paraId="69458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406896F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RR-03 数据/映射</w:t>
            </w:r>
          </w:p>
        </w:tc>
        <w:tc>
          <w:tcPr>
            <w:tcW w:w="1296" w:type="dxa"/>
            <w:vAlign w:val="center"/>
          </w:tcPr>
          <w:p w14:paraId="26F93ED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八类外部端口字段、枚举、时间与错误语义漂移，可能造成契约失败或错误归一化</w:t>
            </w:r>
          </w:p>
        </w:tc>
        <w:tc>
          <w:tcPr>
            <w:tcW w:w="1296" w:type="dxa"/>
            <w:vAlign w:val="center"/>
          </w:tcPr>
          <w:p w14:paraId="0BF296F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w="1296" w:type="dxa"/>
            <w:vAlign w:val="center"/>
          </w:tcPr>
          <w:p w14:paraId="1042835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映射失败、未知字段积压或破坏性变更</w:t>
            </w:r>
          </w:p>
        </w:tc>
        <w:tc>
          <w:tcPr>
            <w:tcW w:w="1296" w:type="dxa"/>
            <w:vAlign w:val="center"/>
          </w:tcPr>
          <w:p w14:paraId="2D7BDE8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版本化映射、未知字段隔离和契约差异门禁；失败时停用受影响映射并人工核对；破坏性变更升级 B/A 并按需提交 CR</w:t>
            </w:r>
          </w:p>
        </w:tc>
        <w:tc>
          <w:tcPr>
            <w:tcW w:w="1296" w:type="dxa"/>
            <w:vAlign w:val="center"/>
          </w:tcPr>
          <w:p w14:paraId="2D87430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2DD910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每周；八端口契约及异常用例通过后关闭；OPEN</w:t>
            </w:r>
          </w:p>
        </w:tc>
      </w:tr>
      <w:tr w14:paraId="3E3B98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2C4CF2E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RR-06 地图/定位</w:t>
            </w:r>
          </w:p>
        </w:tc>
        <w:tc>
          <w:tcPr>
            <w:tcW w:w="1296" w:type="dxa"/>
            <w:vAlign w:val="center"/>
          </w:tcPr>
          <w:p w14:paraId="5883BD9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坐标系、楼层、精度或新鲜度未确认，可能导致错误展示或调度</w:t>
            </w:r>
          </w:p>
        </w:tc>
        <w:tc>
          <w:tcPr>
            <w:tcW w:w="1296" w:type="dxa"/>
            <w:vAlign w:val="center"/>
          </w:tcPr>
          <w:p w14:paraId="2620554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w="1296" w:type="dxa"/>
            <w:vAlign w:val="center"/>
          </w:tcPr>
          <w:p w14:paraId="57E372BD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位置偏移、数据过期仍参与调派或楼层映射失败</w:t>
            </w:r>
          </w:p>
        </w:tc>
        <w:tc>
          <w:tcPr>
            <w:tcW w:w="1296" w:type="dxa"/>
            <w:vAlign w:val="center"/>
          </w:tcPr>
          <w:p w14:paraId="411313A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保存源精度与时间，过期位置降级；异常时停止自动调派并人工确认；跨系统语义不一致升级 B</w:t>
            </w:r>
          </w:p>
        </w:tc>
        <w:tc>
          <w:tcPr>
            <w:tcW w:w="1296" w:type="dxa"/>
            <w:vAlign w:val="center"/>
          </w:tcPr>
          <w:p w14:paraId="5B43823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07CA4EB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每周；源与展示比对及过期降级用例通过后关闭；OPEN</w:t>
            </w:r>
          </w:p>
        </w:tc>
      </w:tr>
      <w:tr w14:paraId="5EE308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4F927F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RR-07 数据质量</w:t>
            </w:r>
          </w:p>
        </w:tc>
        <w:tc>
          <w:tcPr>
            <w:tcW w:w="1296" w:type="dxa"/>
            <w:vAlign w:val="center"/>
          </w:tcPr>
          <w:p w14:paraId="753EBF9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组织、人员、点位、物资等源数据不完整或重复，可能影响调度和统计</w:t>
            </w:r>
          </w:p>
        </w:tc>
        <w:tc>
          <w:tcPr>
            <w:tcW w:w="1296" w:type="dxa"/>
            <w:vAlign w:val="center"/>
          </w:tcPr>
          <w:p w14:paraId="2B63E4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w="1296" w:type="dxa"/>
            <w:vAlign w:val="center"/>
          </w:tcPr>
          <w:p w14:paraId="3E489DA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完整率、唯一性、引用或对账检查失败</w:t>
            </w:r>
          </w:p>
        </w:tc>
        <w:tc>
          <w:tcPr>
            <w:tcW w:w="1296" w:type="dxa"/>
            <w:vAlign w:val="center"/>
          </w:tcPr>
          <w:p w14:paraId="7A1BEA1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导入校验、主键/引用检查和异常清单；失败批次隔离并人工修正；持续失败升级 C/A</w:t>
            </w:r>
          </w:p>
        </w:tc>
        <w:tc>
          <w:tcPr>
            <w:tcW w:w="1296" w:type="dxa"/>
            <w:vAlign w:val="center"/>
          </w:tcPr>
          <w:p w14:paraId="63E6F14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296" w:type="dxa"/>
            <w:vAlign w:val="center"/>
          </w:tcPr>
          <w:p w14:paraId="66B76DD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每周；受控样本导入与对账通过后关闭；OPEN</w:t>
            </w:r>
          </w:p>
        </w:tc>
      </w:tr>
      <w:tr w14:paraId="38840A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4CA5CF0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RR-10 部署/恢复</w:t>
            </w:r>
          </w:p>
        </w:tc>
        <w:tc>
          <w:tcPr>
            <w:tcW w:w="1296" w:type="dxa"/>
            <w:vAlign w:val="center"/>
          </w:tcPr>
          <w:p w14:paraId="3235C76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私有化资源、备份恢复或回滚未验证，可能延长中断或阻断发布</w:t>
            </w:r>
          </w:p>
        </w:tc>
        <w:tc>
          <w:tcPr>
            <w:tcW w:w="1296" w:type="dxa"/>
            <w:vAlign w:val="center"/>
          </w:tcPr>
          <w:p w14:paraId="57EA2A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w="1296" w:type="dxa"/>
            <w:vAlign w:val="center"/>
          </w:tcPr>
          <w:p w14:paraId="2E6CD0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干净部署、备份校验、恢复或回滚演练失败</w:t>
            </w:r>
          </w:p>
        </w:tc>
        <w:tc>
          <w:tcPr>
            <w:tcW w:w="1296" w:type="dxa"/>
            <w:vAlign w:val="center"/>
          </w:tcPr>
          <w:p w14:paraId="06B7AAF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外置配置、迁移/回滚脚本和恢复演练；失败时停止发布并恢复已知良好版本；升级 B/A</w:t>
            </w:r>
          </w:p>
        </w:tc>
        <w:tc>
          <w:tcPr>
            <w:tcW w:w="1296" w:type="dxa"/>
            <w:vAlign w:val="center"/>
          </w:tcPr>
          <w:p w14:paraId="5A3B0DC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296" w:type="dxa"/>
            <w:vAlign w:val="center"/>
          </w:tcPr>
          <w:p w14:paraId="3758EA1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每周及每次演练；独立部署、回滚和恢复演练通过后关闭；OPEN</w:t>
            </w:r>
          </w:p>
        </w:tc>
      </w:tr>
      <w:tr w14:paraId="7AA6AF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781FB79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RR-11 范围/变更</w:t>
            </w:r>
          </w:p>
        </w:tc>
        <w:tc>
          <w:tcPr>
            <w:tcW w:w="1296" w:type="dxa"/>
            <w:vAlign w:val="center"/>
          </w:tcPr>
          <w:p w14:paraId="55507B9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未经评估的需求扩张可能冲击冻结范围、关键路径和验收</w:t>
            </w:r>
          </w:p>
        </w:tc>
        <w:tc>
          <w:tcPr>
            <w:tcW w:w="1296" w:type="dxa"/>
            <w:vAlign w:val="center"/>
          </w:tcPr>
          <w:p w14:paraId="63CD8CE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w="1296" w:type="dxa"/>
            <w:vAlign w:val="center"/>
          </w:tcPr>
          <w:p w14:paraId="32171A0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出现口头新增或拟改变 FR/AC/数字/责任</w:t>
            </w:r>
          </w:p>
        </w:tc>
        <w:tc>
          <w:tcPr>
            <w:tcW w:w="1296" w:type="dxa"/>
            <w:vAlign w:val="center"/>
          </w:tcPr>
          <w:p w14:paraId="68293E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所有变化进入 CR/CCB 和影响分析；未批准内容不实施；紧急事项先隔离并升级 A/CCB</w:t>
            </w:r>
          </w:p>
        </w:tc>
        <w:tc>
          <w:tcPr>
            <w:tcW w:w="1296" w:type="dxa"/>
            <w:vAlign w:val="center"/>
          </w:tcPr>
          <w:p w14:paraId="494CA5B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w="1296" w:type="dxa"/>
            <w:vAlign w:val="center"/>
          </w:tcPr>
          <w:p w14:paraId="28500F0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每周；变更获批或拒绝并同步全部受控项后关闭；OPEN</w:t>
            </w:r>
          </w:p>
        </w:tc>
      </w:tr>
      <w:tr w14:paraId="582892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6" w:type="dxa"/>
            <w:vAlign w:val="center"/>
          </w:tcPr>
          <w:p w14:paraId="604438A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RR-15 AI/证据</w:t>
            </w:r>
          </w:p>
        </w:tc>
        <w:tc>
          <w:tcPr>
            <w:tcW w:w="1296" w:type="dxa"/>
            <w:vAlign w:val="center"/>
          </w:tcPr>
          <w:p w14:paraId="1E6022A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AI 生成内容可能引入未证实事实或把 Mock 写成实测，造成错误准出</w:t>
            </w:r>
          </w:p>
        </w:tc>
        <w:tc>
          <w:tcPr>
            <w:tcW w:w="1296" w:type="dxa"/>
            <w:vAlign w:val="center"/>
          </w:tcPr>
          <w:p w14:paraId="06A87F2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w="1296" w:type="dxa"/>
            <w:vAlign w:val="center"/>
          </w:tcPr>
          <w:p w14:paraId="1522D9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无来源数字、虚构验证、日志缺失或结论与证据不一致</w:t>
            </w:r>
          </w:p>
        </w:tc>
        <w:tc>
          <w:tcPr>
            <w:tcW w:w="1296" w:type="dxa"/>
            <w:vAlign w:val="center"/>
          </w:tcPr>
          <w:p w14:paraId="112CC92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来源优先级、Prompt/输出日志、机械检查与人工 Review；发现后撤回错误结论并重审；重大证据污染升级 C/A</w:t>
            </w:r>
          </w:p>
        </w:tc>
        <w:tc>
          <w:tcPr>
            <w:tcW w:w="1296" w:type="dxa"/>
            <w:vAlign w:val="center"/>
          </w:tcPr>
          <w:p w14:paraId="0CF4CED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w="1296" w:type="dxa"/>
            <w:vAlign w:val="center"/>
          </w:tcPr>
          <w:p w14:paraId="0927B0A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每周；抽查无未证实结论且证据链完整后关闭；OPEN</w:t>
            </w:r>
          </w:p>
        </w:tc>
      </w:tr>
    </w:tbl>
    <w:p w14:paraId="783DEA61">
      <w:pPr>
        <w:pStyle w:val="2"/>
        <w:keepNext/>
      </w:pPr>
      <w:r>
        <w:rPr>
          <w:rFonts w:ascii="Times New Roman" w:hAnsi="Times New Roman" w:eastAsia="黑体"/>
          <w:b/>
        </w:rPr>
        <w:t>4.2 当前中风险与持续监测</w:t>
      </w:r>
    </w:p>
    <w:p w14:paraId="158A72FB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4-2 当前中风险登记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8"/>
        <w:gridCol w:w="1360"/>
        <w:gridCol w:w="3265"/>
        <w:gridCol w:w="1360"/>
        <w:gridCol w:w="1995"/>
      </w:tblGrid>
      <w:tr w14:paraId="6FA8C0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088" w:type="dxa"/>
            <w:vAlign w:val="center"/>
          </w:tcPr>
          <w:p w14:paraId="05F3D3F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w="1360" w:type="dxa"/>
            <w:vAlign w:val="center"/>
          </w:tcPr>
          <w:p w14:paraId="1C5E7A0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风险与主要控制</w:t>
            </w:r>
          </w:p>
        </w:tc>
        <w:tc>
          <w:tcPr>
            <w:tcW w:w="3265" w:type="dxa"/>
            <w:vAlign w:val="center"/>
          </w:tcPr>
          <w:p w14:paraId="5DBE15B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w="1360" w:type="dxa"/>
            <w:vAlign w:val="center"/>
          </w:tcPr>
          <w:p w14:paraId="2FFAF55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w="1995" w:type="dxa"/>
            <w:vAlign w:val="center"/>
          </w:tcPr>
          <w:p w14:paraId="73F9896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5"/>
              </w:rPr>
              <w:t>触发/复核与关闭</w:t>
            </w:r>
          </w:p>
        </w:tc>
      </w:tr>
      <w:tr w14:paraId="2FE00E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445E183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RR-12 H5/兼容</w:t>
            </w:r>
          </w:p>
        </w:tc>
        <w:tc>
          <w:tcPr>
            <w:tcW w:w="1360" w:type="dxa"/>
            <w:vAlign w:val="center"/>
          </w:tcPr>
          <w:p w14:paraId="471526E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宿主版本、弱网、定位/扫码权限差异导致移动端失败；确认矩阵并覆盖权限拒绝、切后台和弱网</w:t>
            </w:r>
          </w:p>
        </w:tc>
        <w:tc>
          <w:tcPr>
            <w:tcW w:w="3265" w:type="dxa"/>
            <w:vAlign w:val="center"/>
          </w:tcPr>
          <w:p w14:paraId="45CD643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3/3/9 中</w:t>
            </w:r>
          </w:p>
        </w:tc>
        <w:tc>
          <w:tcPr>
            <w:tcW w:w="1360" w:type="dxa"/>
            <w:vAlign w:val="center"/>
          </w:tcPr>
          <w:p w14:paraId="5E96284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w="1995" w:type="dxa"/>
            <w:vAlign w:val="center"/>
          </w:tcPr>
          <w:p w14:paraId="27061C8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目标宿主关键流程失败；每两周；确认矩阵全通过后关闭</w:t>
            </w:r>
          </w:p>
        </w:tc>
      </w:tr>
      <w:tr w14:paraId="7B9932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88" w:type="dxa"/>
            <w:vAlign w:val="center"/>
          </w:tcPr>
          <w:p w14:paraId="540D3C1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RR-14 人员治理</w:t>
            </w:r>
          </w:p>
        </w:tc>
        <w:tc>
          <w:tcPr>
            <w:tcW w:w="1360" w:type="dxa"/>
            <w:vAlign w:val="center"/>
          </w:tcPr>
          <w:p w14:paraId="77B92CA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关键知识集中或职责冲突导致停滞/误审；通过单一主责、独立 Review、交接清单与受控记录控制</w:t>
            </w:r>
          </w:p>
        </w:tc>
        <w:tc>
          <w:tcPr>
            <w:tcW w:w="3265" w:type="dxa"/>
            <w:vAlign w:val="center"/>
          </w:tcPr>
          <w:p w14:paraId="01F74FC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2/4/8 中</w:t>
            </w:r>
          </w:p>
        </w:tc>
        <w:tc>
          <w:tcPr>
            <w:tcW w:w="1360" w:type="dxa"/>
            <w:vAlign w:val="center"/>
          </w:tcPr>
          <w:p w14:paraId="0F73B58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w="1995" w:type="dxa"/>
            <w:vAlign w:val="center"/>
          </w:tcPr>
          <w:p w14:paraId="3935968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主责缺席或同人自审；每两周；替补可按记录完成演练后关闭</w:t>
            </w:r>
          </w:p>
        </w:tc>
      </w:tr>
    </w:tbl>
    <w:p w14:paraId="7CF7F50F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当前登记册无 1—4 分低风险；后续新增低风险仍按 §5 的月度周期持续监测，不得为填充分组而虚构风险。</w:t>
      </w:r>
    </w:p>
    <w:p w14:paraId="3FD8A263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极高/高风险至少每周复核，中风险至少每两周，低风险至少每月；触发器、Issue/缺陷、测试失败、外部条件变化或里程碑前均立即复核。责任人更新 P/I、趋势、证据、行动与到期项，A 汇总风险状态报告。</w:t>
      </w:r>
    </w:p>
    <w:p w14:paraId="73A39309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应对按四层执行：预防降低发生概率；缓解降低影响；应急在触发后维持业务与证据完整；升级用于跨职责、基线、预算/工期、★、安全或甲方依赖事项。任何应急措施不得静默降低验收标准或扩大乙方责任。</w:t>
      </w:r>
    </w:p>
    <w:p w14:paraId="29C42C02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受控验收语义为：Given 用户选择有权限的视频点位，When 发起实时调阅，Then 系统通过既有接口请求并展示实时画面或明确失败原因。</w:t>
      </w:r>
    </w:p>
    <w:p w14:paraId="50619668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AC-G2-FR-006-01 风险控制核对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7"/>
        <w:gridCol w:w="2433"/>
        <w:gridCol w:w="2765"/>
        <w:gridCol w:w="2544"/>
      </w:tblGrid>
      <w:tr w14:paraId="37F836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327" w:type="dxa"/>
            <w:vAlign w:val="center"/>
          </w:tcPr>
          <w:p w14:paraId="3167B22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核对点</w:t>
            </w:r>
          </w:p>
        </w:tc>
        <w:tc>
          <w:tcPr>
            <w:tcW w:w="2433" w:type="dxa"/>
            <w:vAlign w:val="center"/>
          </w:tcPr>
          <w:p w14:paraId="1AC6C1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风险控制</w:t>
            </w:r>
          </w:p>
        </w:tc>
        <w:tc>
          <w:tcPr>
            <w:tcW w:w="2765" w:type="dxa"/>
            <w:vAlign w:val="center"/>
          </w:tcPr>
          <w:p w14:paraId="0622FF4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验证证据</w:t>
            </w:r>
          </w:p>
        </w:tc>
        <w:tc>
          <w:tcPr>
            <w:tcW w:w="2544" w:type="dxa"/>
            <w:vAlign w:val="center"/>
          </w:tcPr>
          <w:p w14:paraId="6FCCC8C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当前判定</w:t>
            </w:r>
          </w:p>
        </w:tc>
      </w:tr>
      <w:tr w14:paraId="38A783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2818DE6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有权限的视频点位</w:t>
            </w:r>
          </w:p>
        </w:tc>
        <w:tc>
          <w:tcPr>
            <w:tcW w:w="2433" w:type="dxa"/>
            <w:vAlign w:val="center"/>
          </w:tcPr>
          <w:p w14:paraId="41523A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服务端权限与数据范围检查；无权不得向外部发起有效调阅</w:t>
            </w:r>
          </w:p>
        </w:tc>
        <w:tc>
          <w:tcPr>
            <w:tcW w:w="2765" w:type="dxa"/>
            <w:vAlign w:val="center"/>
          </w:tcPr>
          <w:p w14:paraId="00B296B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无权/有权用例、审计日志</w:t>
            </w:r>
          </w:p>
        </w:tc>
        <w:tc>
          <w:tcPr>
            <w:tcW w:w="2544" w:type="dxa"/>
            <w:vAlign w:val="center"/>
          </w:tcPr>
          <w:p w14:paraId="387A129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设计已覆盖，待实现与联调证据</w:t>
            </w:r>
          </w:p>
        </w:tc>
      </w:tr>
      <w:tr w14:paraId="06DB48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68B1B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通过既有接口请求</w:t>
            </w:r>
          </w:p>
        </w:tc>
        <w:tc>
          <w:tcPr>
            <w:tcW w:w="2433" w:type="dxa"/>
            <w:vAlign w:val="center"/>
          </w:tcPr>
          <w:p w14:paraId="3FE6B5F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VideoPort/适配器隔离厂商协议，记录 traceId 与脱敏调用摘要</w:t>
            </w:r>
          </w:p>
        </w:tc>
        <w:tc>
          <w:tcPr>
            <w:tcW w:w="2765" w:type="dxa"/>
            <w:vAlign w:val="center"/>
          </w:tcPr>
          <w:p w14:paraId="07E9AE8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契约、真实请求响应或调用记录</w:t>
            </w:r>
          </w:p>
        </w:tc>
        <w:tc>
          <w:tcPr>
            <w:tcW w:w="2544" w:type="dxa"/>
            <w:vAlign w:val="center"/>
          </w:tcPr>
          <w:p w14:paraId="78F0831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外部真实证据受 ISSUE-G3-01-001 阻断</w:t>
            </w:r>
          </w:p>
        </w:tc>
      </w:tr>
      <w:tr w14:paraId="23373F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0EB08AC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展示实时画面</w:t>
            </w:r>
          </w:p>
        </w:tc>
        <w:tc>
          <w:tcPr>
            <w:tcW w:w="2433" w:type="dxa"/>
            <w:vAlign w:val="center"/>
          </w:tcPr>
          <w:p w14:paraId="3AD0A3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正常场景测量请求至首帧，并关联 PE-06</w:t>
            </w:r>
          </w:p>
        </w:tc>
        <w:tc>
          <w:tcPr>
            <w:tcW w:w="2765" w:type="dxa"/>
            <w:vAlign w:val="center"/>
          </w:tcPr>
          <w:p w14:paraId="3B8F19B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目标环境视频、首帧计时</w:t>
            </w:r>
          </w:p>
        </w:tc>
        <w:tc>
          <w:tcPr>
            <w:tcW w:w="2544" w:type="dxa"/>
            <w:vAlign w:val="center"/>
          </w:tcPr>
          <w:p w14:paraId="7553147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待现场实测，不宣称通过</w:t>
            </w:r>
          </w:p>
        </w:tc>
      </w:tr>
      <w:tr w14:paraId="684AB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7" w:type="dxa"/>
            <w:vAlign w:val="center"/>
          </w:tcPr>
          <w:p w14:paraId="4140B7C8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明确失败原因</w:t>
            </w:r>
          </w:p>
        </w:tc>
        <w:tc>
          <w:tcPr>
            <w:tcW w:w="2433" w:type="dxa"/>
            <w:vAlign w:val="center"/>
          </w:tcPr>
          <w:p w14:paraId="6EBDA7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区分无权、通道不可用、超时、认证失败及未知错误，给出下一步</w:t>
            </w:r>
          </w:p>
        </w:tc>
        <w:tc>
          <w:tcPr>
            <w:tcW w:w="2765" w:type="dxa"/>
            <w:vAlign w:val="center"/>
          </w:tcPr>
          <w:p w14:paraId="73BADBD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错误码、界面提示、失败日志</w:t>
            </w:r>
          </w:p>
        </w:tc>
        <w:tc>
          <w:tcPr>
            <w:tcW w:w="2544" w:type="dxa"/>
            <w:vAlign w:val="center"/>
          </w:tcPr>
          <w:p w14:paraId="7E589C4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必须纳入集成/验收用例</w:t>
            </w:r>
          </w:p>
        </w:tc>
      </w:tr>
    </w:tbl>
    <w:p w14:paraId="6C7339D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专项结论：验收点未被更改；RR-05 明确了责任人、触发器、应对、复核周期和关闭条件。现阶段不能以接口设计、Mock 或文档审计代替真实视频联调与首帧证据。</w:t>
      </w:r>
    </w:p>
    <w:p w14:paraId="65EF7B48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风险与 Issue、变更、测试及配置闭环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2"/>
        <w:gridCol w:w="3024"/>
        <w:gridCol w:w="4536"/>
      </w:tblGrid>
      <w:tr w14:paraId="78F05A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512" w:type="dxa"/>
            <w:vAlign w:val="center"/>
          </w:tcPr>
          <w:p w14:paraId="3A01177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情形</w:t>
            </w:r>
          </w:p>
        </w:tc>
        <w:tc>
          <w:tcPr>
            <w:tcW w:w="3024" w:type="dxa"/>
            <w:vAlign w:val="center"/>
          </w:tcPr>
          <w:p w14:paraId="4426943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受控动作</w:t>
            </w:r>
          </w:p>
        </w:tc>
        <w:tc>
          <w:tcPr>
            <w:tcW w:w="4536" w:type="dxa"/>
            <w:vAlign w:val="center"/>
          </w:tcPr>
          <w:p w14:paraId="3DB63B1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关闭证据</w:t>
            </w:r>
          </w:p>
        </w:tc>
      </w:tr>
      <w:tr w14:paraId="5A6A8E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1E75C3D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风险触发并成为事实</w:t>
            </w:r>
          </w:p>
        </w:tc>
        <w:tc>
          <w:tcPr>
            <w:tcW w:w="3024" w:type="dxa"/>
            <w:vAlign w:val="center"/>
          </w:tcPr>
          <w:p w14:paraId="2319FC4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新建/关联 Issue，风险记录引用 Issue，不擅改其状态</w:t>
            </w:r>
          </w:p>
        </w:tc>
        <w:tc>
          <w:tcPr>
            <w:tcW w:w="4536" w:type="dxa"/>
            <w:vAlign w:val="center"/>
          </w:tcPr>
          <w:p w14:paraId="203453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Issue 按责任人和关闭标准复核</w:t>
            </w:r>
          </w:p>
        </w:tc>
      </w:tr>
      <w:tr w14:paraId="117505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3F47912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应对改变冻结需求、数字、接口或基线</w:t>
            </w:r>
          </w:p>
        </w:tc>
        <w:tc>
          <w:tcPr>
            <w:tcW w:w="3024" w:type="dxa"/>
            <w:vAlign w:val="center"/>
          </w:tcPr>
          <w:p w14:paraId="78C499E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提交 CR，完成影响分析和 CCB 决策</w:t>
            </w:r>
          </w:p>
        </w:tc>
        <w:tc>
          <w:tcPr>
            <w:tcW w:w="4536" w:type="dxa"/>
            <w:vAlign w:val="center"/>
          </w:tcPr>
          <w:p w14:paraId="4D4D636C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批准记录、变更日志、同步后的基线</w:t>
            </w:r>
          </w:p>
        </w:tc>
      </w:tr>
      <w:tr w14:paraId="06F00B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2E70795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测试发现偏差</w:t>
            </w:r>
          </w:p>
        </w:tc>
        <w:tc>
          <w:tcPr>
            <w:tcW w:w="3024" w:type="dxa"/>
            <w:vAlign w:val="center"/>
          </w:tcPr>
          <w:p w14:paraId="4D16664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建立缺陷，按严重度修复复测；关联风险趋势</w:t>
            </w:r>
          </w:p>
        </w:tc>
        <w:tc>
          <w:tcPr>
            <w:tcW w:w="4536" w:type="dxa"/>
            <w:vAlign w:val="center"/>
          </w:tcPr>
          <w:p w14:paraId="6F492373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复测记录与回归结果</w:t>
            </w:r>
          </w:p>
        </w:tc>
      </w:tr>
      <w:tr w14:paraId="7441CE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12" w:type="dxa"/>
            <w:vAlign w:val="center"/>
          </w:tcPr>
          <w:p w14:paraId="072FD3D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发布/回滚风险</w:t>
            </w:r>
          </w:p>
        </w:tc>
        <w:tc>
          <w:tcPr>
            <w:tcW w:w="3024" w:type="dxa"/>
            <w:vAlign w:val="center"/>
          </w:tcPr>
          <w:p w14:paraId="093CC5E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执行配置审计、发布清单、备份和回滚门禁</w:t>
            </w:r>
          </w:p>
        </w:tc>
        <w:tc>
          <w:tcPr>
            <w:tcW w:w="4536" w:type="dxa"/>
            <w:vAlign w:val="center"/>
          </w:tcPr>
          <w:p w14:paraId="1A36B1E9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哈希、审批、部署/回滚及恢复证据</w:t>
            </w:r>
          </w:p>
        </w:tc>
      </w:tr>
    </w:tbl>
    <w:p w14:paraId="5BEAE81D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ISSUE-G3-01-001 与 ISSUE-G3-10-001 当前均保持 OPEN。本计划只引用和管理其风险暴露，不关闭、不降级、不授权 M3 冻结。</w:t>
      </w:r>
    </w:p>
    <w:p w14:paraId="091185F6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风险状态报告至少包含新增/关闭/升级风险、P/I 趋势、已触发事项、逾期行动、关联 Issue/CR/缺陷、门禁影响和所需决策。关闭必须同时满足：触发源已消除或降至可接受水平；预防/缓解/应急措施已验证；关联 Issue/缺陷/CR 已按各自流程闭环；无未转移残余风险；B 对本计划的 Review 结论已记录。仅“当前未发生”不能作为关闭理由。</w:t>
      </w:r>
    </w:p>
    <w:p w14:paraId="123965E5"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G3-14 主责整改自检</w:t>
      </w:r>
    </w:p>
    <w:tbl>
      <w:tblPr>
        <w:tblStyle w:val="15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6804"/>
      </w:tblGrid>
      <w:tr w14:paraId="51E861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268" w:type="dxa"/>
            <w:vAlign w:val="center"/>
          </w:tcPr>
          <w:p w14:paraId="01A28DC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w="6804" w:type="dxa"/>
            <w:vAlign w:val="center"/>
          </w:tcPr>
          <w:p w14:paraId="7A360394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 w14:paraId="4C250E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3DA11EDB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风险识别、分类、P/I、优先级</w:t>
            </w:r>
          </w:p>
        </w:tc>
        <w:tc>
          <w:tcPr>
            <w:tcW w:w="6804" w:type="dxa"/>
            <w:vAlign w:val="center"/>
          </w:tcPr>
          <w:p w14:paraId="6D3AC8FE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PASS：16 项 P×I 与等级一致；极高/高/中按阈值分组，当前无低风险</w:t>
            </w:r>
          </w:p>
        </w:tc>
      </w:tr>
      <w:tr w14:paraId="39FB82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4E827011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四要素与治理字段</w:t>
            </w:r>
          </w:p>
        </w:tc>
        <w:tc>
          <w:tcPr>
            <w:tcW w:w="6804" w:type="dxa"/>
            <w:vAlign w:val="center"/>
          </w:tcPr>
          <w:p w14:paraId="01B66855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PASS：风险陈述、触发器、责任人、四层应对、复核和关闭条件齐备</w:t>
            </w:r>
          </w:p>
        </w:tc>
      </w:tr>
      <w:tr w14:paraId="1F8C60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71EDB7E0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AC-G2-FR-006-01</w:t>
            </w:r>
          </w:p>
        </w:tc>
        <w:tc>
          <w:tcPr>
            <w:tcW w:w="6804" w:type="dxa"/>
            <w:vAlign w:val="center"/>
          </w:tcPr>
          <w:p w14:paraId="50463482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PASS：语义未改，正常/无权/失败/现场证据边界明确</w:t>
            </w:r>
          </w:p>
        </w:tc>
      </w:tr>
      <w:tr w14:paraId="0206B0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298EFDE7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冻结事实和 Issue</w:t>
            </w:r>
          </w:p>
        </w:tc>
        <w:tc>
          <w:tcPr>
            <w:tcW w:w="6804" w:type="dxa"/>
            <w:vAlign w:val="center"/>
          </w:tcPr>
          <w:p w14:paraId="73BBCD6F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PASS：39 FR、34★、117 AC 未变；两个 OPEN Issue 未改状态</w:t>
            </w:r>
          </w:p>
        </w:tc>
      </w:tr>
      <w:tr w14:paraId="70D6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68" w:type="dxa"/>
            <w:vAlign w:val="center"/>
          </w:tcPr>
          <w:p w14:paraId="42D5FC76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Review 边界</w:t>
            </w:r>
          </w:p>
        </w:tc>
        <w:tc>
          <w:tcPr>
            <w:tcW w:w="6804" w:type="dxa"/>
            <w:vAlign w:val="center"/>
          </w:tcPr>
          <w:p w14:paraId="4251B40A">
            <w:pPr>
              <w:spacing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PASS：已按 ISSUE-G3-14-001/002 整改，下一步仅由 B 复验；复验前保持候选</w:t>
            </w:r>
          </w:p>
        </w:tc>
      </w:tr>
    </w:tbl>
    <w:p w14:paraId="75477777"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本计划与风险登记册 v2 已达到 G3-14 主责提交条件，状态进入 REVIEW；是否通过由 B 独立复核决定。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FC0BF8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 xml:space="preserve">PAGE</w:instrText>
    </w:r>
    <w:r>
      <w:rPr>
        <w:rFonts w:eastAsia="宋体"/>
        <w:color w:val="000000"/>
        <w:sz w:val="18"/>
        <w:szCs w:val="18"/>
      </w:rPr>
      <w:fldChar w:fldCharType="separate"/>
    </w:r>
    <w:r>
      <w:rPr>
        <w:rFonts w:eastAsia="宋体"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FE1E44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FAB1C6"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67A4D1"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isplayBackgroundShape w:val="1"/>
  <w:bordersDoNotSurroundHeader w:val="1"/>
  <w:bordersDoNotSurroundFooter w:val="1"/>
  <w:documentProtection w:enforcement="0"/>
  <w:defaultTabStop w:val="420"/>
  <w:characterSpacingControl w:val="doNotCompress"/>
  <w:footnotePr>
    <w:footnote w:id="0"/>
    <w:footnote w:id="1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490"/>
    <w:rsid w:val="0018218C"/>
    <w:rsid w:val="00473490"/>
    <w:rsid w:val="00671365"/>
    <w:rsid w:val="00D80242"/>
    <w:rsid w:val="00E92720"/>
    <w:rsid w:val="4EF53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240" w:after="160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spacing w:before="240" w:after="160"/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spacing w:before="240" w:after="160"/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spacing w:before="240" w:after="160"/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spacing w:before="240" w:after="160"/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spacing w:before="240" w:after="160"/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spacing w:before="240" w:after="160"/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uiPriority w:val="99"/>
    <w:pPr>
      <w:spacing w:before="240" w:after="160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2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footnote text"/>
    <w:link w:val="22"/>
    <w:semiHidden/>
    <w:unhideWhenUsed/>
    <w:uiPriority w:val="99"/>
    <w:pPr>
      <w:spacing w:before="240" w:after="160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4">
    <w:name w:val="Title"/>
    <w:qFormat/>
    <w:uiPriority w:val="10"/>
    <w:pPr>
      <w:spacing w:before="240" w:after="160"/>
    </w:pPr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qFormat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pPr>
      <w:spacing w:before="240" w:after="160"/>
    </w:pPr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pPr>
      <w:spacing w:before="240" w:after="160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qFormat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4692</Words>
  <Characters>5597</Characters>
  <Lines>16</Lines>
  <Paragraphs>4</Paragraphs>
  <TotalTime>2</TotalTime>
  <ScaleCrop>false</ScaleCrop>
  <LinksUpToDate>false</LinksUpToDate>
  <CharactersWithSpaces>5855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2026-08-26T11:48:00Z</dcterms:created>
  <dc:creator>020202项目组</dc:creator>
  <cp:lastModifiedBy>严宇</cp:lastModifiedBy>
  <dcterms:modified xsi:type="dcterms:W3CDTF">2026-09-21T06:12:40Z</dcterms:modified>
  <dc:subject>G3-14</dc:subject>
  <dc:title>风险管理计划与风险登记册 v2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eyJoZGlkIjoiNmU5NDNiMjI4ZjdkNGUwM2I5ZDNkYTMxODFjM2RhNDgiLCJ1c2VySWQiOiIxNjYyODQ3NzY0In0=</vt:lpwstr>
  </property>
  <property fmtid="{D5CDD505-2E9C-101B-9397-08002B2CF9AE}" pid="3" name="KSOProductBuildVer">
    <vt:lpwstr>2052-12.1.0.28043</vt:lpwstr>
  </property>
  <property fmtid="{D5CDD505-2E9C-101B-9397-08002B2CF9AE}" pid="4" name="ICV">
    <vt:lpwstr>014F581DD3484C228CDE6BD6F6789CAD_12</vt:lpwstr>
  </property>
</Properties>
</file>