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36"/>
        </w:rPr>
        <w:t>某自然博物馆智能运营中心建设项目</w:t>
        <w:br/>
        <w:t>应急管理子系统</w:t>
      </w:r>
    </w:p>
    <w:p>
      <w:pPr>
        <w:jc w:val="center"/>
      </w:pPr>
      <w:r>
        <w:rPr>
          <w:b/>
          <w:sz w:val="44"/>
        </w:rPr>
        <w:t>概要设计说明书</w:t>
      </w:r>
    </w:p>
    <w:p>
      <w:pPr>
        <w:jc w:val="center"/>
      </w:pPr>
      <w:r>
        <w:t>文档编号：EM-G3-03</w:t>
      </w:r>
    </w:p>
    <w:p>
      <w:pPr>
        <w:jc w:val="center"/>
      </w:pPr>
      <w:r>
        <w:t>版本：V0.1（评审稿）</w:t>
      </w:r>
    </w:p>
    <w:p>
      <w:pPr>
        <w:jc w:val="center"/>
      </w:pPr>
      <w:r>
        <w:t>编制：A【待人工确认】</w:t>
      </w:r>
    </w:p>
    <w:p>
      <w:pPr>
        <w:jc w:val="center"/>
      </w:pPr>
      <w:r>
        <w:t>复核：C【待人工确认】</w:t>
      </w:r>
    </w:p>
    <w:p>
      <w:pPr>
        <w:jc w:val="center"/>
      </w:pPr>
      <w:r>
        <w:t>日期：2026年09月17日</w:t>
      </w:r>
    </w:p>
    <w:p>
      <w:r>
        <w:br w:type="page"/>
      </w:r>
    </w:p>
    <w:p>
      <w:pPr>
        <w:pStyle w:val="1"/>
      </w:pPr>
      <w:r>
        <w:t>修订记录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版本</w:t>
            </w:r>
          </w:p>
        </w:tc>
        <w:tc>
          <w:tcPr>
            <w:tcW w:type="dxa" w:w="2256"/>
          </w:tcPr>
          <w:p>
            <w:r>
              <w:t>日期</w:t>
            </w:r>
          </w:p>
        </w:tc>
        <w:tc>
          <w:tcPr>
            <w:tcW w:type="dxa" w:w="2256"/>
          </w:tcPr>
          <w:p>
            <w:r>
              <w:t>修改说明</w:t>
            </w:r>
          </w:p>
        </w:tc>
        <w:tc>
          <w:tcPr>
            <w:tcW w:type="dxa" w:w="2256"/>
          </w:tcPr>
          <w:p>
            <w:r>
              <w:t>责任人</w:t>
            </w:r>
          </w:p>
        </w:tc>
      </w:tr>
      <w:tr>
        <w:tc>
          <w:tcPr>
            <w:tcW w:type="dxa" w:w="2256"/>
          </w:tcPr>
          <w:p>
            <w:r>
              <w:t>V0.1</w:t>
            </w:r>
          </w:p>
        </w:tc>
        <w:tc>
          <w:tcPr>
            <w:tcW w:type="dxa" w:w="2256"/>
          </w:tcPr>
          <w:p>
            <w:r>
              <w:t>2026-09-17</w:t>
            </w:r>
          </w:p>
        </w:tc>
        <w:tc>
          <w:tcPr>
            <w:tcW w:type="dxa" w:w="2256"/>
          </w:tcPr>
          <w:p>
            <w:r>
              <w:t>首次形成概要设计评审稿</w:t>
            </w:r>
          </w:p>
        </w:tc>
        <w:tc>
          <w:tcPr>
            <w:tcW w:type="dxa" w:w="2256"/>
          </w:tcPr>
          <w:p>
            <w:r>
              <w:t>A【待人工确认】</w:t>
            </w:r>
          </w:p>
        </w:tc>
      </w:tr>
    </w:tbl>
    <w:p>
      <w:r>
        <w:br w:type="page"/>
      </w:r>
    </w:p>
    <w:p>
      <w:pPr>
        <w:pStyle w:val="1"/>
      </w:pPr>
      <w:r>
        <w:t>1 引言</w:t>
      </w:r>
    </w:p>
    <w:p>
      <w:r>
        <w:t>本说明书定义应急管理子系统的高层逻辑架构、数据边界、部署边界、外部系统边界及非功能设计约束，为后续数据库、详细设计、接口契约、ADR、RTM 和测试计划提供受控输入。</w:t>
      </w:r>
    </w:p>
    <w:p>
      <w:pPr>
        <w:pStyle w:val="2"/>
      </w:pPr>
      <w:r>
        <w:t>1.1 设计范围</w:t>
      </w:r>
    </w:p>
    <w:p>
      <w:r>
        <w:t>本设计覆盖 Web、大屏和 H5 渠道接入的应急业务逻辑架构。它不定义类、状态机细节、物理表、字段长度、索引、数据库产品或完整接口字段。原型 Mock、localStorage 和 prototypeStore 不构成正式架构依据。</w:t>
      </w:r>
    </w:p>
    <w:p>
      <w:pPr>
        <w:pStyle w:val="2"/>
      </w:pPr>
      <w:r>
        <w:t>1.2 架构状态</w:t>
      </w:r>
    </w:p>
    <w:p>
      <w:r>
        <w:t>ARC-A（模块化单体、端口适配与持久化异步任务）仅为当前候选；最终拆分粒度、异步一致性和部署编排仍须由后续 ADR 及人工决策确认。</w:t>
      </w:r>
    </w:p>
    <w:p>
      <w:pPr>
        <w:pStyle w:val="1"/>
      </w:pPr>
      <w:r>
        <w:t>2 技术架构</w:t>
      </w:r>
    </w:p>
    <w:p>
      <w:r>
        <w:t>整体分层关系见表 2-1。渠道经统一 API 边界调用领域模块；领域模块拥有业务规则和写入责任，外部平台只经独立适配端口访问。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层次</w:t>
            </w:r>
          </w:p>
        </w:tc>
        <w:tc>
          <w:tcPr>
            <w:tcW w:type="dxa" w:w="4513"/>
          </w:tcPr>
          <w:p>
            <w:r>
              <w:t>设计元素</w:t>
            </w:r>
          </w:p>
        </w:tc>
      </w:tr>
      <w:tr>
        <w:tc>
          <w:tcPr>
            <w:tcW w:type="dxa" w:w="4513"/>
          </w:tcPr>
          <w:p>
            <w:r>
              <w:t>渠道层</w:t>
            </w:r>
          </w:p>
        </w:tc>
        <w:tc>
          <w:tcPr>
            <w:tcW w:type="dxa" w:w="4513"/>
          </w:tcPr>
          <w:p>
            <w:r>
              <w:t>Web、大屏、H5；均经统一 API</w:t>
            </w:r>
          </w:p>
        </w:tc>
      </w:tr>
      <w:tr>
        <w:tc>
          <w:tcPr>
            <w:tcW w:type="dxa" w:w="4513"/>
          </w:tcPr>
          <w:p>
            <w:r>
              <w:t>业务层</w:t>
            </w:r>
          </w:p>
        </w:tc>
        <w:tc>
          <w:tcPr>
            <w:tcW w:type="dxa" w:w="4513"/>
          </w:tcPr>
          <w:p>
            <w:r>
              <w:t>MOD-PLAN、EVENT、TASK、RESOURCE、DUTY、DRILL、KNOWLEDGE</w:t>
            </w:r>
          </w:p>
        </w:tc>
      </w:tr>
      <w:tr>
        <w:tc>
          <w:tcPr>
            <w:tcW w:type="dxa" w:w="4513"/>
          </w:tcPr>
          <w:p>
            <w:r>
              <w:t>投影与适配层</w:t>
            </w:r>
          </w:p>
        </w:tc>
        <w:tc>
          <w:tcPr>
            <w:tcW w:type="dxa" w:w="4513"/>
          </w:tcPr>
          <w:p>
            <w:r>
              <w:t>MOD-SITUATION 只读投影；MOD-INTEGRATION 独立外部端口</w:t>
            </w:r>
          </w:p>
        </w:tc>
      </w:tr>
      <w:tr>
        <w:tc>
          <w:tcPr>
            <w:tcW w:type="dxa" w:w="4513"/>
          </w:tcPr>
          <w:p>
            <w:r>
              <w:t>公共能力层</w:t>
            </w:r>
          </w:p>
        </w:tc>
        <w:tc>
          <w:tcPr>
            <w:tcW w:type="dxa" w:w="4513"/>
          </w:tcPr>
          <w:p>
            <w:r>
              <w:t>MOD-PLATFORM：鉴权上下文、traceId、审计、幂等、错误、健康检查</w:t>
            </w:r>
          </w:p>
        </w:tc>
      </w:tr>
    </w:tbl>
    <w:p>
      <w:pPr>
        <w:jc w:val="center"/>
      </w:pPr>
      <w:r>
        <w:t>表 2-1 逻辑技术架构分层</w:t>
      </w:r>
    </w:p>
    <w:p>
      <w:pPr>
        <w:pStyle w:val="2"/>
      </w:pPr>
      <w:r>
        <w:t>2.1 模块职责与依赖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模块</w:t>
            </w:r>
          </w:p>
        </w:tc>
        <w:tc>
          <w:tcPr>
            <w:tcW w:type="dxa" w:w="4513"/>
          </w:tcPr>
          <w:p>
            <w:r>
              <w:t>主责与依赖</w:t>
            </w:r>
          </w:p>
        </w:tc>
      </w:tr>
      <w:tr>
        <w:tc>
          <w:tcPr>
            <w:tcW w:type="dxa" w:w="4513"/>
          </w:tcPr>
          <w:p>
            <w:r>
              <w:t>MOD-PLAN</w:t>
            </w:r>
          </w:p>
        </w:tc>
        <w:tc>
          <w:tcPr>
            <w:tcW w:type="dxa" w:w="4513"/>
          </w:tcPr>
          <w:p>
            <w:r>
              <w:t>预案、版本、流程/任务模板；依赖中台工作流与文件</w:t>
            </w:r>
          </w:p>
        </w:tc>
      </w:tr>
      <w:tr>
        <w:tc>
          <w:tcPr>
            <w:tcW w:type="dxa" w:w="4513"/>
          </w:tcPr>
          <w:p>
            <w:r>
              <w:t>MOD-EVENT</w:t>
            </w:r>
          </w:p>
        </w:tc>
        <w:tc>
          <w:tcPr>
            <w:tcW w:type="dxa" w:w="4513"/>
          </w:tcPr>
          <w:p>
            <w:r>
              <w:t>事件、续报、核实、关闭；依赖预案、任务、IoT</w:t>
            </w:r>
          </w:p>
        </w:tc>
      </w:tr>
      <w:tr>
        <w:tc>
          <w:tcPr>
            <w:tcW w:type="dxa" w:w="4513"/>
          </w:tcPr>
          <w:p>
            <w:r>
              <w:t>MOD-TASK</w:t>
            </w:r>
          </w:p>
        </w:tc>
        <w:tc>
          <w:tcPr>
            <w:tcW w:type="dxa" w:w="4513"/>
          </w:tcPr>
          <w:p>
            <w:r>
              <w:t>任务快照、派发、反馈、回执补偿；依赖消息与组织权限</w:t>
            </w:r>
          </w:p>
        </w:tc>
      </w:tr>
      <w:tr>
        <w:tc>
          <w:tcPr>
            <w:tcW w:type="dxa" w:w="4513"/>
          </w:tcPr>
          <w:p>
            <w:r>
              <w:t>MOD-SITUATION</w:t>
            </w:r>
          </w:p>
        </w:tc>
        <w:tc>
          <w:tcPr>
            <w:tcW w:type="dxa" w:w="4513"/>
          </w:tcPr>
          <w:p>
            <w:r>
              <w:t>可重建态势读投影；依赖事件、资源、任务及地图/视频</w:t>
            </w:r>
          </w:p>
        </w:tc>
      </w:tr>
      <w:tr>
        <w:tc>
          <w:tcPr>
            <w:tcW w:type="dxa" w:w="4513"/>
          </w:tcPr>
          <w:p>
            <w:r>
              <w:t>MOD-RESOURCE</w:t>
            </w:r>
          </w:p>
        </w:tc>
        <w:tc>
          <w:tcPr>
            <w:tcW w:type="dxa" w:w="4513"/>
          </w:tcPr>
          <w:p>
            <w:r>
              <w:t>人员、物资、盘点快照/差异；依赖地图、组织、文件</w:t>
            </w:r>
          </w:p>
        </w:tc>
      </w:tr>
      <w:tr>
        <w:tc>
          <w:tcPr>
            <w:tcW w:type="dxa" w:w="4513"/>
          </w:tcPr>
          <w:p>
            <w:r>
              <w:t>MOD-DUTY / MOD-DRILL / MOD-KNOWLEDGE</w:t>
            </w:r>
          </w:p>
        </w:tc>
        <w:tc>
          <w:tcPr>
            <w:tcW w:type="dxa" w:w="4513"/>
          </w:tcPr>
          <w:p>
            <w:r>
              <w:t>值班打卡、演练评估、知识检索；分别依赖地图/消息/文件</w:t>
            </w:r>
          </w:p>
        </w:tc>
      </w:tr>
      <w:tr>
        <w:tc>
          <w:tcPr>
            <w:tcW w:type="dxa" w:w="4513"/>
          </w:tcPr>
          <w:p>
            <w:r>
              <w:t>MOD-MOBILE / MOD-INTEGRATION / MOD-PLATFORM</w:t>
            </w:r>
          </w:p>
        </w:tc>
        <w:tc>
          <w:tcPr>
            <w:tcW w:type="dxa" w:w="4513"/>
          </w:tcPr>
          <w:p>
            <w:r>
              <w:t>H5 渠道、外部适配、统一 API/审计/幂等/健康检查</w:t>
            </w:r>
          </w:p>
        </w:tc>
      </w:tr>
    </w:tbl>
    <w:p>
      <w:pPr>
        <w:jc w:val="center"/>
      </w:pPr>
      <w:r>
        <w:t>表 2-2 模块职责与依赖</w:t>
      </w:r>
    </w:p>
    <w:p>
      <w:pPr>
        <w:pStyle w:val="1"/>
      </w:pPr>
      <w:r>
        <w:t>3 数据架构</w:t>
      </w:r>
    </w:p>
    <w:p>
      <w:r>
        <w:t>数据按领域模块唯一写入。事件、任务、资源、值班、演练、知识及审计保留业务编号、外部标识、traceId 和多时间语义。MOD-SITUATION 仅维护可重建投影，不能反向成为事实源。物理模型留待 G3-04。</w:t>
      </w:r>
    </w:p>
    <w:p>
      <w:pPr>
        <w:pStyle w:val="1"/>
      </w:pPr>
      <w:r>
        <w:t>4 部署架构与故障域</w:t>
      </w:r>
    </w:p>
    <w:p>
      <w:r>
        <w:t>系统部署于甲方内部环境，采用容器制品、配置外置和受控日志。渠道/API、领域业务、外部适配、数据和可观测性为逻辑故障域。建议配置 KN-070—078 尚待容量、网络、存储和恢复验证。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故障域</w:t>
            </w:r>
          </w:p>
        </w:tc>
        <w:tc>
          <w:tcPr>
            <w:tcW w:type="dxa" w:w="4513"/>
          </w:tcPr>
          <w:p>
            <w:r>
              <w:t>隔离与恢复约束</w:t>
            </w:r>
          </w:p>
        </w:tc>
      </w:tr>
      <w:tr>
        <w:tc>
          <w:tcPr>
            <w:tcW w:type="dxa" w:w="4513"/>
          </w:tcPr>
          <w:p>
            <w:r>
              <w:t>外部适配</w:t>
            </w:r>
          </w:p>
        </w:tc>
        <w:tc>
          <w:tcPr>
            <w:tcW w:type="dxa" w:w="4513"/>
          </w:tcPr>
          <w:p>
            <w:r>
              <w:t>超时/失败不回滚已提交业务；有限重试、审计和人工降级</w:t>
            </w:r>
          </w:p>
        </w:tc>
      </w:tr>
      <w:tr>
        <w:tc>
          <w:tcPr>
            <w:tcW w:type="dxa" w:w="4513"/>
          </w:tcPr>
          <w:p>
            <w:r>
              <w:t>领域业务</w:t>
            </w:r>
          </w:p>
        </w:tc>
        <w:tc>
          <w:tcPr>
            <w:tcW w:type="dxa" w:w="4513"/>
          </w:tcPr>
          <w:p>
            <w:r>
              <w:t>先持久化业务状态，再派生通知、外部调用和读投影</w:t>
            </w:r>
          </w:p>
        </w:tc>
      </w:tr>
      <w:tr>
        <w:tc>
          <w:tcPr>
            <w:tcW w:type="dxa" w:w="4513"/>
          </w:tcPr>
          <w:p>
            <w:r>
              <w:t>控制调用</w:t>
            </w:r>
          </w:p>
        </w:tc>
        <w:tc>
          <w:tcPr>
            <w:tcW w:type="dxa" w:w="4513"/>
          </w:tcPr>
          <w:p>
            <w:r>
              <w:t>授权、二次确认、单次下发、回执对账；不自动重放</w:t>
            </w:r>
          </w:p>
        </w:tc>
      </w:tr>
      <w:tr>
        <w:tc>
          <w:tcPr>
            <w:tcW w:type="dxa" w:w="4513"/>
          </w:tcPr>
          <w:p>
            <w:r>
              <w:t>数据与可观测性</w:t>
            </w:r>
          </w:p>
        </w:tc>
        <w:tc>
          <w:tcPr>
            <w:tcW w:type="dxa" w:w="4513"/>
          </w:tcPr>
          <w:p>
            <w:r>
              <w:t>健康检查、关联日志、备份恢复演练和干净环境部署作为后续验证输入</w:t>
            </w:r>
          </w:p>
        </w:tc>
      </w:tr>
    </w:tbl>
    <w:p>
      <w:pPr>
        <w:jc w:val="center"/>
      </w:pPr>
      <w:r>
        <w:t>表 4-1 部署故障域与恢复约束</w:t>
      </w:r>
    </w:p>
    <w:p>
      <w:pPr>
        <w:pStyle w:val="1"/>
      </w:pPr>
      <w:r>
        <w:t>5 外部边界与主要 NFR</w:t>
      </w:r>
    </w:p>
    <w:p>
      <w:r>
        <w:t>EXT-VIDEO、EXT-PUBLISH、EXT-INTRUSION、EXT-ACCESS、EXT-FIRE、EXT-IOT、EXT-MIDDLE、EXT-MESSAGE 保持独立语义。甲方提供既有能力、账号、协议和测试环境；本系统负责业务适配、关联、审计和失败处理。</w:t>
      </w:r>
    </w:p>
    <w:p>
      <w:r>
        <w:t>ISSUE-G3-01-001 仍为 OPEN：视频/消息字段、认证、回执和性能未验证，接口不冻结且不得宣称连通。KN-064 以同一 traceId/eventId 验证视频、信息发布、物联网、中台的正常、无权、超时/失败联动。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设计预算</w:t>
            </w:r>
          </w:p>
        </w:tc>
        <w:tc>
          <w:tcPr>
            <w:tcW w:type="dxa" w:w="4513"/>
          </w:tcPr>
          <w:p>
            <w:r>
              <w:t>约束（待测）</w:t>
            </w:r>
          </w:p>
        </w:tc>
      </w:tr>
      <w:tr>
        <w:tc>
          <w:tcPr>
            <w:tcW w:type="dxa" w:w="4513"/>
          </w:tcPr>
          <w:p>
            <w:r>
              <w:t>时效</w:t>
            </w:r>
          </w:p>
        </w:tc>
        <w:tc>
          <w:tcPr>
            <w:tcW w:type="dxa" w:w="4513"/>
          </w:tcPr>
          <w:p>
            <w:r>
              <w:t>预案下发≤3秒；告警接入≤2秒；定位≤2秒；视频首帧≤3秒</w:t>
            </w:r>
          </w:p>
        </w:tc>
      </w:tr>
      <w:tr>
        <w:tc>
          <w:tcPr>
            <w:tcW w:type="dxa" w:w="4513"/>
          </w:tcPr>
          <w:p>
            <w:r>
              <w:t>性能容量</w:t>
            </w:r>
          </w:p>
        </w:tc>
        <w:tc>
          <w:tcPr>
            <w:tcW w:type="dxa" w:w="4513"/>
          </w:tcPr>
          <w:p>
            <w:r>
              <w:t>95%页面≤3秒；峰值≥100人；事件/任务在线≥10年、≥2万/20万</w:t>
            </w:r>
          </w:p>
        </w:tc>
      </w:tr>
      <w:tr>
        <w:tc>
          <w:tcPr>
            <w:tcW w:type="dxa" w:w="4513"/>
          </w:tcPr>
          <w:p>
            <w:r>
              <w:t>可靠性安全</w:t>
            </w:r>
          </w:p>
        </w:tc>
        <w:tc>
          <w:tcPr>
            <w:tcW w:type="dxa" w:w="4513"/>
          </w:tcPr>
          <w:p>
            <w:r>
              <w:t>7×24；试运行≥99.5%；MTTR≤2小时；审计≥180天；高危漏洞0</w:t>
            </w:r>
          </w:p>
        </w:tc>
      </w:tr>
      <w:tr>
        <w:tc>
          <w:tcPr>
            <w:tcW w:type="dxa" w:w="4513"/>
          </w:tcPr>
          <w:p>
            <w:r>
              <w:t>部署</w:t>
            </w:r>
          </w:p>
        </w:tc>
        <w:tc>
          <w:tcPr>
            <w:tcW w:type="dxa" w:w="4513"/>
          </w:tcPr>
          <w:p>
            <w:r>
              <w:t>甲方内网私有化；干净环境一次成功且≤2小时</w:t>
            </w:r>
          </w:p>
        </w:tc>
      </w:tr>
    </w:tbl>
    <w:p>
      <w:pPr>
        <w:jc w:val="center"/>
      </w:pPr>
      <w:r>
        <w:t>表 5-1 主要非功能设计预算</w:t>
      </w:r>
    </w:p>
    <w:p>
      <w:pPr>
        <w:pStyle w:val="1"/>
      </w:pPr>
      <w:r>
        <w:t>6 需求与设计追踪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设计元素</w:t>
            </w:r>
          </w:p>
        </w:tc>
        <w:tc>
          <w:tcPr>
            <w:tcW w:type="dxa" w:w="3009"/>
          </w:tcPr>
          <w:p>
            <w:r>
              <w:t>需求/AC 锚点</w:t>
            </w:r>
          </w:p>
        </w:tc>
        <w:tc>
          <w:tcPr>
            <w:tcW w:type="dxa" w:w="3009"/>
          </w:tcPr>
          <w:p>
            <w:r>
              <w:t>后续挂接</w:t>
            </w:r>
          </w:p>
        </w:tc>
      </w:tr>
      <w:tr>
        <w:tc>
          <w:tcPr>
            <w:tcW w:type="dxa" w:w="3009"/>
          </w:tcPr>
          <w:p>
            <w:r>
              <w:t>ARCH-01 统一 API 边界</w:t>
            </w:r>
          </w:p>
        </w:tc>
        <w:tc>
          <w:tcPr>
            <w:tcW w:type="dxa" w:w="3009"/>
          </w:tcPr>
          <w:p>
            <w:r>
              <w:t>AC-G2-FR-013-01、013-03</w:t>
            </w:r>
          </w:p>
        </w:tc>
        <w:tc>
          <w:tcPr>
            <w:tcW w:type="dxa" w:w="3009"/>
          </w:tcPr>
          <w:p>
            <w:r>
              <w:t>G3-06/G3-08</w:t>
            </w:r>
          </w:p>
        </w:tc>
      </w:tr>
      <w:tr>
        <w:tc>
          <w:tcPr>
            <w:tcW w:type="dxa" w:w="3009"/>
          </w:tcPr>
          <w:p>
            <w:r>
              <w:t>ARCH-02 事件任务编排</w:t>
            </w:r>
          </w:p>
        </w:tc>
        <w:tc>
          <w:tcPr>
            <w:tcW w:type="dxa" w:w="3009"/>
          </w:tcPr>
          <w:p>
            <w:r>
              <w:t>AC-G2-FR-003-01、014-01、015-01</w:t>
            </w:r>
          </w:p>
        </w:tc>
        <w:tc>
          <w:tcPr>
            <w:tcW w:type="dxa" w:w="3009"/>
          </w:tcPr>
          <w:p>
            <w:r>
              <w:t>G3-05/G3-08</w:t>
            </w:r>
          </w:p>
        </w:tc>
      </w:tr>
      <w:tr>
        <w:tc>
          <w:tcPr>
            <w:tcW w:type="dxa" w:w="3009"/>
          </w:tcPr>
          <w:p>
            <w:r>
              <w:t>ARCH-03 资源与快照</w:t>
            </w:r>
          </w:p>
        </w:tc>
        <w:tc>
          <w:tcPr>
            <w:tcW w:type="dxa" w:w="3009"/>
          </w:tcPr>
          <w:p>
            <w:r>
              <w:t>AC-G2-FR-009-01、025-02</w:t>
            </w:r>
          </w:p>
        </w:tc>
        <w:tc>
          <w:tcPr>
            <w:tcW w:type="dxa" w:w="3009"/>
          </w:tcPr>
          <w:p>
            <w:r>
              <w:t>G3-04/G3-08</w:t>
            </w:r>
          </w:p>
        </w:tc>
      </w:tr>
      <w:tr>
        <w:tc>
          <w:tcPr>
            <w:tcW w:type="dxa" w:w="3009"/>
          </w:tcPr>
          <w:p>
            <w:r>
              <w:t>ARCH-04 外部端口与降级</w:t>
            </w:r>
          </w:p>
        </w:tc>
        <w:tc>
          <w:tcPr>
            <w:tcW w:type="dxa" w:w="3009"/>
          </w:tcPr>
          <w:p>
            <w:r>
              <w:t>AC-G2-FR-006-01、020-02、027-01、029-03</w:t>
            </w:r>
          </w:p>
        </w:tc>
        <w:tc>
          <w:tcPr>
            <w:tcW w:type="dxa" w:w="3009"/>
          </w:tcPr>
          <w:p>
            <w:r>
              <w:t>G3-06/G3-08</w:t>
            </w:r>
          </w:p>
        </w:tc>
      </w:tr>
      <w:tr>
        <w:tc>
          <w:tcPr>
            <w:tcW w:type="dxa" w:w="3009"/>
          </w:tcPr>
          <w:p>
            <w:r>
              <w:t>ARCH-05 联动与可观测性</w:t>
            </w:r>
          </w:p>
        </w:tc>
        <w:tc>
          <w:tcPr>
            <w:tcW w:type="dxa" w:w="3009"/>
          </w:tcPr>
          <w:p>
            <w:r>
              <w:t>AC-G2-FR-006-01、027-01；KN-064</w:t>
            </w:r>
          </w:p>
        </w:tc>
        <w:tc>
          <w:tcPr>
            <w:tcW w:type="dxa" w:w="3009"/>
          </w:tcPr>
          <w:p>
            <w:r>
              <w:t>G3-08/G3-09</w:t>
            </w:r>
          </w:p>
        </w:tc>
      </w:tr>
    </w:tbl>
    <w:p>
      <w:pPr>
        <w:jc w:val="center"/>
      </w:pPr>
      <w:r>
        <w:t>表 6-1 需求与设计元素追踪</w:t>
      </w:r>
    </w:p>
    <w:p>
      <w:r>
        <w:t>G3-08 将完成39条 FR、34条★FR、117条 AC 的双向设计挂接；本表不替代 RTM。</w:t>
      </w:r>
    </w:p>
    <w:p>
      <w:pPr>
        <w:pStyle w:val="1"/>
      </w:pPr>
      <w:r>
        <w:t>7 设计限制与后续输入</w:t>
      </w:r>
    </w:p>
    <w:p>
      <w:r>
        <w:t>本概要设计不替代后续 DBD、DLD、接口说明书、OpenAPI、ADR 或测试计划。任何外部字段、部署资源、坐标体系和中台能力未有受控证据时，标记【待人工确认】并按 Issue/变更流程处理。</w:t>
      </w:r>
    </w:p>
    <w:sectPr w:rsidR="00853D15" w:rsidRPr="00FD0B90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A13EB" w14:textId="77777777" w:rsidR="00975574" w:rsidRDefault="00975574">
      <w:r>
        <w:separator/>
      </w:r>
    </w:p>
  </w:endnote>
  <w:endnote w:type="continuationSeparator" w:id="0">
    <w:p w14:paraId="2AAAA410" w14:textId="77777777" w:rsidR="00975574" w:rsidRDefault="00975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22BD9" w14:textId="77777777" w:rsidR="00853D15" w:rsidRDefault="00B5769A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1A778D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28679" w14:textId="77777777" w:rsidR="00975574" w:rsidRDefault="00975574">
      <w:r>
        <w:separator/>
      </w:r>
    </w:p>
  </w:footnote>
  <w:footnote w:type="continuationSeparator" w:id="0">
    <w:p w14:paraId="5732812B" w14:textId="77777777" w:rsidR="00975574" w:rsidRDefault="00975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95325"/>
    <w:multiLevelType w:val="hybridMultilevel"/>
    <w:tmpl w:val="EFE27114"/>
    <w:lvl w:ilvl="0" w:tplc="0409000B">
      <w:start w:val="1"/>
      <w:numFmt w:val="bullet"/>
      <w:lvlText w:val="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49F74CC0"/>
    <w:multiLevelType w:val="hybridMultilevel"/>
    <w:tmpl w:val="6E949C6A"/>
    <w:lvl w:ilvl="0" w:tplc="143CAB2E">
      <w:start w:val="1"/>
      <w:numFmt w:val="bullet"/>
      <w:lvlText w:val="●"/>
      <w:lvlJc w:val="left"/>
      <w:pPr>
        <w:ind w:left="720" w:hanging="360"/>
      </w:pPr>
    </w:lvl>
    <w:lvl w:ilvl="1" w:tplc="8F589C9E">
      <w:start w:val="1"/>
      <w:numFmt w:val="bullet"/>
      <w:lvlText w:val="○"/>
      <w:lvlJc w:val="left"/>
      <w:pPr>
        <w:ind w:left="1440" w:hanging="360"/>
      </w:pPr>
    </w:lvl>
    <w:lvl w:ilvl="2" w:tplc="C11A7EDA">
      <w:start w:val="1"/>
      <w:numFmt w:val="bullet"/>
      <w:lvlText w:val="■"/>
      <w:lvlJc w:val="left"/>
      <w:pPr>
        <w:ind w:left="2160" w:hanging="360"/>
      </w:pPr>
    </w:lvl>
    <w:lvl w:ilvl="3" w:tplc="025CDC9E">
      <w:start w:val="1"/>
      <w:numFmt w:val="bullet"/>
      <w:lvlText w:val="●"/>
      <w:lvlJc w:val="left"/>
      <w:pPr>
        <w:ind w:left="2880" w:hanging="360"/>
      </w:pPr>
    </w:lvl>
    <w:lvl w:ilvl="4" w:tplc="1264FABA">
      <w:start w:val="1"/>
      <w:numFmt w:val="bullet"/>
      <w:lvlText w:val="○"/>
      <w:lvlJc w:val="left"/>
      <w:pPr>
        <w:ind w:left="3600" w:hanging="360"/>
      </w:pPr>
    </w:lvl>
    <w:lvl w:ilvl="5" w:tplc="4A3E8D7E">
      <w:start w:val="1"/>
      <w:numFmt w:val="bullet"/>
      <w:lvlText w:val="■"/>
      <w:lvlJc w:val="left"/>
      <w:pPr>
        <w:ind w:left="4320" w:hanging="360"/>
      </w:pPr>
    </w:lvl>
    <w:lvl w:ilvl="6" w:tplc="8204540C">
      <w:start w:val="1"/>
      <w:numFmt w:val="bullet"/>
      <w:lvlText w:val="●"/>
      <w:lvlJc w:val="left"/>
      <w:pPr>
        <w:ind w:left="5040" w:hanging="360"/>
      </w:pPr>
    </w:lvl>
    <w:lvl w:ilvl="7" w:tplc="D7207778">
      <w:start w:val="1"/>
      <w:numFmt w:val="bullet"/>
      <w:lvlText w:val="●"/>
      <w:lvlJc w:val="left"/>
      <w:pPr>
        <w:ind w:left="5760" w:hanging="360"/>
      </w:pPr>
    </w:lvl>
    <w:lvl w:ilvl="8" w:tplc="BCDA70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A922A0"/>
    <w:multiLevelType w:val="hybridMultilevel"/>
    <w:tmpl w:val="A9442318"/>
    <w:lvl w:ilvl="0" w:tplc="16365776">
      <w:numFmt w:val="bullet"/>
      <w:lvlText w:val="·"/>
      <w:lvlJc w:val="left"/>
      <w:pPr>
        <w:ind w:left="570" w:hanging="360"/>
      </w:pPr>
      <w:rPr>
        <w:rFonts w:ascii="Times New Roman" w:eastAsia="宋体" w:hAnsi="Times New Roman" w:cs="Times New Roman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D15"/>
    <w:rsid w:val="001A778D"/>
    <w:rsid w:val="004A41FA"/>
    <w:rsid w:val="00853D15"/>
    <w:rsid w:val="00975574"/>
    <w:rsid w:val="00B5769A"/>
    <w:rsid w:val="00F07204"/>
    <w:rsid w:val="00FD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0EF66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eastAsia="宋体"/>
    </w:rPr>
  </w:style>
  <w:style w:type="paragraph" w:styleId="1">
    <w:name w:val="heading 1"/>
    <w:uiPriority w:val="9"/>
    <w:qFormat/>
    <w:pPr>
      <w:outlineLvl w:val="0"/>
    </w:pPr>
    <w:rPr>
      <w:rFonts w:ascii="Times New Roman" w:hAnsi="Times New Roman" w:eastAsia="黑体"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rFonts w:ascii="Times New Roman" w:hAnsi="Times New Roman" w:eastAsia="黑体"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rFonts w:ascii="Times New Roman" w:hAnsi="Times New Roman" w:eastAsia="黑体"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A77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A778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A77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A77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1773</Words>
  <Characters>10109</Characters>
  <Application>Microsoft Office Word</Application>
  <DocSecurity>0</DocSecurity>
  <Lines>84</Lines>
  <Paragraphs>23</Paragraphs>
  <ScaleCrop>false</ScaleCrop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3</cp:revision>
  <dcterms:created xsi:type="dcterms:W3CDTF">2026-08-29T14:22:00Z</dcterms:created>
  <dcterms:modified xsi:type="dcterms:W3CDTF">2026-09-06T14:26:00Z</dcterms:modified>
</cp:coreProperties>
</file>