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>
      <ns0:pPr>
        <ns0:spacing ns0:after="80"/>
        <ns0:jc ns0:val="right"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文档编号：01　　版本号：V0.9</ns0:t>
      </ns0:r>
    </ns0:p>
    <ns0:p>
      <ns0:pPr>
        <ns0:spacing ns0:before="1200"/>
        <ns0:jc ns0:val="right"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文档状态：符合性复核候选稿</ns0:t>
      </ns0:r>
    </ns0:p>
    <ns0:p>
      <ns0:pPr>
        <ns0:spacing ns0:before="2000" ns0:after="360"/>
        <ns0:jc ns0:val="center"/>
        <ns0:pBdr>
          <ns0:bottom ns0:val="single" ns0:sz="12" ns0:space="8" ns0:color="000000"/>
        </ns0:pBdr>
      </ns0:pPr>
      <ns0:r>
        <ns0:rPr>
          <ns0:rFonts ns0:ascii="Arial" ns0:hAnsi="Arial" ns0:eastAsia="黑体"/>
          <ns0:b/>
          <ns0:color ns0:val="000000"/>
          <ns0:sz ns0:val="44"/>
        </ns0:rPr>
        <ns0:t>某自然博物馆智能运营中心建设项目——应急管理子系统</ns0:t>
      </ns0:r>
    </ns0:p>
    <ns0:p>
      <ns0:pPr>
        <ns0:pStyle ns0:val="a3"/>
      </ns0:pPr>
      <ns0:r>
        <ns0:rPr>
          <ns0:rFonts ns0:ascii="Arial" ns0:hAnsi="Arial" ns0:eastAsia="黑体"/>
          <ns0:b/>
          <ns0:color ns0:val="000000"/>
          <ns0:sz ns0:val="56"/>
        </ns0:rPr>
        <ns0:t>项 目 建 议 书</ns0:t>
      </ns0:r>
    </ns0:p>
    <ns0:p>
      <ns0:pPr>
        <ns0:spacing ns0:before="2240" ns0:after="200"/>
      </ns0:pPr>
      <ns0:r>
        <ns0:rPr>
          <ns0:rFonts ns0:ascii="Times New Roman" ns0:hAnsi="Times New Roman" ns0:eastAsia="仿宋"/>
          <ns0:b ns0:val="0"/>
          <ns0:color ns0:val="000000"/>
          <ns0:sz ns0:val="32"/>
        </ns0:rPr>
        <ns0:t>编制单位：项目编制组</ns0:t>
      </ns0:r>
    </ns0:p>
    <ns0:p>
      <ns0:pPr>
        <ns0:spacing ns0:after="200"/>
      </ns0:pPr>
      <ns0:r>
        <ns0:rPr>
          <ns0:rFonts ns0:ascii="Times New Roman" ns0:hAnsi="Times New Roman" ns0:eastAsia="仿宋"/>
          <ns0:b ns0:val="0"/>
          <ns0:color ns0:val="000000"/>
          <ns0:sz ns0:val="32"/>
        </ns0:rPr>
        <ns0:t>编　　制：何思源（项目经理）</ns0:t>
      </ns0:r>
    </ns0:p>
    <ns0:p>
      <ns0:pPr>
        <ns0:spacing ns0:after="200"/>
      </ns0:pPr>
      <ns0:r>
        <ns0:rPr>
          <ns0:rFonts ns0:ascii="Times New Roman" ns0:hAnsi="Times New Roman" ns0:eastAsia="仿宋"/>
          <ns0:b ns0:val="0"/>
          <ns0:color ns0:val="000000"/>
          <ns0:sz ns0:val="32"/>
        </ns0:rPr>
        <ns0:t>复　　核：任俊强（符合性复核）</ns0:t>
      </ns0:r>
    </ns0:p>
    <ns0:p>
      <ns0:pPr>
        <ns0:spacing ns0:after="200"/>
      </ns0:pPr>
      <ns0:r>
        <ns0:rPr>
          <ns0:rFonts ns0:ascii="Times New Roman" ns0:hAnsi="Times New Roman" ns0:eastAsia="仿宋"/>
          <ns0:b ns0:val="0"/>
          <ns0:color ns0:val="000000"/>
          <ns0:sz ns0:val="32"/>
        </ns0:rPr>
        <ns0:t>文档版本：V0.9</ns0:t>
      </ns0:r>
    </ns0:p>
    <ns0:p>
      <ns0:pPr>
        <ns0:spacing ns0:after="200"/>
      </ns0:pPr>
      <ns0:r>
        <ns0:rPr>
          <ns0:rFonts ns0:ascii="Times New Roman" ns0:hAnsi="Times New Roman" ns0:eastAsia="仿宋"/>
          <ns0:b ns0:val="0"/>
          <ns0:color ns0:val="000000"/>
          <ns0:sz ns0:val="32"/>
        </ns0:rPr>
        <ns0:t>编制日期：2026 年 9 月 10 日</ns0:t>
      </ns0:r>
    </ns0:p>
    <ns0:p>
      <ns0:r>
        <ns0:br ns0:type="page"/>
      </ns0:r>
    </ns0:p>
    <ns0:p>
      <ns0:pPr>
        <ns0:spacing ns0:before="120" ns0:after="120"/>
        <ns0:jc ns0:val="center"/>
      </ns0:pPr>
      <ns0:r>
        <ns0:rPr>
          <ns0:rFonts ns0:ascii="Arial" ns0:hAnsi="Arial" ns0:eastAsia="黑体"/>
          <ns0:b/>
          <ns0:color ns0:val="000000"/>
          <ns0:sz ns0:val="24"/>
        </ns0:rPr>
        <ns0:t>修订记录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space="0" ns0:color="7F7F7F"/>
          <ns0:left ns0:val="single" ns0:sz="4" ns0:space="0" ns0:color="7F7F7F"/>
          <ns0:bottom ns0:val="single" ns0:sz="4" ns0:space="0" ns0:color="7F7F7F"/>
          <ns0:right ns0:val="single" ns0:sz="4" ns0:space="0" ns0:color="7F7F7F"/>
          <ns0:insideH ns0:val="single" ns0:sz="4" ns0:space="0" ns0:color="7F7F7F"/>
          <ns0:insideV ns0:val="single" ns0:sz="4" ns0:space="0" ns0:color="7F7F7F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rPr>
          <ns0:tblHeader ns0:val="true"/>
        </ns0:trPr>
        <ns0:tc>
          <ns0:tcPr>
            <ns0:tcW ns0:type="dxa" ns0:w="124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版本</ns0:t>
            </ns0:r>
          </ns0:p>
        </ns0:tc>
        <ns0:tc>
          <ns0:tcPr>
            <ns0:tcW ns0:type="dxa" ns0:w="147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日期</ns0:t>
            </ns0:r>
          </ns0:p>
        </ns0:tc>
        <ns0:tc>
          <ns0:tcPr>
            <ns0:tcW ns0:type="dxa" ns0:w="15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修订章节</ns0:t>
            </ns0:r>
          </ns0:p>
        </ns0:tc>
        <ns0:tc>
          <ns0:tcPr>
            <ns0:tcW ns0:type="dxa" ns0:w="311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修订说明</ns0:t>
            </ns0:r>
          </ns0:p>
        </ns0:tc>
        <ns0:tc>
          <ns0:tcPr>
            <ns0:tcW ns0:type="dxa" ns0:w="1655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编制/修订人</ns0:t>
            </ns0:r>
          </ns0:p>
        </ns0:tc>
      </ns0:tr>
      <ns0:tr>
        <ns0:tc>
          <ns0:tcPr>
            <ns0:tcW ns0:type="dxa" ns0:w="124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V0.1</ns0:t>
            </ns0:r>
          </ns0:p>
        </ns0:tc>
        <ns0:tc>
          <ns0:tcPr>
            <ns0:tcW ns0:type="dxa" ns0:w="147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2026-09-10</ns0:t>
            </ns0:r>
          </ns0:p>
        </ns0:tc>
        <ns0:tc>
          <ns0:tcPr>
            <ns0:tcW ns0:type="dxa" ns0:w="15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全部</ns0:t>
            </ns0:r>
          </ns0:p>
        </ns0:tc>
        <ns0:tc>
          <ns0:tcPr>
            <ns0:tcW ns0:type="dxa" ns0:w="311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基于冻结编标输入形成项目建议书工作稿。</ns0:t>
            </ns0:r>
          </ns0:p>
        </ns0:tc>
        <ns0:tc>
          <ns0:tcPr>
            <ns0:tcW ns0:type="dxa" ns0:w="1655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何思源</ns0:t>
            </ns0:r>
          </ns0:p>
        </ns0:tc>
      </ns0:tr>
      <ns0:tr>
        <ns0:tc>
          <ns0:tcPr>
            <ns0:tcW ns0:type="dxa" ns0:w="124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V0.2</ns0:t>
            </ns0:r>
          </ns0:p>
        </ns0:tc>
        <ns0:tc>
          <ns0:tcPr>
            <ns0:tcW ns0:type="dxa" ns0:w="147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2026-09-10</ns0:t>
            </ns0:r>
          </ns0:p>
        </ns0:tc>
        <ns0:tc>
          <ns0:tcPr>
            <ns0:tcW ns0:type="dxa" ns0:w="15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状态、3.1、3.3、7</ns0:t>
            </ns0:r>
          </ns0:p>
        </ns0:tc>
        <ns0:tc>
          <ns0:tcPr>
            <ns0:tcW ns0:type="dxa" ns0:w="311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明确课程模拟澄清边界，采用总体技术方案 V0.6 稳定结论，并按教学样例重新排版。</ns0:t>
            </ns0:r>
          </ns0:p>
        </ns0:tc>
        <ns0:tc>
          <ns0:tcPr>
            <ns0:tcW ns0:type="dxa" ns0:w="1655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何思源</ns0:t>
            </ns0:r>
          </ns0:p>
        </ns0:tc>
      </ns0:tr>
    </ns0:tbl>
    <ns0:p>
      <ns0:r>
        <ns0:br ns0:type="page"/>
      </ns0:r>
    </ns0:p>
    <ns0:p>
      <ns0:pPr>
        <ns0:pStyle ns0:val="1"/>
      </ns0:pPr>
      <ns0:r>
        <ns0:t>1 项目背景与问题理解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某自然博物馆具有展厅、藏品库房、公共区域及配套功能区，是兼具观众人员密集与不可再生文物藏品保护责任的公共场所。随着免费开放和节假日、暑期客流增加，社会安全、自然灾害、火灾及运行事故等复合型突发事件的预防与处置，对应急管理的及时性、协同性和可追溯性提出了更高要求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需求书明确指出，当前预案以纸质或分散电子文件为主，启动依赖人工判断与电话通知；现场人员位置、视频和物资等态势难以集中呈现；资源、演练和值班缺少系统化支撑；事件接报、核实、处置、关闭、评估和调查尚未形成全过程闭环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因此，本项目的重点不是重建馆内视频、门禁、消防或物联网等既有基础系统，而是把其已具备的感知、信息与控制能力通过接口纳入应急业务闭环，使日常预案、资源、演练和值班管理能够在突发事件发生时转化为可调用的处置基础。</ns0:t>
      </ns0:r>
    </ns0:p>
    <ns0:p>
      <ns0:pPr>
        <ns0:pStyle ns0:val="1"/>
      </ns0:pPr>
      <ns0:r>
        <ns0:t>2 建设目标与建设内容</ns0:t>
      </ns0:r>
    </ns0:p>
    <ns0:p>
      <ns0:pPr>
        <ns0:pStyle ns0:val="2"/>
      </ns0:pPr>
      <ns0:r>
        <ns0:t>2.1 项目定位与建设目标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项目建设以数字化应急预案为核心、应急指挥中心为枢纽、移动处置为延伸，并与馆内既有安防、视频、物联网及运营中台联动的应急管理子系统，实现事前准备、事发预警、事中处置和事后改进的全流程闭环。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建设目标是形成覆盖全馆的应急预案、应急资源、应急演练、应急事件、应急值班线上闭环管理能力，支撑统一指挥、移动处置、全过程留痕与跨系统协同；以实用实效、平战结合、融合联动、标准规范、安全可靠、开放可扩展六项原则约束建设与交付。</ns0:t>
      </ns0:r>
    </ns0:p>
    <ns0:p>
      <ns0:pPr>
        <ns0:pStyle ns0:val="2"/>
      </ns0:pPr>
      <ns0:r>
        <ns0:t>2.2 建设范围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本项目覆盖以下十一项功能域：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space="0" ns0:color="7F7F7F"/>
          <ns0:left ns0:val="single" ns0:sz="4" ns0:space="0" ns0:color="7F7F7F"/>
          <ns0:bottom ns0:val="single" ns0:sz="4" ns0:space="0" ns0:color="7F7F7F"/>
          <ns0:right ns0:val="single" ns0:sz="4" ns0:space="0" ns0:color="7F7F7F"/>
          <ns0:insideH ns0:val="single" ns0:sz="4" ns0:space="0" ns0:color="7F7F7F"/>
          <ns0:insideV ns0:val="single" ns0:sz="4" ns0:space="0" ns0:color="7F7F7F"/>
        </ns0:tblBorders>
      </ns0:tblPr>
      <ns0:tblGrid>
        <ns0:gridCol ns0:w="3009"/>
        <ns0:gridCol ns0:w="3009"/>
        <ns0:gridCol ns0:w="3009"/>
      </ns0:tblGrid>
      <ns0:tr>
        <ns0:trPr>
          <ns0:tblHeader ns0:val="true"/>
        </ns0:trP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编号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建设内容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建议建设能力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F-01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应急预案管理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预案编制、处置流程、任务预设、通知与附件管理、版本留痕。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F-02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应急指挥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事件救援动态、任务进展、人员位置、视频与物资的一张图协同展示。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F-03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应急资源管理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应急人员、物资站点、物资台账与盘点管理。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F-04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应急演练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演练计划、任务下发、执行、评估与持续改进。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F-05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应急事件管理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接报、核实、预案启动、任务处置、关闭、评估与事故调查闭环。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F-06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应急值班管理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打卡小组、点位、任务、就位统计和异常提醒。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F-07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应急基础管理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类型、站点、模板和核实审批流程等基础配置。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F-08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应急管理移动端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事件、任务、知识库、演练、打卡和物资盘点的移动业务入口。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F-09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应急信息视图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应急事件、监控、流程等信息的图表化展示。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F-10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综合安防视图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安防终端状态和告警信息的集中展示。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F-11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数据接口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与物联网平台、统一业务运行中台、视频监控、信息发布等系统的业务对接。</ns0:t>
            </ns0:r>
          </ns0:p>
        </ns0:tc>
      </ns0:tr>
    </ns0:tbl>
    <ns0:p>
      <ns0:pPr>
        <ns0:spacing ns0:after="40"/>
      </ns0:pP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交付范围包括 Web 端、H5 移动端、数据接口、配套部署、数据初始化、测试、文档、培训、试运行和服务。移动端固定采用 H5 嵌入甲方现有智慧管理 APP：乙方负责 H5 应用、H5 包、业务接口与必要适配，甲方负责宿主 APP、签名与发布。</ns0:t>
      </ns0:r>
    </ns0:p>
    <ns0:p>
      <ns0:pPr>
        <ns0:pStyle ns0:val="2"/>
      </ns0:pPr>
      <ns0:r>
        <ns0:t>2.3 范围边界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视频监控、入侵报警、出入口控制、消防报警、广播、客流统计等既有系统自身建设或改造，以及其前端硬件；应急物资、安防终端、定位基站等实体物资；机房、服务器、网络等基础硬件采购；与政府应急平台的专线联网工程，均不属于本项目建设范围。重新测绘、从零制作三维场景、购买基础地图版权，以及正式第三方等级保护测评服务采购，也不计入默认范围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范围外不等于不集成。本项目仍负责既有系统在本系统范围内的接口适配、联调、容错、验证和软件交付；例如视频历史回放为强制响应项，但录像产生、存储和不低于 30 天保存由既有视频系统负责。</ns0:t>
      </ns0:r>
    </ns0:p>
    <ns0:p>
      <ns0:pPr>
        <ns0:pStyle ns0:val="1"/>
      </ns0:pPr>
      <ns0:r>
        <ns0:t>3 初步总体方案</ns0:t>
      </ns0:r>
    </ns0:p>
    <ns0:p>
      <ns0:pPr>
        <ns0:pStyle ns0:val="2"/>
      </ns0:pPr>
      <ns0:r>
        <ns0:t>3.1 总体思路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依据已完成的 总体技术方案 V0.6 稳定结论，初步总体方案采用展现与接入、应急应用服务、支撑与数据、甲方既有系统与环境之间的分层结构，以应急业务闭环组织 Web、H5、指挥大屏、业务服务、数据能力和外部系统适配。系统部署于甲方私有环境，支持容器化交付和隔离网络环境安装；对外采用标准 REST API 并交付 OpenAPI 3.0 文档，视频接口遵循 GB/T 28181 等已冻结要求。逻辑分层不强制采用大量微服务，具体部署形态应结合甲方资源与运维能力确定，同时保持业务边界、适配边界和数据责任不变。</ns0:t>
      </ns0:r>
    </ns0:p>
    <ns0:p>
      <ns0:pPr>
        <ns0:pStyle ns0:val="2"/>
      </ns0:pPr>
      <ns0:r>
        <ns0:t>3.2 业务闭环与融合方式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事件发现或上报 → 核实审批 → 预案启动 → 通知与任务下发 → 指挥调度 → 移动处置与反馈 → 事件关闭、评估与调查，构成本项目的核心业务闭环。预案、人员、物资、值班、演练、视频、地图与消息能力为该闭环提供日常数据和协同支撑。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既有视频、人员定位、信息发布、入侵报警、出入口控制、消防报警、物联网平台、统一业务运行中台、统一消息/短信平台、地图与空间数据、服务器网络和基础业务数据均由甲方按冻结责任边界提供基础能力、资料、账号、环境或协调窗口；乙方负责本系统的软件建设及逐接口适配、联调、容错、降级、验证与交付。</ns0:t>
      </ns0:r>
    </ns0:p>
    <ns0:p>
      <ns0:pPr>
        <ns0:pStyle ns0:val="2"/>
      </ns0:pPr>
      <ns0:r>
        <ns0:t>3.3 关键约束响应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>视频历史回放按强制要求响应，乙方不新建录像存储系统。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>人员定位由甲方提供源数据和验收能力，乙方负责接入、关联、映射、展示和刷新，不降低源精度。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>疏散门禁联动按“应支持”响应，由授权人员确认后执行，服从既有安全联锁；失败时告警并转人工处置或降级。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>统一中台的身份、组织、权限、消息、工作流、文件、门户和数据汇聚等通用能力由甲方既有平台提供，乙方不重复建设。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本建议书所称 12 项澄清，均为甲方/招标人（课程模拟）就本课程模拟项目形成的书面裁决。其作用是解决课程模拟中的需求歧义，并作为当前编标基线 的解释依据；这些裁决不代表真实甲方出具的正式法律文件。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以上仅明确已冻结的业务与责任边界，不构成对具体技术产品或实现方式的预先承诺。</ns0:t>
      </ns0:r>
    </ns0:p>
    <ns0:p>
      <ns0:pPr>
        <ns0:pStyle ns0:val="1"/>
      </ns0:pPr>
      <ns0:r>
        <ns0:t>4 初步实施思路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项目按原始用户需求书的 M1 需求确认、M2 设计评审、M3 初验、M4 试运行、M5 竣工验收等正式里程碑执行，具体 WBS、资源安排与内部排期由 后续项目计划 展开。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建议在需求确认和设计阶段同步落实接口资料、测试账号、联调环境、地图与基础数据、部署条件等前置资源。视频监控和统一消息通道须在 M2 设计评审前完成连通性验证。数据初始化由甲方提供并确认真实业务源数据，乙方完成模板、映射、清洗、转换、导入和技术校验，最终成果由双方确认。</ns0:t>
      </ns0:r>
    </ns0:p>
    <ns0:p>
      <ns0:pPr>
        <ns0:pStyle ns0:val="1"/>
      </ns0:pPr>
      <ns0:r>
        <ns0:t>5 项目价值与可行性分析</ns0:t>
      </ns0:r>
    </ns0:p>
    <ns0:p>
      <ns0:pPr>
        <ns0:pStyle ns0:val="2"/>
      </ns0:pPr>
      <ns0:r>
        <ns0:t>5.1 预期业务价值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/>
          <ns0:color ns0:val="000000"/>
          <ns0:sz ns0:val="24"/>
        </ns0:rPr>
        <ns0:t>应急响应价值。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 将预案启动、通知、任务下发、现场反馈和关闭评估连成可追踪的流程，降低依赖分散记录和逐级电话协调带来的信息断点。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/>
          <ns0:color ns0:val="000000"/>
          <ns0:sz ns0:val="24"/>
        </ns0:rPr>
        <ns0:t>指挥协同价值。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 围绕事件发生地汇聚人员、视频、物资和任务进展，为指挥人员提供统一态势入口，而不改变既有安防系统的建设责任。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/>
          <ns0:color ns0:val="000000"/>
          <ns0:sz ns0:val="24"/>
        </ns0:rPr>
        <ns0:t>平战结合价值。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 预案维护、资源台账、值班打卡、演练评估等日常工作持续积累可用于事件处置的基础数据和经验。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/>
          <ns0:color ns0:val="000000"/>
          <ns0:sz ns0:val="24"/>
        </ns0:rPr>
        <ns0:t>管理规范与留痕价值。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 事件、任务、审批、反馈、演练、评估与调查的结构化记录，有助于事后复盘、预案修订和持续改进。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本建议书不作无来源的成本节约、效率提升或收益比例承诺。</ns0:t>
      </ns0:r>
    </ns0:p>
    <ns0:p>
      <ns0:pPr>
        <ns0:pStyle ns0:val="2"/>
      </ns0:pPr>
      <ns0:r>
        <ns0:t>5.2 可行性基础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项目具备明确的业务目标、功能范围、验收指标和既有系统融合边界；甲方既有基础系统、私有部署环境、地图与业务数据等外部条件，以及乙方的软件适配、联调和验证责任，均已在基线中明确。实施可行性仍依赖接口资料、账号权限、联调窗口、环境容量与基础数据按计划提供，并应通过后续技术验证、计划与风险管理持续控制。</ns0:t>
      </ns0:r>
    </ns0:p>
    <ns0:p>
      <ns0:pPr>
        <ns0:pStyle ns0:val="1"/>
      </ns0:pPr>
      <ns0:r>
        <ns0:t>6 主要风险及应对思路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space="0" ns0:color="7F7F7F"/>
          <ns0:left ns0:val="single" ns0:sz="4" ns0:space="0" ns0:color="7F7F7F"/>
          <ns0:bottom ns0:val="single" ns0:sz="4" ns0:space="0" ns0:color="7F7F7F"/>
          <ns0:right ns0:val="single" ns0:sz="4" ns0:space="0" ns0:color="7F7F7F"/>
          <ns0:insideH ns0:val="single" ns0:sz="4" ns0:space="0" ns0:color="7F7F7F"/>
          <ns0:insideV ns0:val="single" ns0:sz="4" ns0:space="0" ns0:color="7F7F7F"/>
        </ns0:tblBorders>
      </ns0:tblPr>
      <ns0:tblGrid>
        <ns0:gridCol ns0:w="3009"/>
        <ns0:gridCol ns0:w="3009"/>
        <ns0:gridCol ns0:w="3009"/>
      </ns0:tblGrid>
      <ns0:tr>
        <ns0:trPr>
          <ns0:tblHeader ns0:val="true"/>
        </ns0:trP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风险方向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风险说明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建议应对思路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外部接口与联调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多个既有系统的资料、版本、权限和环境可能影响集成节奏。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由甲方协调接口资料、账号、环境和窗口；乙方逐接口适配验证，视频与消息通道在 M2 前完成连通性验证。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数据与地图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基础业务数据质量、地图格式与坐标兼容性影响初始化和一张图展示。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甲方提供合法数据源并确认业务正确性；乙方完成技术校验，相关差异进入问题和变更流程。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安全与部署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私有环境资源、网络区划和安全责任边界影响部署和验收。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提前明确最低配置、网络/端口和部署方案；乙方落实应用侧安全测试与高危清零，甲方负责基础环境与正式测评组织。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业务协同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门禁等联动须同时满足授权、安全联锁和现场人工处置要求。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按冻结口径设计授权确认、回执、失败告警和人工降级，并在后续技术验证中确认。</ns0:t>
            </ns0:r>
          </ns0:p>
        </ns0:tc>
      </ns0:tr>
    </ns0:tbl>
    <ns0:p>
      <ns0:pPr>
        <ns0:spacing ns0:after="40"/>
      </ns0:pP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本节为初步风险识别；正式风险登记册由 后续风险管理 建立并维护。</ns0:t>
      </ns0:r>
    </ns0:p>
    <ns0:p>
      <ns0:pPr>
        <ns0:pStyle ns0:val="1"/>
      </ns0:pPr>
      <ns0:r>
        <ns0:t>7 结论与建议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本项目围绕博物馆应急准备、指挥调度、移动处置和事后改进的连续业务链建设软件与接口联动能力，建设范围、范围外边界及甲乙双方责任已由 当前编标基线 冻结；其中 12 项澄清属于甲方/招标人（课程模拟）书面裁决，仅用于解释本课程模拟项目的需求歧义和当前编标基线，不作为真实甲方正式法律文件。总体技术方案 已完成并形成 V0.6 稳定技术结论，建议以冻结基线和该技术结论作为后续编标、项目计划、风险登记册及技术投标书整合的依据。</ns0:t>
      </ns0:r>
    </ns0:p>
    <ns0:sectPr ns0:rsidR="00890094">
      <ns0:footerReference ns0:type="default" ns2:id="rId9"/>
      <ns0:pgSz ns0:w="11906" ns0:h="16838"/>
      <ns0:pgMar ns0:top="1440" ns0:right="1440" ns0:bottom="1440" ns0:left="1440" ns0:header="709" ns0:footer="709" ns0:gutter="0"/>
      <ns0:cols ns0:space="720"/>
      <ns0:docGrid ns0:linePitch="36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177281CA" ns2:textId="77777777" ns0:rsidR="007D0A85" ns0:rsidRDefault="007D0A85">
      <ns0:r>
        <ns0:separator/>
      </ns0:r>
    </ns0:p>
  </ns0:endnote>
  <ns0:endnote ns0:type="continuationSeparator" ns0:id="0">
    <ns0:p ns2:paraId="0FC05C6D" ns2:textId="77777777" ns0:rsidR="007D0A85" ns0:rsidRDefault="007D0A85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5EE6C9B2" ns2:textId="77777777" ns0:rsidR="00890094" ns0:rsidRDefault="00211D5A">
    <ns0:pPr>
      <ns0:jc ns0:val="center"/>
    </ns0:pPr>
    <ns0:r>
      <ns0:rPr>
        <ns0:color ns0:val="000000"/>
        <ns0:sz ns0:val="18"/>
        <ns0:szCs ns0:val="18"/>
      </ns0:rPr>
      <ns0:fldChar ns0:fldCharType="begin"/>
    </ns0:r>
    <ns0:r>
      <ns0:rPr>
        <ns0:color ns0:val="000000"/>
        <ns0:sz ns0:val="18"/>
        <ns0:szCs ns0:val="18"/>
      </ns0:rPr>
      <ns0:instrText>PAGE</ns0:instrText>
    </ns0:r>
    <ns0:r>
      <ns0:rPr>
        <ns0:color ns0:val="000000"/>
        <ns0:sz ns0:val="18"/>
        <ns0:szCs ns0:val="18"/>
      </ns0:rPr>
      <ns0:fldChar ns0:fldCharType="separate"/>
    </ns0:r>
    <ns0:r ns0:rsidR="00EC79DE">
      <ns0:rPr>
        <ns0:noProof/>
        <ns0:color ns0:val="000000"/>
        <ns0:sz ns0:val="18"/>
        <ns0:szCs ns0:val="18"/>
      </ns0:rPr>
      <ns0:t>1</ns0:t>
    </ns0:r>
    <ns0:r>
      <ns0:rPr>
        <ns0:color ns0:val="000000"/>
        <ns0:sz ns0:val="18"/>
        <ns0:szCs ns0:val="18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42464029" ns2:textId="77777777" ns0:rsidR="007D0A85" ns0:rsidRDefault="007D0A85">
      <ns0:r>
        <ns0:separator/>
      </ns0:r>
    </ns0:p>
  </ns0:footnote>
  <ns0:footnote ns0:type="continuationSeparator" ns0:id="0">
    <ns0:p ns2:paraId="67347A99" ns2:textId="77777777" ns0:rsidR="007D0A85" ns0:rsidRDefault="007D0A85">
      <ns0:r>
        <ns0:continuationSeparator/>
      </ns0:r>
    </ns0:p>
  </ns0:footnote>
</ns0:footnotes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57425131"/>
    <ns0:multiLevelType ns0:val="hybridMultilevel"/>
    <ns0:tmpl ns0:val="2714A5E8"/>
    <ns0:lvl ns0:ilvl="0" ns0:tplc="329CFE3C">
      <ns0:start ns0:val="1"/>
      <ns0:numFmt ns0:val="bullet"/>
      <ns0:lvlText ns0:val="●"/>
      <ns0:lvlJc ns0:val="left"/>
      <ns0:pPr>
        <ns0:ind ns0:left="720" ns0:hanging="360"/>
      </ns0:pPr>
    </ns0:lvl>
    <ns0:lvl ns0:ilvl="1" ns0:tplc="DFFEBF34">
      <ns0:start ns0:val="1"/>
      <ns0:numFmt ns0:val="bullet"/>
      <ns0:lvlText ns0:val="○"/>
      <ns0:lvlJc ns0:val="left"/>
      <ns0:pPr>
        <ns0:ind ns0:left="1440" ns0:hanging="360"/>
      </ns0:pPr>
    </ns0:lvl>
    <ns0:lvl ns0:ilvl="2" ns0:tplc="CFD478FC">
      <ns0:start ns0:val="1"/>
      <ns0:numFmt ns0:val="bullet"/>
      <ns0:lvlText ns0:val="■"/>
      <ns0:lvlJc ns0:val="left"/>
      <ns0:pPr>
        <ns0:ind ns0:left="2160" ns0:hanging="360"/>
      </ns0:pPr>
    </ns0:lvl>
    <ns0:lvl ns0:ilvl="3" ns0:tplc="CC5A3E5A">
      <ns0:start ns0:val="1"/>
      <ns0:numFmt ns0:val="bullet"/>
      <ns0:lvlText ns0:val="●"/>
      <ns0:lvlJc ns0:val="left"/>
      <ns0:pPr>
        <ns0:ind ns0:left="2880" ns0:hanging="360"/>
      </ns0:pPr>
    </ns0:lvl>
    <ns0:lvl ns0:ilvl="4" ns0:tplc="5D34EB1C">
      <ns0:start ns0:val="1"/>
      <ns0:numFmt ns0:val="bullet"/>
      <ns0:lvlText ns0:val="○"/>
      <ns0:lvlJc ns0:val="left"/>
      <ns0:pPr>
        <ns0:ind ns0:left="3600" ns0:hanging="360"/>
      </ns0:pPr>
    </ns0:lvl>
    <ns0:lvl ns0:ilvl="5" ns0:tplc="126E534E">
      <ns0:start ns0:val="1"/>
      <ns0:numFmt ns0:val="bullet"/>
      <ns0:lvlText ns0:val="■"/>
      <ns0:lvlJc ns0:val="left"/>
      <ns0:pPr>
        <ns0:ind ns0:left="4320" ns0:hanging="360"/>
      </ns0:pPr>
    </ns0:lvl>
    <ns0:lvl ns0:ilvl="6" ns0:tplc="5B5403DC">
      <ns0:start ns0:val="1"/>
      <ns0:numFmt ns0:val="bullet"/>
      <ns0:lvlText ns0:val="●"/>
      <ns0:lvlJc ns0:val="left"/>
      <ns0:pPr>
        <ns0:ind ns0:left="5040" ns0:hanging="360"/>
      </ns0:pPr>
    </ns0:lvl>
    <ns0:lvl ns0:ilvl="7" ns0:tplc="77988E7E">
      <ns0:start ns0:val="1"/>
      <ns0:numFmt ns0:val="bullet"/>
      <ns0:lvlText ns0:val="●"/>
      <ns0:lvlJc ns0:val="left"/>
      <ns0:pPr>
        <ns0:ind ns0:left="5760" ns0:hanging="360"/>
      </ns0:pPr>
    </ns0:lvl>
    <ns0:lvl ns0:ilvl="8" ns0:tplc="08867A86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890094"/>
    <ns0:rsid ns0:val="00062BCF"/>
    <ns0:rsid ns0:val="00211D5A"/>
    <ns0:rsid ns0:val="004F1AD8"/>
    <ns0:rsid ns0:val="007D0A85"/>
    <ns0:rsid ns0:val="00890094"/>
    <ns0:rsid ns0:val="00EC79DE"/>
    <ns0:rsid ns0:val="00F60EEA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2B156DC0"/>
  <ns6:docId ns6:val="{17884C19-89ED-48A1-A5FD-07816DE26640}"/>
  <ns0:updateFields ns0:val="true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/>
      <ns0:spacing ns0:line="360" ns0:lineRule="auto" ns0:after="100"/>
      <ns0:ind ns0:firstLine="476"/>
      <ns0:jc ns0:val="both"/>
    </ns0:pPr>
    <ns0:rPr>
      <ns0:rFonts ns0:ascii="Times New Roman" ns0:hAnsi="Times New Roman" ns0:eastAsia="宋体"/>
      <ns0:b ns0:val="0"/>
      <ns0:color ns0:val="000000"/>
      <ns0:sz ns0:val="24"/>
    </ns0:rPr>
  </ns0:style>
  <ns0:style ns0:type="paragraph" ns0:styleId="1">
    <ns0:name ns0:val="heading 1"/>
    <ns0:uiPriority ns0:val="9"/>
    <ns0:qFormat/>
    <ns0:pPr>
      <ns0:keepNext/>
      <ns0:widowControl/>
      <ns0:spacing ns0:before="240" ns0:after="160"/>
      <ns0:outlineLvl ns0:val="0"/>
    </ns0:pPr>
    <ns0:rPr>
      <ns0:rFonts ns0:ascii="Arial" ns0:hAnsi="Arial" ns0:eastAsia="黑体"/>
      <ns0:b/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keepNext/>
      <ns0:widowControl/>
      <ns0:spacing ns0:before="200" ns0:after="120"/>
      <ns0:outlineLvl ns0:val="1"/>
    </ns0:pPr>
    <ns0:rPr>
      <ns0:rFonts ns0:ascii="Arial" ns0:hAnsi="Arial" ns0:eastAsia="黑体"/>
      <ns0:b/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keepNext/>
      <ns0:widowControl/>
      <ns0:spacing ns0:before="160" ns0:after="80"/>
      <ns0:outlineLvl ns0:val="2"/>
    </ns0:pPr>
    <ns0:rPr>
      <ns0:rFonts ns0:ascii="Arial" ns0:hAnsi="Arial" ns0:eastAsia="黑体"/>
      <ns0:b/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pPr>
      <ns0:spacing ns0:before="520" ns0:after="200"/>
      <ns0:jc ns0:val="center"/>
    </ns0:pPr>
    <ns0:rPr>
      <ns0:rFonts ns0:ascii="Arial" ns0:hAnsi="Arial" ns0:eastAsia="黑体"/>
      <ns0:b/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pPr>
      <ns0:spacing ns0:line="360" ns0:lineRule="auto" ns0:after="60"/>
      <ns0:ind ns0:left="476" ns0:hanging="238"/>
    </ns0:pPr>
    <ns0:rPr>
      <ns0:rFonts ns0:ascii="Times New Roman" ns0:hAnsi="Times New Roman" ns0:eastAsia="宋体"/>
      <ns0:b ns0:val="0"/>
      <ns0:color ns0:val="000000"/>
      <ns0:sz ns0:val="24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EC79DE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EC79DE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EC79DE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EC79DE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338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某自然博物馆智能运营中心建设项目——应急管理子系统项目建议书</dc:title>
  <dc:creator>项目编制组</dc:creator>
  <cp:lastModifiedBy>项目编制组</cp:lastModifiedBy>
  <cp:revision>3</cp:revision>
  <dcterms:created xsi:type="dcterms:W3CDTF">2026-08-14T14:45:00Z</dcterms:created>
  <dcterms:modified xsi:type="dcterms:W3CDTF">2026-09-06T14:23:00Z</dcterms:modified>
  <dc:subject>项目建议书</dc:subject>
  <cp:keywords/>
  <dc:description/>
</cp:coreProperties>
</file>