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15 w16se w16cid w16 w16cex w16sdtdh wp14">
  <ns0:body>
    <ns0:p>
      <ns0:pPr>
        <ns0:spacing ns0:before="0" ns0:after="60" ns0:line="300" ns0:lineRule="auto"/>
        <ns0:jc ns0:val="right"/>
      </ns0:pPr>
      <ns0:r>
        <ns0:rPr>
          <ns0:rFonts ns0:ascii="宋体" ns0:hAnsi="宋体" ns0:eastAsia="宋体"/>
          <ns0:b ns0:val="0"/>
          <ns0:color ns0:val="000000"/>
          <ns0:sz ns0:val="24"/>
        </ns0:rPr>
        <ns0:t>文档编号：【待人工确认】　　版本号：V1.0</ns0:t>
      </ns0:r>
    </ns0:p>
    <ns0:p>
      <ns0:pPr>
        <ns0:spacing ns0:before="0" ns0:after="900" ns0:line="300" ns0:lineRule="auto"/>
        <ns0:jc ns0:val="right"/>
      </ns0:pPr>
      <ns0:r>
        <ns0:rPr>
          <ns0:rFonts ns0:ascii="宋体" ns0:hAnsi="宋体" ns0:eastAsia="宋体"/>
          <ns0:b ns0:val="0"/>
          <ns0:color ns0:val="000000"/>
          <ns0:sz ns0:val="24"/>
        </ns0:rPr>
        <ns0:t>密　　级：内部</ns0:t>
      </ns0:r>
    </ns0:p>
    <ns0:p>
      <ns0:pPr>
        <ns0:spacing ns0:before="0" ns0:after="20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44"/>
        </ns0:rPr>
        <ns0:t>某自然博物馆智能运营中心建设项目</ns0:t>
      </ns0:r>
    </ns0:p>
    <ns0:p>
      <ns0:pPr>
        <ns0:spacing ns0:before="0" ns0:after="36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44"/>
        </ns0:rPr>
        <ns0:t>应急管理子系统</ns0:t>
      </ns0:r>
    </ns0:p>
    <ns0:p>
      <ns0:pPr>
        <ns0:spacing ns0:before="0" ns0:after="104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56"/>
        </ns0:rPr>
        <ns0:t>风险登记册（v1）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编制单位：项目组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　　制：成员 何思源（项目经理 PM / 总编）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审　　核：成员 任俊强（计划完整性与一致性复核）</ns0:t>
      </ns0:r>
    </ns0:p>
    <ns0:p>
      <ns0:pPr>
        <ns0:spacing ns0:before="0" ns0:after="20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批　　准：【待人工确认】</ns0:t>
      </ns0:r>
    </ns0:p>
    <ns0:p>
      <ns0:pPr>
        <ns0:spacing ns0:before="0" ns0:after="0" ns0:line="300" ns0:lineRule="auto"/>
        <ns0:jc ns0:val="left"/>
      </ns0:pPr>
      <ns0:r>
        <ns0:rPr>
          <ns0:rFonts ns0:ascii="仿宋" ns0:hAnsi="仿宋" ns0:eastAsia="仿宋"/>
          <ns0:b ns0:val="0"/>
          <ns0:color ns0:val="000000"/>
          <ns0:sz ns0:val="32"/>
        </ns0:rPr>
        <ns0:t>编制日期：2026 年 9 月 11 日</ns0:t>
      </ns0:r>
    </ns0:p>
    <ns0:p>
      <ns0:r>
        <ns0:br ns0:type="page"/>
      </ns0:r>
    </ns0:p>
    <ns0:p>
      <ns0:pPr>
        <ns0:spacing ns0:before="0" ns0:after="80" ns0:line="300" ns0:lineRule="auto"/>
        <ns0:jc ns0:val="center"/>
      </ns0:pPr>
      <ns0:r>
        <ns0:rPr>
          <ns0:rFonts ns0:ascii="黑体" ns0:hAnsi="黑体" ns0:eastAsia="黑体"/>
          <ns0:b/>
          <ns0:color ns0:val="000000"/>
          <ns0:sz ns0:val="24"/>
        </ns0:rPr>
        <ns0:t>修订记录</ns0:t>
      </ns0:r>
    </ns0:p>
    <ns0:p>
      <ns0:pPr>
        <ns0:spacing ns0:before="0" ns0:after="100" ns0:line="240" ns0:lineRule="auto"/>
        <ns0:jc ns0:val="left"/>
      </ns0:pPr>
      <ns0:r>
        <ns0:rPr>
          <ns0:rFonts ns0:ascii="宋体" ns0:hAnsi="宋体" ns0:eastAsia="宋体"/>
          <ns0:b ns0:val="0"/>
          <ns0:color ns0:val="000000"/>
          <ns0:sz ns0:val="18"/>
        </ns0:rPr>
        <ns0:t>注：本表记录自初稿以来的全部版本沿革；风险状态、措施和关联证据的后续变化在本登记册版本中保留。</ns0:t>
      </ns0:r>
    </ns0:p>
    <ns0:tbl>
      <ns0:tblPr>
        <ns0:tblW ns0:type="dxa" ns0:w="9009"/>
        <ns0:tblLayout ns0:type="fixed"/>
        <ns0:tblLook ns0:firstColumn="1" ns0:firstRow="1" ns0:lastColumn="0" ns0:lastRow="0" ns0:noHBand="0" ns0:noVBand="1" ns0:val="04A0"/>
        <ns0:tblInd ns0:type="dxa" ns0:w="120"/>
      </ns0:tblPr>
      <ns0:tblGrid>
        <ns0:gridCol ns0:w="1514"/>
        <ns0:gridCol ns0:w="1531"/>
        <ns0:gridCol ns0:w="1480"/>
        <ns0:gridCol ns0:w="3010"/>
        <ns0:gridCol ns0:w="1474"/>
      </ns0:tblGrid>
      <ns0:tr>
        <ns0:trPr>
          <ns0:tblHeader ns0:val="true"/>
        </ns0:trPr>
        <ns0:tc>
          <ns0:tcPr>
            <ns0:tcW ns0:type="dxa" ns0:w="1514"/>
            <ns0:vAlign ns0:val="center"/>
            <ns0:shd ns0:fill="D9E2EC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7"/>
              </ns0:rPr>
              <ns0:t>版本</ns0:t>
            </ns0:r>
          </ns0:p>
        </ns0:tc>
        <ns0:tc>
          <ns0:tcPr>
            <ns0:tcW ns0:type="dxa" ns0:w="1531"/>
            <ns0:vAlign ns0:val="center"/>
            <ns0:shd ns0:fill="D9E2EC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7"/>
              </ns0:rPr>
              <ns0:t>日期</ns0:t>
            </ns0:r>
          </ns0:p>
        </ns0:tc>
        <ns0:tc>
          <ns0:tcPr>
            <ns0:tcW ns0:type="dxa" ns0:w="1480"/>
            <ns0:vAlign ns0:val="center"/>
            <ns0:shd ns0:fill="D9E2EC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7"/>
              </ns0:rPr>
              <ns0:t>修订章节</ns0:t>
            </ns0:r>
          </ns0:p>
        </ns0:tc>
        <ns0:tc>
          <ns0:tcPr>
            <ns0:tcW ns0:type="dxa" ns0:w="3010"/>
            <ns0:vAlign ns0:val="center"/>
            <ns0:shd ns0:fill="D9E2EC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7"/>
              </ns0:rPr>
              <ns0:t>修订说明</ns0:t>
            </ns0:r>
          </ns0:p>
        </ns0:tc>
        <ns0:tc>
          <ns0:tcPr>
            <ns0:tcW ns0:type="dxa" ns0:w="1474"/>
            <ns0:vAlign ns0:val="center"/>
            <ns0:shd ns0:fill="D9E2EC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7"/>
              </ns0:rPr>
              <ns0:t>编制/修订人</ns0:t>
            </ns0:r>
          </ns0:p>
        </ns0:tc>
      </ns0:tr>
      <ns0:tr>
        <ns0:tc>
          <ns0:tcPr>
            <ns0:tcW ns0:type="dxa" ns0:w="151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6"/>
              </ns0:rPr>
              <ns0:t>V1.0</ns0:t>
            </ns0:r>
          </ns0:p>
        </ns0:tc>
        <ns0:tc>
          <ns0:tcPr>
            <ns0:tcW ns0:type="dxa" ns0:w="1531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6"/>
              </ns0:rPr>
              <ns0:t>2026-09-11</ns0:t>
            </ns0:r>
          </ns0:p>
        </ns0:tc>
        <ns0:tc>
          <ns0:tcPr>
            <ns0:tcW ns0:type="dxa" ns0:w="148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6"/>
              </ns0:rPr>
              <ns0:t>全文</ns0:t>
            </ns0:r>
          </ns0:p>
        </ns0:tc>
        <ns0:tc>
          <ns0:tcPr>
            <ns0:tcW ns0:type="dxa" ns0:w="301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6"/>
              </ns0:rPr>
              <ns0:t>基于冻结 Baseline、用户需求书、项目建议书、技术方案及待复核计划建立风险登记册 v1，提交 任俊强 复核。</ns0:t>
            </ns0:r>
          </ns0:p>
        </ns0:tc>
        <ns0:tc>
          <ns0:tcPr>
            <ns0:tcW ns0:type="dxa" ns0:w="147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6"/>
              </ns0:rPr>
              <ns0:t>何思源</ns0:t>
            </ns0:r>
          </ns0:p>
        </ns0:tc>
      </ns0:tr>
    </ns0:tbl>
    <ns0:p>
      <ns0:r>
        <ns0:br ns0:type="page"/>
      </ns0:r>
    </ns0:p>
    <ns0:p>
      <ns0:pPr>
        <ns0:pStyle ns0:val="1"/>
        <ns0:spacing ns0:before="240" ns0:after="120"/>
      </ns0:pPr>
      <ns0:r>
        <ns0:rPr>
          <ns0:rFonts ns0:ascii="黑体" ns0:hAnsi="黑体" ns0:eastAsia="黑体"/>
          <ns0:b/>
          <ns0:color ns0:val="000000"/>
          <ns0:sz ns0:val="30"/>
        </ns0:rPr>
        <ns0:t>1 风险清单</ns0:t>
      </ns0:r>
    </ns0:p>
    <ns0:p>
      <ns0:pPr>
        <ns0:spacing ns0:before="0"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本登记册用于识别、评估、跟踪并控制项目实施与验收风险。项目事实、关键数字、甲乙责任和正式里程碑以冻结 Baseline 与用户需求书为准。项目计划 v1 当前仍待复核，涉及其 WBS、阶段、里程碑或资源安排的关联判断均标注“待计划 Review 后复核”。</ns0:t>
      </ns0:r>
    </ns0:p>
    <ns0:p>
      <ns0:pPr>
        <ns0:spacing ns0:before="0"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评分口径：概率与影响均采用 1 至 5 级；评分为概率乘以影响，1—4 为低、5—9 为中、10—16 为高、17—25 为极高。该分级服务于管理优先级，不替代验收结论。</ns0:t>
      </ns0:r>
    </ns0:p>
    <ns0:p>
      <ns0:pPr>
        <ns0:keepNext/>
        <ns0:jc ns0:val="center"/>
      </ns0:pPr>
      <ns0:r>
        <ns0:drawing>
          <ns2:inline>
            <ns2:extent cx="4855464" cy="3630168"/>
            <ns2:docPr id="1" name="图1-1 项目风险矩阵" title="图1-1 项目风险矩阵" descr="图1-1 项目风险矩阵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isk-matrix-4x3.png"/>
                    <ns4:cNvPicPr/>
                  </ns4:nvPicPr>
                  <ns4:blipFill>
                    <ns3:blip ns5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4855464" cy="3630168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keepNext/>
        <ns0:spacing ns0:before="60" ns0:after="80" ns0:line="240" ns0:lineRule="auto"/>
        <ns0:jc ns0:val="center"/>
      </ns0:pPr>
      <ns0:r>
        <ns0:rPr>
          <ns0:rFonts ns0:ascii="宋体" ns0:hAnsi="宋体" ns0:eastAsia="宋体"/>
          <ns0:b/>
          <ns0:color ns0:val="000000"/>
          <ns0:sz ns0:val="18"/>
        </ns0:rPr>
        <ns0:t>图 1-1 风险矩阵（16 项风险的概率 × 影响分布）</ns0:t>
      </ns0:r>
    </ns0:p>
    <ns0:p>
      <ns0:pPr>
        <ns0:keepNext/>
        <ns0:spacing ns0:before="120" ns0:after="80" ns0:line="240" ns0:lineRule="auto"/>
        <ns0:jc ns0:val="center"/>
      </ns0:pPr>
      <ns0:r>
        <ns0:rPr>
          <ns0:rFonts ns0:ascii="黑体" ns0:hAnsi="黑体" ns0:eastAsia="黑体"/>
          <ns0:b/>
          <ns0:color ns0:val="000000"/>
          <ns0:sz ns0:val="18"/>
        </ns0:rPr>
        <ns0:t>表 1-1　风险登记与评估表</ns0:t>
      </ns0:r>
    </ns0:p>
    <ns0:tbl>
      <ns0:tblPr>
        <ns0:tblW ns0:type="dxa" ns0:w="9026"/>
        <ns0:tblLayout ns0:type="fixed"/>
        <ns0:tblLook ns0:firstColumn="1" ns0:firstRow="1" ns0:lastColumn="0" ns0:lastRow="0" ns0:noHBand="0" ns0:noVBand="1" ns0:val="04A0"/>
        <ns0:tblInd ns0:type="dxa" ns0:w="120"/>
      </ns0:tblPr>
      <ns0:tblGrid>
        <ns0:gridCol ns0:w="669"/>
        <ns0:gridCol ns0:w="2228"/>
        <ns0:gridCol ns0:w="765"/>
        <ns0:gridCol ns0:w="590"/>
        <ns0:gridCol ns0:w="590"/>
        <ns0:gridCol ns0:w="658"/>
        <ns0:gridCol ns0:w="2103"/>
        <ns0:gridCol ns0:w="765"/>
        <ns0:gridCol ns0:w="658"/>
      </ns0:tblGrid>
      <ns0:tr>
        <ns0:trPr>
          <ns0:tblHeader ns0:val="true"/>
        </ns0:trPr>
        <ns0:tc>
          <ns0:tcPr>
            <ns0:tcW ns0:type="dxa" ns0:w="669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编号</ns0:t>
            </ns0:r>
          </ns0:p>
        </ns0:tc>
        <ns0:tc>
          <ns0:tcPr>
            <ns0:tcW ns0:type="dxa" ns0:w="2228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风险描述</ns0:t>
            </ns0:r>
          </ns0:p>
        </ns0:tc>
        <ns0:tc>
          <ns0:tcPr>
            <ns0:tcW ns0:type="dxa" ns0:w="765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类别</ns0:t>
            </ns0:r>
          </ns0:p>
        </ns0:tc>
        <ns0:tc>
          <ns0:tcPr>
            <ns0:tcW ns0:type="dxa" ns0:w="590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概率</ns0:t>
            </ns0:r>
          </ns0:p>
        </ns0:tc>
        <ns0:tc>
          <ns0:tcPr>
            <ns0:tcW ns0:type="dxa" ns0:w="590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影响</ns0:t>
            </ns0:r>
          </ns0:p>
        </ns0:tc>
        <ns0:tc>
          <ns0:tcPr>
            <ns0:tcW ns0:type="dxa" ns0:w="658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等级</ns0:t>
            </ns0:r>
          </ns0:p>
        </ns0:tc>
        <ns0:tc>
          <ns0:tcPr>
            <ns0:tcW ns0:type="dxa" ns0:w="2103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应对措施</ns0:t>
            </ns0:r>
          </ns0:p>
        </ns0:tc>
        <ns0:tc>
          <ns0:tcPr>
            <ns0:tcW ns0:type="dxa" ns0:w="765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责任人</ns0:t>
            </ns0:r>
          </ns0:p>
        </ns0:tc>
        <ns0:tc>
          <ns0:tcPr>
            <ns0:tcW ns0:type="dxa" ns0:w="658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4"/>
              </ns0:rPr>
              <ns0:t>状态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RR-01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外部接口条件未按约具备，适配与联动验证延后。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接口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20 极高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逐接口清单、契约验证、模拟服务与书面升级。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何思源/严宇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RR-02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接口字段或状态语义不一致，事件与统计转换错误。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接口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15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版本契约、模式校验、转换日志与人工核验。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RR-03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消息通道限流或回执不完整，通知到达率无法证明。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消息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16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真实通道验证、台账、幂等重试、补发与人工联系。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RR-04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视频目录、取流或回放不稳定，指挥端调阅受限。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视频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M2 前连通验证、适配封装、熔断与人工调阅。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RR-05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定位数据错配或漂移，一张图与打卡判断失真。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定位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现场标定、质量字段、最后位置与异常复核。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严宇/任俊强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RR-06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基础数据或地图质量不足，初始化和空间叠加失败。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数据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16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模板、试导入、对账、隔离错误数据和人工复核。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任俊强/严宇/何思源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RR-07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宿主桥接或终端兼容不足，H5 移动业务中断。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H5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桥接与终端矩阵验证、能力检测、人工录入降级。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RR-08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峰值负载下链路排队或超时，性能指标不达标。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性能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20 极高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容量测试、监测、优化、限流并保护核心链路。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RR-09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扫描或渗透测试发现高危漏洞或越权问题。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安全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15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最小权限、SCA、扫描、修复复测与发布冻结。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严宇/任俊强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RR-10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隔离环境依赖或配置不兼容，部署和移植验收失败。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部署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20 极高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离线制品、校验清单、干净环境验证和回滚。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RR-11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备份、网络或后备电源条件不足，恢复目标受影响。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连续性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15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恢复方案、健康检查、备份校验与恢复演练。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严宇/何思源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RR-12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未书面确认的需求或范围变化导致返工和承诺漂移。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范围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Baseline、RTM、书面变更及影响分析控制。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何思源/任俊强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RR-13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关键路径或阻断项未关闭，正式里程碑可能受影响。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进度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20 极高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完成证据周跟踪、偏差升级与变更控制。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RR-14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成员不可用或复核积压，交付与门禁失效。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人员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主责复核分离、交接、复核窗口与证据清单。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RR-15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AI 输出未经核验，产生错误实现、幻觉或证据链失真。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AI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12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来源回溯、人工复核、测试验证和不可信输出隔离。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何思源/严宇/任俊强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69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RR-16</ns0:t>
            </ns0:r>
          </ns0:p>
        </ns0:tc>
        <ns0:tc>
          <ns0:tcPr>
            <ns0:tcW ns0:type="dxa" ns0:w="222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需求、设计、测试和制品版本不一致，验收无法证明。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验收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</ns0:t>
            </ns0:r>
          </ns0:p>
        </ns0:tc>
        <ns0:tc>
          <ns0:tcPr>
            <ns0:tcW ns0:type="dxa" ns0:w="590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5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15 高</ns0:t>
            </ns0:r>
          </ns0:p>
        </ns0:tc>
        <ns0:tc>
          <ns0:tcPr>
            <ns0:tcW ns0:type="dxa" ns0:w="2103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双向追踪、配置审计、证据位置与交付包核对。</ns0:t>
            </ns0:r>
          </ns0:p>
        </ns0:tc>
        <ns0:tc>
          <ns0:tcPr>
            <ns0:tcW ns0:type="dxa" ns0:w="76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何思源/任俊强/严宇</ns0:t>
            </ns0:r>
          </ns0:p>
        </ns0:tc>
        <ns0:tc>
          <ns0:tcPr>
            <ns0:tcW ns0:type="dxa" ns0:w="658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</ns0:tbl>
    <ns0:p>
      <ns0:pPr>
        <ns0:sectPr>
          <ns0:footerReference ns0:type="default" ns5:id="rId8"/>
          <ns0:pgSz ns0:w="11906" ns0:h="16838"/>
          <ns0:pgMar ns0:top="1440" ns0:right="1440" ns0:bottom="1440" ns0:left="1440" ns0:header="708" ns0:footer="708" ns0:gutter="0"/>
          <ns0:cols ns0:space="720"/>
          <ns0:docGrid ns0:linePitch="360"/>
        </ns0:sectPr>
      </ns0:pPr>
    </ns0:p>
    <ns0:p>
      <ns0:pPr>
        <ns0:keepNext/>
        <ns0:spacing ns0:before="120" ns0:after="80" ns0:line="240" ns0:lineRule="auto"/>
        <ns0:jc ns0:val="center"/>
      </ns0:pPr>
      <ns0:r>
        <ns0:rPr>
          <ns0:rFonts ns0:ascii="黑体" ns0:hAnsi="黑体" ns0:eastAsia="黑体"/>
          <ns0:b/>
          <ns0:color ns0:val="000000"/>
          <ns0:sz ns0:val="18"/>
        </ns0:rPr>
        <ns0:t>表 1-2　风险触发、应对与关联表</ns0:t>
      </ns0:r>
    </ns0:p>
    <ns0:tbl>
      <ns0:tblPr>
        <ns0:tblW ns0:type="dxa" ns0:w="13889"/>
        <ns0:tblLayout ns0:type="fixed"/>
        <ns0:tblLook ns0:firstColumn="1" ns0:firstRow="1" ns0:lastColumn="0" ns0:lastRow="0" ns0:noHBand="0" ns0:noVBand="1" ns0:val="04A0"/>
        <ns0:tblInd ns0:type="dxa" ns0:w="120"/>
      </ns0:tblPr>
      <ns0:tblGrid>
        <ns0:gridCol ns0:w="624"/>
        <ns0:gridCol ns0:w="2324"/>
        <ns0:gridCol ns0:w="2324"/>
        <ns0:gridCol ns0:w="2494"/>
        <ns0:gridCol ns0:w="2494"/>
        <ns0:gridCol ns0:w="2835"/>
        <ns0:gridCol ns0:w="794"/>
      </ns0:tblGrid>
      <ns0:tr>
        <ns0:trPr>
          <ns0:tblHeader ns0:val="true"/>
        </ns0:trPr>
        <ns0:tc>
          <ns0:tcPr>
            <ns0:tcW ns0:type="dxa" ns0:w="62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编号</ns0:t>
            </ns0:r>
          </ns0:p>
        </ns0:tc>
        <ns0:tc>
          <ns0:tcPr>
            <ns0:tcW ns0:type="dxa" ns0:w="232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触发条件</ns0:t>
            </ns0:r>
          </ns0:p>
        </ns0:tc>
        <ns0:tc>
          <ns0:tcPr>
            <ns0:tcW ns0:type="dxa" ns0:w="232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可能后果</ns0:t>
            </ns0:r>
          </ns0:p>
        </ns0:tc>
        <ns0:tc>
          <ns0:tcPr>
            <ns0:tcW ns0:type="dxa" ns0:w="249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预防措施</ns0:t>
            </ns0:r>
          </ns0:p>
        </ns0:tc>
        <ns0:tc>
          <ns0:tcPr>
            <ns0:tcW ns0:type="dxa" ns0:w="249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应急措施</ns0:t>
            </ns0:r>
          </ns0:p>
        </ns0:tc>
        <ns0:tc>
          <ns0:tcPr>
            <ns0:tcW ns0:type="dxa" ns0:w="2835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WBS/里程碑/Issue 关联</ns0:t>
            </ns0:r>
          </ns0:p>
        </ns0:tc>
        <ns0:tc>
          <ns0:tcPr>
            <ns0:tcW ns0:type="dxa" ns0:w="794"/>
            <ns0:vAlign ns0:val="center"/>
            <ns0:shd ns0:fill="DCE6F1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color ns0:val="000000"/>
                <ns0:sz ns0:val="15"/>
              </ns0:rPr>
              <ns0:t>状态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RR-01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资料、账号、授权、环境或窗口缺失。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M2 输入不完整、联调和验收延期。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接口清单、版本/权限/窗口确认、样例契约验证。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模拟服务推进；调整联调顺序；人工入口与书面升级。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3.3、3.7、3.8、4.9、4.10；M2、M5；历史 Issue 005、010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RR-02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字段、编码、时间戳或枚举变更；异常报文出现。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告警转事件、组织同步或统计错误。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版本化契约、模式校验、映射与转换日志。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隔离异常数据；兼容映射；人工核验队列。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3.3、4.9、4.10、5.1；M2、M3；历史 Issue 005、010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RR-03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回执缺失、限流、失败码不明或配额异常。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并行和到达率证据不足，关键通知延迟。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真实通道验证、台账、幂等键、重试与回执汇聚。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切换可用通道；补发；显示未送达对象并人工联系。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3.8、4.1、4.5、5.3；M2、M3；KN-006/007；历史 Issue 004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RR-04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目录不一致、取流失败、录像缺失或首帧异常。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无法及时调阅实时/历史录像，研判受限。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M2 前验证目录、取流、检索、回放与鉴权。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熔断故障通道；显示失败原因；人工调阅。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3.7、4.6、5.3；M2、M5；KN-010/060；历史 Issue 001、010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RR-05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坐标漂移、楼层错配、刷新抖动、离线比例升高。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人员位置错误、打卡争议、地图联动失败。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质量字段、控制点、现场标定和楼层映射验证。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显示新鲜度；降级最后位置/人员列表；异常复核。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3.2、4.3、4.6、5.3；M3；KN-008/009；历史 Issue 002、006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RR-06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真实源数据迟到、重复或缺关键字段/坐标；地图不兼容。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导入失败、统计错误、点位错位、验收数据不可确认。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模板、映射、试导入、技术对账和甲方业务确认。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错误清单分批修复；隔离不合格数据；人工补录复核。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3.2、4.12、5.2；M3、M5；历史 Issue 006、009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RR-07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宿主 API 缺失、权限受限、终端差异或弱网异常。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六类移动业务不能走通，现场反馈受阻。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桥接 API 与终端矩阵验证；能力检测与权限引导。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降级可用浏览器能力或人工录入；保留异常证据。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4.7、5.3；M3、M5；KN-015/036；历史 Issue 007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RR-08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队列积压、慢查询、地图卡顿或接口超时上升。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关键性能要求不达标，应急主链路受损。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按链路监测；容量/故障测试；优化索引、缓存和异步处理。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限制非关键刷新/图层；优先事件、任务、消息；复测。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4.11、5.3；M3、M5；KN-003、028、034—037。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RR-09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SCA、扫描或渗透测试发现高危、越权、注入或上传问题。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安全验收阻断，敏感数据或联动指令风险上升。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威胁建模、最小权限、服务端鉴权、输入校验和持续扫描。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冻结发布；修复复测；组件隔离缓解并登记。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3.4、5.4；M3、M5；KN-042/043/030；历史 Issue 011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RR-10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镜像导入失败、端口不通、证书/时间/组件版本不兼容。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容器化部署或可移植性验收失败。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离线制品、版本锁定、校验清单、等效干净环境验证。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使用已验证组合；差异记录和修复包；按方案回滚。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3.4、4.13、5.4；M3、M5；KN-005/065；历史 Issue 008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RR-11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后备电源、网络、备份介质未满足；恢复超时或数据不一致。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可用率/恢复目标不达标，运行记录可能缺失。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边界确认、健康检查、备份校验和恢复演练。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优先恢复事件、任务、消息和值班；人工处置补录。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3.4、4.11、6.5；M4、M5；KN-040/041；历史 Issue 008 已关闭。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RR-12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口头新增需求、范围外责任转移或验收条件临时增加。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返工、承诺漂移和追溯失效。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Baseline、SRS、RTM 和书面变更单；先做影响分析。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暂停受影响承诺；登记 Issue/Change；书面确认后升版。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1.4、2.1—2.5、5.2；M1—M5。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RR-13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关键路径完成判据未满足，输入迟到或阻断项未关闭。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M2、M3 或后续正式里程碑受影响。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周跟踪完成证据和偏差；关键前置检查；24 小时升级。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调整内部顺序并保护强制范围；正式里程碑变化走变更。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1.2、1.3、3.7、3.8、4.13、5.5、6.6、6.7；M2—M5。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RR-14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主责或复核人不可用，职责冲突或评审积压。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交付和独立复核延迟，门禁失效。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主责复核分离、优先级、交接和关闭证据清单。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重排并行项；增加书面交接和复核窗口；不复核不准出。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1.2、1.3；M1—M5。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RR-15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AI 输出无来源、与需求不一致或自动检查被误报为人工结论。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错误实现、幻觉、虚假证据或敏感数据泄露。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来源回溯、人工复核、测试验证、提示与证据受控。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隔离不可信输出；回滚受影响制品；更正证据并重新验证。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1.3、1.4、5.1—5.4；M1—M5；治理文件。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</ns0:t>
            </ns0:r>
          </ns0:p>
        </ns0:tc>
      </ns0:tr>
      <ns0:tr>
        <ns0:tc>
          <ns0:tcPr>
            <ns0:tcW ns0:type="dxa" ns0:w="6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RR-16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RTM 缺项、文档制品版本不一致或测试证据不完整。</ns0:t>
            </ns0:r>
          </ns0:p>
        </ns0:tc>
        <ns0:tc>
          <ns0:tcPr>
            <ns0:tcW ns0:type="dxa" ns0:w="232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初验/竣工验收复验，交付包不可证明。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双向追踪、里程碑配置审计、版本与证据位置核对。</ns0:t>
            </ns0:r>
          </ns0:p>
        </ns0:tc>
        <ns0:tc>
          <ns0:tcPr>
            <ns0:tcW ns0:type="dxa" ns0:w="24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停止不完整提交；补齐追踪、测试和审计；重新验证。</ns0:t>
            </ns0:r>
          </ns0:p>
        </ns0:tc>
        <ns0:tc>
          <ns0:tcPr>
            <ns0:tcW ns0:type="dxa" ns0:w="2835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1.3、1.4、2.4、5.1—5.5、6.6、6.7；M1—M5。</ns0:t>
            </ns0:r>
          </ns0:p>
        </ns0:tc>
        <ns0:tc>
          <ns0:tcPr>
            <ns0:tcW ns0:type="dxa" ns0:w="794"/>
            <ns0:vAlign ns0:val="center"/>
            <ns0:tcBorders>
              <ns0:top ns0:val="single" ns0:sz="6" ns0:color="D9D9D9"/>
              <ns0:left ns0:val="single" ns0:sz="6" ns0:color="D9D9D9"/>
              <ns0:bottom ns0:val="single" ns0:sz="6" ns0:color="D9D9D9"/>
              <ns0:right ns0:val="single" ns0:sz="6" ns0:color="D9D9D9"/>
              <ns0:insideH ns0:val="single" ns0:sz="6" ns0:color="D9D9D9"/>
              <ns0:insideV ns0:val="single" ns0:sz="6" ns0:color="D9D9D9"/>
            </ns0:tcBorders>
          </ns0:tcPr>
          <ns0:p>
            <ns0:pPr>
              <ns0:spacing ns0:before="20" ns0:after="20" ns0:line="252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color ns0:val="000000"/>
                <ns0:sz ns0:val="14"/>
              </ns0:rPr>
              <ns0:t>监控中；待计划 Review 后复核</ns0:t>
            </ns0:r>
          </ns0:p>
        </ns0:tc>
      </ns0:tr>
    </ns0:tbl>
    <ns0:p>
      <ns0:pPr>
        <ns0:sectPr>
          <ns0:pgSz ns0:w="16838" ns0:h="11906" ns0:orient="landscape"/>
          <ns0:pgMar ns0:top="1440" ns0:right="1440" ns0:bottom="1440" ns0:left="1440" ns0:header="708" ns0:footer="708" ns0:gutter="0"/>
          <ns0:cols ns0:space="720"/>
          <ns0:docGrid ns0:linePitch="360"/>
        </ns0:sectPr>
      </ns0:pPr>
    </ns0:p>
    <ns0:p>
      <ns0:pPr>
        <ns0:pStyle ns0:val="1"/>
        <ns0:spacing ns0:before="240" ns0:after="120"/>
      </ns0:pPr>
      <ns0:r>
        <ns0:rPr>
          <ns0:rFonts ns0:ascii="黑体" ns0:hAnsi="黑体" ns0:eastAsia="黑体"/>
          <ns0:b/>
          <ns0:color ns0:val="000000"/>
          <ns0:sz ns0:val="30"/>
        </ns0:rPr>
        <ns0:t>2 跟踪机制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何思源 每周依据周报、接口前置条件、测试记录、数据对账、部署和运行证据更新风险状态、触发条件、责任人和措施有效性；重大风险在识别后 24 小时内书面报告甲方。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RR-01、RR-08、RR-10、RR-13 为极高风险，按周形成专项跟踪记录；触发后先保护事件、任务、消息和审计等核心链路，再评估对正式里程碑的影响。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视频、消息和接口风险在设计评审前必须形成真实连通性验证记录；模拟服务或自动检查结果不得写成真实连通结论。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数据、部署、安全、性能和验收风险分别以数据对账、干净环境部署、安全复测、性能实测和需求追踪证据作为关闭依据。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历史 Issue 的关闭仅表示需求解释已裁决。出现新的接口、环境、数据或验证问题时新建 Issue 或变更记录，不覆盖历史。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项目计划 v1 完成 任俊强 的 Review 前，所有标有“待计划 Review 后复核”的 WBS、阶段和资源关联由 何思源 与 任俊强 复核；本登记册不修改项目计划。</ns0:t>
      </ns0:r>
    </ns0:p>
    <ns0:p>
      <ns0:pPr>
        <ns0:pStyle ns0:val="a4"/>
        <ns0:spacing ns0:after="100" ns0:line="300" ns0:lineRule="auto"/>
      </ns0:pPr>
      <ns0:r>
        <ns0:rPr>
          <ns0:rFonts ns0:ascii="宋体" ns0:hAnsi="宋体" ns0:eastAsia="宋体"/>
          <ns0:b ns0:val="0"/>
          <ns0:color ns0:val="000000"/>
          <ns0:sz ns0:val="24"/>
        </ns0:rPr>
        <ns0:t>风险关闭必须同时具备触发条件解除或受控、措施执行证据、残余影响评估以及可回溯关联记录，并由相应责任人和复核人确认。</ns0:t>
      </ns0:r>
    </ns0:p>
    <ns0:sectPr ns0:rsidR="004979D7">
      <ns0:pgSz ns0:w="11906" ns0:h="16838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CF91AA1" ns2:textId="77777777" ns0:rsidR="00756839" ns0:rsidRDefault="00756839">
      <ns0:r>
        <ns0:separator/>
      </ns0:r>
    </ns0:p>
  </ns0:endnote>
  <ns0:endnote ns0:type="continuationSeparator" ns0:id="0">
    <ns0:p ns2:paraId="694800B5" ns2:textId="77777777" ns0:rsidR="00756839" ns0:rsidRDefault="00756839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0ED81D52" ns2:textId="77777777" ns0:rsidR="004979D7" ns0:rsidRDefault="00692DA2">
    <ns0:pPr>
      <ns0:jc ns0:val="center"/>
    </ns0:pPr>
    <ns0:r>
      <ns0:rPr>
        <ns0:color ns0:val="000000"/>
        <ns0:sz ns0:val="18"/>
        <ns0:szCs ns0:val="18"/>
      </ns0:rPr>
      <ns0:fldChar ns0:fldCharType="begin"/>
    </ns0:r>
    <ns0:r>
      <ns0:rPr>
        <ns0:color ns0:val="000000"/>
        <ns0:sz ns0:val="18"/>
        <ns0:szCs ns0:val="18"/>
      </ns0:rPr>
      <ns0:instrText>PAGE</ns0:instrText>
    </ns0:r>
    <ns0:r>
      <ns0:rPr>
        <ns0:color ns0:val="000000"/>
        <ns0:sz ns0:val="18"/>
        <ns0:szCs ns0:val="18"/>
      </ns0:rPr>
      <ns0:fldChar ns0:fldCharType="separate"/>
    </ns0:r>
    <ns0:r ns0:rsidR="008D06D0">
      <ns0:rPr>
        <ns0:noProof/>
        <ns0:color ns0:val="000000"/>
        <ns0:sz ns0:val="18"/>
        <ns0:szCs ns0:val="18"/>
      </ns0:rPr>
      <ns0:t>1</ns0:t>
    </ns0:r>
    <ns0:r>
      <ns0:rPr>
        <ns0:color ns0:val="000000"/>
        <ns0:sz ns0:val="18"/>
        <ns0:szCs ns0:val="18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13805DE6" ns2:textId="77777777" ns0:rsidR="00756839" ns0:rsidRDefault="00756839">
      <ns0:r>
        <ns0:separator/>
      </ns0:r>
    </ns0:p>
  </ns0:footnote>
  <ns0:footnote ns0:type="continuationSeparator" ns0:id="0">
    <ns0:p ns2:paraId="76464312" ns2:textId="77777777" ns0:rsidR="00756839" ns0:rsidRDefault="00756839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32732DB7"/>
    <ns0:multiLevelType ns0:val="hybridMultilevel"/>
    <ns0:tmpl ns0:val="095A071A"/>
    <ns0:lvl ns0:ilvl="0" ns0:tplc="C3FE71CE">
      <ns0:start ns0:val="1"/>
      <ns0:numFmt ns0:val="bullet"/>
      <ns0:lvlText ns0:val="●"/>
      <ns0:lvlJc ns0:val="left"/>
      <ns0:pPr>
        <ns0:ind ns0:left="720" ns0:hanging="360"/>
      </ns0:pPr>
    </ns0:lvl>
    <ns0:lvl ns0:ilvl="1" ns0:tplc="69D48304">
      <ns0:start ns0:val="1"/>
      <ns0:numFmt ns0:val="bullet"/>
      <ns0:lvlText ns0:val="○"/>
      <ns0:lvlJc ns0:val="left"/>
      <ns0:pPr>
        <ns0:ind ns0:left="1440" ns0:hanging="360"/>
      </ns0:pPr>
    </ns0:lvl>
    <ns0:lvl ns0:ilvl="2" ns0:tplc="B5808C2E">
      <ns0:start ns0:val="1"/>
      <ns0:numFmt ns0:val="bullet"/>
      <ns0:lvlText ns0:val="■"/>
      <ns0:lvlJc ns0:val="left"/>
      <ns0:pPr>
        <ns0:ind ns0:left="2160" ns0:hanging="360"/>
      </ns0:pPr>
    </ns0:lvl>
    <ns0:lvl ns0:ilvl="3" ns0:tplc="4CEEC7E6">
      <ns0:start ns0:val="1"/>
      <ns0:numFmt ns0:val="bullet"/>
      <ns0:lvlText ns0:val="●"/>
      <ns0:lvlJc ns0:val="left"/>
      <ns0:pPr>
        <ns0:ind ns0:left="2880" ns0:hanging="360"/>
      </ns0:pPr>
    </ns0:lvl>
    <ns0:lvl ns0:ilvl="4" ns0:tplc="470AA362">
      <ns0:start ns0:val="1"/>
      <ns0:numFmt ns0:val="bullet"/>
      <ns0:lvlText ns0:val="○"/>
      <ns0:lvlJc ns0:val="left"/>
      <ns0:pPr>
        <ns0:ind ns0:left="3600" ns0:hanging="360"/>
      </ns0:pPr>
    </ns0:lvl>
    <ns0:lvl ns0:ilvl="5" ns0:tplc="89D09948">
      <ns0:start ns0:val="1"/>
      <ns0:numFmt ns0:val="bullet"/>
      <ns0:lvlText ns0:val="■"/>
      <ns0:lvlJc ns0:val="left"/>
      <ns0:pPr>
        <ns0:ind ns0:left="4320" ns0:hanging="360"/>
      </ns0:pPr>
    </ns0:lvl>
    <ns0:lvl ns0:ilvl="6" ns0:tplc="E4901B32">
      <ns0:start ns0:val="1"/>
      <ns0:numFmt ns0:val="bullet"/>
      <ns0:lvlText ns0:val="●"/>
      <ns0:lvlJc ns0:val="left"/>
      <ns0:pPr>
        <ns0:ind ns0:left="5040" ns0:hanging="360"/>
      </ns0:pPr>
    </ns0:lvl>
    <ns0:lvl ns0:ilvl="7" ns0:tplc="94B4534E">
      <ns0:start ns0:val="1"/>
      <ns0:numFmt ns0:val="bullet"/>
      <ns0:lvlText ns0:val="●"/>
      <ns0:lvlJc ns0:val="left"/>
      <ns0:pPr>
        <ns0:ind ns0:left="5760" ns0:hanging="360"/>
      </ns0:pPr>
    </ns0:lvl>
    <ns0:lvl ns0:ilvl="8" ns0:tplc="368C2B84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4979D7"/>
    <ns0:rsid ns0:val="004979D7"/>
    <ns0:rsid ns0:val="00692DA2"/>
    <ns0:rsid ns0:val="00756839"/>
    <ns0:rsid ns0:val="008D06D0"/>
    <ns0:rsid ns0:val="00FC2F25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1B98F3B0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8D06D0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8D06D0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8D06D0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8D06D0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风险登记册 v1（教学样例）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2026-09-06T14:24:00Z</dcterms:modified>
</cp:coreProperties>
</file>