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spacing ns0:after="40" ns0:line="293" ns0:lineRule="auto"/>
      </ns0:pPr>
      <ns0:r>
        <ns0:rPr>
          <ns0:rFonts ns0:ascii="宋体" ns0:hAnsi="宋体" ns0:eastAsia="宋体"/>
          <ns0:b ns0:val="0"/>
          <ns0:color ns0:val="1F1F1F"/>
          <ns0:sz ns0:val="19"/>
        </ns0:rPr>
        <ns0:t>文档编号：【待人工确认】    版本号：V0.1</ns0:t>
      </ns0:r>
    </ns0:p>
    <ns0:p>
      <ns0:pPr>
        <ns0:spacing ns0:after="720" ns0:line="293" ns0:lineRule="auto"/>
      </ns0:pPr>
      <ns0:r>
        <ns0:rPr>
          <ns0:rFonts ns0:ascii="宋体" ns0:hAnsi="宋体" ns0:eastAsia="宋体"/>
          <ns0:b ns0:val="0"/>
          <ns0:color ns0:val="1F1F1F"/>
          <ns0:sz ns0:val="19"/>
        </ns0:rPr>
        <ns0:t>密    级：课程模拟使用</ns0:t>
      </ns0:r>
    </ns0:p>
    <ns0:p>
      <ns0:pPr>
        <ns0:spacing ns0:after="12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6"/>
        </ns0:rPr>
        <ns0:t>某自然博物馆智能运营中心建设项目</ns0:t>
      </ns0:r>
    </ns0:p>
    <ns0:p>
      <ns0:pPr>
        <ns0:spacing ns0:after="52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6"/>
        </ns0:rPr>
        <ns0:t>——应急管理子系统</ns0:t>
      </ns0:r>
    </ns0:p>
    <ns0:p>
      <ns0:pPr>
        <ns0:spacing ns0:after="10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52"/>
        </ns0:rPr>
        <ns0:t>需求确认书</ns0:t>
      </ns0:r>
    </ns0:p>
    <ns0:p>
      <ns0:pPr>
        <ns0:spacing ns0:after="76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6"/>
        </ns0:rPr>
        <ns0:t>（课程模拟候选版）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编制单位：【项目组/编制单位正式名称或组号待人工确认】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编    制：何思源（项目经理 PM / 总编）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技术审核：严宇（技术负责人 / 架构师）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合规审核：任俊强（需求 / 质量 / 合规负责人）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批    准：甲乙双方授权代表确认</ns0:t>
      </ns0:r>
    </ns0:p>
    <ns0:p>
      <ns0:pPr>
        <ns0:spacing ns0:after="140" ns0:line="293" ns0:lineRule="auto"/>
        <ns0:jc ns0:val="center"/>
      </ns0:pPr>
      <ns0:r>
        <ns0:rPr>
          <ns0:rFonts ns0:ascii="宋体" ns0:hAnsi="宋体" ns0:eastAsia="宋体"/>
          <ns0:b ns0:val="0"/>
          <ns0:color ns0:val="1F1F1F"/>
          <ns0:sz ns0:val="22"/>
        </ns0:rPr>
        <ns0:t>编制日期：【正式签署日期待人工确认】</ns0:t>
      </ns0:r>
    </ns0:p>
    <ns0:p>
      <ns0:r>
        <ns0:br ns0:type="page"/>
      </ns0:r>
    </ns0:p>
    <ns0:p>
      <ns0:pPr>
        <ns0:spacing ns0:after="16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2"/>
        </ns0:rPr>
        <ns0:t>修订记录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color="A6A6A6"/>
          <ns0:left ns0:val="single" ns0:sz="4" ns0:color="A6A6A6"/>
          <ns0:bottom ns0:val="single" ns0:sz="4" ns0:color="A6A6A6"/>
          <ns0:right ns0:val="single" ns0:sz="4" ns0:color="A6A6A6"/>
          <ns0:insideH ns0:val="single" ns0:sz="4" ns0:color="A6A6A6"/>
          <ns0:insideV ns0:val="single" ns0:sz="4" ns0:color="A6A6A6"/>
        </ns0:tblBorders>
      </ns0:tblPr>
      <ns0:tblGrid>
        <ns0:gridCol ns0:w="1871"/>
        <ns0:gridCol ns0:w="1871"/>
        <ns0:gridCol ns0:w="1871"/>
        <ns0:gridCol ns0:w="1871"/>
        <ns0:gridCol ns0:w="1871"/>
      </ns0:tblGrid>
      <ns0:tr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版本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日期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修订章节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修订说明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编制/修订人</ns0:t>
            </ns0:r>
          </ns0:p>
        </ns0:tc>
      </ns0:tr>
      <ns0:tr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V0.1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【待人工确认】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全部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课程模拟候选版：确认MVP优先顺序、全项目边界和验收基线，待复核。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何思源（项目经理 PM / 总编）</ns0:t>
            </ns0:r>
          </ns0:p>
        </ns0:tc>
      </ns0:tr>
    </ns0:tbl>
    <ns0:p>
      <ns0:pPr>
        <ns0:spacing ns0:after="20"/>
      </ns0:pPr>
    </ns0:p>
    <ns0:p>
      <ns0:pPr>
        <ns0:spacing ns0:after="180" ns0:line="293" ns0:lineRule="auto"/>
      </ns0:pPr>
      <ns0:r>
        <ns0:rPr>
          <ns0:rFonts ns0:ascii="宋体" ns0:hAnsi="宋体" ns0:eastAsia="宋体"/>
          <ns0:b ns0:val="0"/>
          <ns0:color ns0:val="1F1F1F"/>
          <ns0:sz ns0:val="17"/>
        </ns0:rPr>
        <ns0:t>注：MVP仅定义优先形成可验证闭环的顺序，不删除《用户需求书》的任何功能或验收要求。</ns0:t>
      </ns0:r>
    </ns0:p>
    <ns0:p>
      <ns0:pPr>
        <ns0:pStyle ns0:val="1"/>
        <ns0:spacing ns0:before="160" ns0:after="100"/>
      </ns0:pPr>
      <ns0:r>
        <ns0:rPr>
          <ns0:rFonts ns0:ascii="黑体" ns0:hAnsi="黑体" ns0:eastAsia="黑体"/>
          <ns0:color ns0:val="1F4E78"/>
          <ns0:sz ns0:val="28"/>
        </ns0:rPr>
        <ns0:t>1 目的与依据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本确认书用于确认本项目 MVP 的优先顺序、全项目范围边界、验收基线和变更控制。MVP 不是需求裁剪：全项目 39 条 FR 均须建立测试用例并在本期实施、验收。课程模拟甲方/招标人澄清仅解释歧义，原始需求书的明确强制要求优先。</ns0:t>
      </ns0:r>
    </ns0:p>
    <ns0:p>
      <ns0:pPr>
        <ns0:pStyle ns0:val="1"/>
        <ns0:spacing ns0:before="160" ns0:after="100"/>
      </ns0:pPr>
      <ns0:r>
        <ns0:rPr>
          <ns0:rFonts ns0:ascii="黑体" ns0:hAnsi="黑体" ns0:eastAsia="黑体"/>
          <ns0:color ns0:val="1F4E78"/>
          <ns0:sz ns0:val="28"/>
        </ns0:rPr>
        <ns0:t>2 MVP 核心功能范围（5 项）</ns0:t>
      </ns0:r>
    </ns0:p>
    <ns0:p>
      <ns0:pPr>
        <ns0:spacing ns0:after="6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18"/>
        </ns0:rPr>
        <ns0:t>图 2-1  MVP范围与边界一览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color="A6A6A6"/>
          <ns0:left ns0:val="single" ns0:sz="4" ns0:color="A6A6A6"/>
          <ns0:bottom ns0:val="single" ns0:sz="4" ns0:color="A6A6A6"/>
          <ns0:right ns0:val="single" ns0:sz="4" ns0:color="A6A6A6"/>
          <ns0:insideH ns0:val="single" ns0:sz="4" ns0:color="A6A6A6"/>
          <ns0:insideV ns0:val="single" ns0:sz="4" ns0:color="A6A6A6"/>
        </ns0:tblBorders>
      </ns0:tblPr>
      <ns0:tblGrid>
        <ns0:gridCol ns0:w="3118"/>
        <ns0:gridCol ns0:w="3118"/>
        <ns0:gridCol ns0:w="3118"/>
      </ns0:tblGrid>
      <ns0:tr>
        <ns0:tc>
          <ns0:tcPr>
            <ns0:tcW ns0:type="dxa" ns0:w="3118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优先形成可验证闭环</ns0:t>
            </ns0:r>
          </ns0:p>
        </ns0:tc>
        <ns0:tc>
          <ns0:tcPr>
            <ns0:tcW ns0:type="dxa" ns0:w="3118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接口与质量前置验证</ns0:t>
            </ns0:r>
          </ns0:p>
        </ns0:tc>
        <ns0:tc>
          <ns0:tcPr>
            <ns0:tcW ns0:type="dxa" ns0:w="3118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7"/>
              </ns0:rPr>
              <ns0:t>非MVP但仍属本期</ns0:t>
            </ns0:r>
          </ns0:p>
        </ns0:tc>
      </ns0:tr>
      <ns0:tr>
        <ns0:tc>
          <ns0:tcPr>
            <ns0:tcW ns0:type="dxa" ns0:w="3118"/>
            <ns0:vAlign ns0:val="center"/>
            <ns0:shd ns0:fill="EAF2F8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预案与事件处置</ns0:t>
              <ns0:br/>
              <ns0:t>指挥态势与现场执行</ns0:t>
            </ns0:r>
          </ns0:p>
        </ns0:tc>
        <ns0:tc>
          <ns0:tcPr>
            <ns0:tcW ns0:type="dxa" ns0:w="3118"/>
            <ns0:vAlign ns0:val="center"/>
            <ns0:shd ns0:fill="EAF2F8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视频、定位、消息、物联、中台</ns0:t>
              <ns0:br/>
              <ns0:t>性能、安全、部署</ns0:t>
            </ns0:r>
          </ns0:p>
        </ns0:tc>
        <ns0:tc>
          <ns0:tcPr>
            <ns0:tcW ns0:type="dxa" ns0:w="3118"/>
            <ns0:vAlign ns0:val="center"/>
            <ns0:shd ns0:fill="EAF2F8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7"/>
              </ns0:rPr>
              <ns0:t>其余功能、数据初始化、文档培训</ns0:t>
              <ns0:br/>
              <ns0:t>全量39条FR与PE验收</ns0:t>
            </ns0:r>
          </ns0:p>
        </ns0:tc>
      </ns0:tr>
    </ns0:tbl>
    <ns0:p>
      <ns0:pPr>
        <ns0:spacing ns0:after="20"/>
      </ns0:pPr>
    </ns0:p>
    <ns0:p>
      <ns0:pPr>
        <ns0:spacing ns0:after="100" ns0:line="293" ns0:lineRule="auto"/>
      </ns0:pPr>
      <ns0:r>
        <ns0:rPr>
          <ns0:rFonts ns0:ascii="宋体" ns0:hAnsi="宋体" ns0:eastAsia="宋体"/>
          <ns0:b ns0:val="0"/>
          <ns0:color ns0:val="1F1F1F"/>
          <ns0:sz ns0:val="16"/>
        </ns0:rPr>
        <ns0:t>说明：五项MVP定义优先闭环；非MVP功能仍按本期项目计划实施与验收。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选择原则为★条款优先、主业务闭环必需、高风险能力前置验证。每项均建立需求—设计—测试—结果—记录的双向追踪。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color="A6A6A6"/>
          <ns0:left ns0:val="single" ns0:sz="4" ns0:color="A6A6A6"/>
          <ns0:bottom ns0:val="single" ns0:sz="4" ns0:color="A6A6A6"/>
          <ns0:right ns0:val="single" ns0:sz="4" ns0:color="A6A6A6"/>
          <ns0:insideH ns0:val="single" ns0:sz="4" ns0:color="A6A6A6"/>
          <ns0:insideV ns0:val="single" ns0:sz="4" ns0:color="A6A6A6"/>
        </ns0:tblBorders>
      </ns0:tblPr>
      <ns0:tblGrid>
        <ns0:gridCol ns0:w="1871"/>
        <ns0:gridCol ns0:w="1871"/>
        <ns0:gridCol ns0:w="1871"/>
        <ns0:gridCol ns0:w="1871"/>
        <ns0:gridCol ns0:w="1871"/>
      </ns0:tblGrid>
      <ns0:tr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4"/>
              </ns0:rPr>
              <ns0:t>序号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4"/>
              </ns0:rPr>
              <ns0:t>核心功能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4"/>
              </ns0:rPr>
              <ns0:t>功能描述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4"/>
              </ns0:rPr>
              <ns0:t>对应需求条款</ns0:t>
            </ns0:r>
          </ns0:p>
        </ns0:tc>
        <ns0:tc>
          <ns0:tcPr>
            <ns0:tcW ns0:type="dxa" ns0:w="1871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4"/>
              </ns0:rPr>
              <ns0:t>验收依据（可测指标）</ns0:t>
            </ns0:r>
          </ns0:p>
        </ns0:tc>
      </ns0:tr>
      <ns0:tr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MVP-1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数字预案与事件处置闭环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分层预案、流程、任务；Web/H5 事件发起、核实、启动、下发、反馈、关闭、调查和报告。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FR-01.1★；FR-01.2★；FR-01.3★；FR-05.1★；FR-05.2★；FR-05.3★；FR-05.4★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完成接报—核实—启动—下发—反馈—关闭—评估—调查全流程；PE-01 ≤3秒，PE-02 ≤2秒，PE-03 ≤3分钟；时效与留痕可查。</ns0:t>
            </ns0:r>
          </ns0:p>
        </ns0:tc>
      </ns0:tr>
      <ns0:tr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MVP-2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指挥态势、视频与定位联动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事件动态、任务、人员位置、视频和物资站点一张图；实时调阅、录像检索/回放接口响应。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FR-02.1★；FR-02.2★；FR-02.3★；FR-02.4；FR-10.1★；FR-11.3★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PE-05 刷新≤2秒/次且不降低亚米级源精度；PE-06 首帧≤3秒；PE-08 ≤2秒；PE-10 综合安防≤30秒；物资站点图层可展示并钻取清单、数量和配置，展示结果与物资台账一致。</ns0:t>
            </ns0:r>
          </ns0:p>
        </ns0:tc>
      </ns0:tr>
      <ns0:tr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MVP-3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演练、移动执行与值班/物资现场闭环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月/季/年演练、任务、评估；移动上报、任务、演练、扫码打卡、物资盘点和打卡预警；以物资台账、临期提醒和盘点计划支撑移动盘点闭环。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FR-03.3★；FR-03.4★；FR-04.1★；FR-04.2★；FR-04.3★；FR-06.1★；FR-06.2★；FR-06.3★；FR-06.4★；FR-08.1★；FR-08.2★；FR-08.4★；FR-08.5★；FR-08.6★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滚动六个月核验适用对象每半年至少一次，具备提醒、逾期/未达标、补演或整改、统计及追溯；物资台账增改查和临期提醒有效，盘点计划生成快照，移动端盘点后自动比对差异并完成复核更新；PE-04 ≥20路且到达率≥99%，PE-09 ≤1秒。</ns0:t>
            </ns0:r>
          </ns0:p>
        </ns0:tc>
      </ns0:tr>
      <ns0:tr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MVP-4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外部联动与中台业务适配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物联告警/客流、信息发布、统一身份/组织/权限/消息/工作流/文件/门户与应急业务衔接。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FR-11.1★；FR-11.2★；FR-11.3★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完成物联告警转事件、消息推送、视频调阅、信息发布四类接口测试；视频、信息发布、物联网、中台端到端联动。</ns0:t>
            </ns0:r>
          </ns0:p>
        </ns0:tc>
      </ns0:tr>
      <ns0:tr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MVP-5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验收支撑、部署与安全质量门禁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接口文档、容器化部署、性能、安全、兼容及全量需求追踪。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需求书第4.2(3)、第7章、第8章、第10章；全量 FR/PE</ns0:t>
            </ns0:r>
          </ns0:p>
        </ns0:tc>
        <ns0:tc>
          <ns0:tcPr>
            <ns0:tcW ns0:type="dxa" ns0:w="1871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PE-01—PE-12逐项实测；高危漏洞清零；核心模块单元测试≥70%；可用率≥99.5%；非乙方人员干净环境独立部署一次成功且≤2小时。</ns0:t>
            </ns0:r>
          </ns0:p>
        </ns0:tc>
      </ns0:tr>
    </ns0:tbl>
    <ns0:p>
      <ns0:pPr>
        <ns0:spacing ns0:after="20"/>
      </ns0:pP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FR-02.3 整体为★；其中“宜支持关联历史录像回放”保留原始要求层级，回放的强制接口依据同时来自需求书第 8.1(1)及 FR-11.3。</ns0:t>
      </ns0:r>
    </ns0:p>
    <ns0:p>
      <ns0:pPr>
        <ns0:pStyle ns0:val="1"/>
        <ns0:spacing ns0:before="160" ns0:after="100"/>
      </ns0:pPr>
      <ns0:r>
        <ns0:rPr>
          <ns0:rFonts ns0:ascii="黑体" ns0:hAnsi="黑体" ns0:eastAsia="黑体"/>
          <ns0:color ns0:val="1F4E78"/>
          <ns0:sz ns0:val="28"/>
        </ns0:rPr>
        <ns0:t>3 MVP 范围边界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3.1 MVP 内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五个 MVP 优先形成“预案—事件—指挥—现场执行—评估改进”可验证闭环，并同步前置外部接口、性能和安全验证；MVP-2 纳入 FR-02.4 以闭合物资站点一张图，MVP-3 纳入 FR-03.3、FR-03.4 作为 FR-08.6 移动物资盘点的直接数据与流程依赖。待验证事项不表述为已验收。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3.2 非 MVP、但仍属于本期项目范围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FR-01.4、FR-03.1、FR-03.2、FR-07.1、FR-07.2、FR-07.3、FR-07.4、FR-07.5、FR-08.3、FR-09.1，以及相互依赖的配置、数据初始化、文档、培训、试运行和服务，仍须按项目计划实施、测试和验收。全量 39 条 FR 的用例、性能实测和验收证据不得因 MVP 分期而省略。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3.3 明确不属于本项目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既有视频、入侵报警、出入口控制、消防报警、广播、客流统计等系统本体建设或改造；相关硬件采购；机房/服务器/网络采购；政府应急平台专线工程；馆内地图重新测绘、从零三维建模或基础地图版权采购；独立原生 Android/iOS APP；正式第三方等保测评采购。范围外不免除本项目的软件接口适配、联调、容错、降级、验证和交付责任。</ns0:t>
      </ns0:r>
    </ns0:p>
    <ns0:p>
      <ns0:r>
        <ns0:br ns0:type="page"/>
      </ns0:r>
    </ns0:p>
    <ns0:p>
      <ns0:pPr>
        <ns0:pStyle ns0:val="1"/>
        <ns0:spacing ns0:before="160" ns0:after="100"/>
      </ns0:pPr>
      <ns0:r>
        <ns0:rPr>
          <ns0:rFonts ns0:ascii="黑体" ns0:hAnsi="黑体" ns0:eastAsia="黑体"/>
          <ns0:color ns0:val="1F4E78"/>
          <ns0:sz ns0:val="28"/>
        </ns0:rPr>
        <ns0:t>4 非功能验收基线、接口与澄清口径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全部 FR 建立测试用例、功能验收通过率 100%；PE-01—PE-12在部署环境逐项实测且全部达标；视频、信息发布、物联网、中台完成端到端联动；至少一次模拟突发事件全流程联合演练；高危漏洞清零；非乙方人员按手册在干净环境独立部署且一次成功。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DEC-001：既有视频负责录像产生、存储及不低于30天保存；本项目负责接入、实时调阅、回放和验证，不新建存储。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DEC-002：甲方提供定位基础设施、源数据和验收条件；本项目负责接口、关联、楼层/坐标映射、展示和刷新，不降低源精度。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DEC-003：门禁按“应支持”执行，经授权确认、服从安全联锁，失败告警并人工降级。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DEC-004：甲方提供统一消息通道及条件；本项目负责调用、编排、并行、重试、回执、留痕、降级和正常通道验证。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DEC-005：复用统一中台通用能力，本项目只做应急业务适配。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DEC-006：甲方提供合法地图/服务，本项目负责加载、兼容、点位、坐标拾取和叠加。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DEC-007：采用 H5 嵌入既有智慧管理 APP，不另做原生 APP。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DEC-008：甲方提供私有环境和基础资源；本项目完成软件部署和容器化交付。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DEC-009：甲方提供源数据并确认业务正确性；本项目完成模板、映射、清洗、导入与技术校验。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DEC-010：甲方提供接口资料、账号、环境和窗口；本项目逐接口适配、联调、容错、降级、验证，视频和消息 M2 前连通。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DEC-011：本项目负责应用侧相关要求及高危清零；甲方负责最终定级/备案及测评组织。</ns0:t>
      </ns0:r>
    </ns0:p>
    <ns0:p>
      <ns0:pPr>
        <ns0:spacing ns0:after="60" ns0:line="293" ns0:lineRule="auto"/>
      </ns0:pPr>
      <ns0:r>
        <ns0:rPr>
          <ns0:rFonts ns0:ascii="宋体" ns0:hAnsi="宋体" ns0:eastAsia="宋体"/>
          <ns0:b ns0:val="0"/>
          <ns0:color ns0:val="1F1F1F"/>
          <ns0:sz ns0:val="18"/>
        </ns0:rPr>
        <ns0:t>• DEC-012：项目和甲方使用课程匿名名称。</ns0:t>
      </ns0:r>
    </ns0:p>
    <ns0:p>
      <ns0:pPr>
        <ns0:spacing ns0:after="6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18"/>
        </ns0:rPr>
        <ns0:t>表 4-1  非功能验收与责任基线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color="A6A6A6"/>
          <ns0:left ns0:val="single" ns0:sz="4" ns0:color="A6A6A6"/>
          <ns0:bottom ns0:val="single" ns0:sz="4" ns0:color="A6A6A6"/>
          <ns0:right ns0:val="single" ns0:sz="4" ns0:color="A6A6A6"/>
          <ns0:insideH ns0:val="single" ns0:sz="4" ns0:color="A6A6A6"/>
          <ns0:insideV ns0:val="single" ns0:sz="4" ns0:color="A6A6A6"/>
        </ns0:tblBorders>
      </ns0:tblPr>
      <ns0:tblGrid>
        <ns0:gridCol ns0:w="4677"/>
        <ns0:gridCol ns0:w="4677"/>
      </ns0:tblGrid>
      <ns0:tr>
        <ns0:tc>
          <ns0:tcPr>
            <ns0:tcW ns0:type="dxa" ns0:w="4677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6"/>
              </ns0:rPr>
              <ns0:t>类别</ns0:t>
            </ns0:r>
          </ns0:p>
        </ns0:tc>
        <ns0:tc>
          <ns0:tcPr>
            <ns0:tcW ns0:type="dxa" ns0:w="4677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6"/>
              </ns0:rPr>
              <ns0:t>验收基线与可判定证据</ns0:t>
            </ns0:r>
          </ns0:p>
        </ns0:tc>
      </ns0:tr>
      <ns0:tr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性能</ns0:t>
            </ns0:r>
          </ns0:p>
        </ns0:tc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PE-01≤3秒；PE-02≤2秒；PE-03≤3分钟；PE-04≥20路、≥99%；PE-05≤2秒/次、亚米级；PE-06≤3秒；PE-07的95%请求≤3秒；PE-08≤2秒；PE-09≤1秒；PE-10安防≤30秒、应急信息≤60秒；PE-11≥100；PE-12≤5秒。</ns0:t>
            </ns0:r>
          </ns0:p>
        </ns0:tc>
      </ns0:tr>
      <ns0:tr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可靠性与安全</ns0:t>
            </ns0:r>
          </ns0:p>
        </ns0:tc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试运行可用率≥99.5%（计划内维护除外）；核心模块单元测试覆盖率≥70%；高危漏洞为0。</ns0:t>
            </ns0:r>
          </ns0:p>
        </ns0:tc>
      </ns0:tr>
      <ns0:tr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部署与兼容</ns0:t>
            </ns0:r>
          </ns0:p>
        </ns0:tc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容器化一键部署；干净环境至可访问≤2小时；非乙方人员按手册独立部署一次成功。</ns0:t>
            </ns0:r>
          </ns0:p>
        </ns0:tc>
      </ns0:tr>
      <ns0:tr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接口责任</ns0:t>
            </ns0:r>
          </ns0:p>
        </ns0:tc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6"/>
              </ns0:rPr>
              <ns0:t>甲方提供既有系统、资料、账号、环境、合法数据和协调窗口；乙方负责适配、联调、容错、降级、验证和交付。</ns0:t>
            </ns0:r>
          </ns0:p>
        </ns0:tc>
      </ns0:tr>
    </ns0:tbl>
    <ns0:p>
      <ns0:pPr>
        <ns0:spacing ns0:after="20"/>
      </ns0:pPr>
    </ns0:p>
    <ns0:p>
      <ns0:pPr>
        <ns0:pStyle ns0:val="1"/>
        <ns0:spacing ns0:before="160" ns0:after="100"/>
      </ns0:pPr>
      <ns0:r>
        <ns0:rPr>
          <ns0:rFonts ns0:ascii="黑体" ns0:hAnsi="黑体" ns0:eastAsia="黑体"/>
          <ns0:color ns0:val="1F4E78"/>
          <ns0:sz ns0:val="28"/>
        </ns0:rPr>
        <ns0:t>5 变更控制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MVP、验收指标、范围或责任变化时，提出方应书面说明原因、影响范围、替代方案以及对进度、质量、费用和风险的影响；甲乙双方授权代表书面评估和确认后，才可更新确认文件、追踪关系和版本。未经书面确认，不得直接修改已确认范围或验收基线。</ns0:t>
      </ns0:r>
    </ns0:p>
    <ns0:p>
      <ns0:r>
        <ns0:br ns0:type="page"/>
      </ns0:r>
    </ns0:p>
    <ns0:p>
      <ns0:pPr>
        <ns0:pStyle ns0:val="1"/>
        <ns0:spacing ns0:before="160" ns0:after="100"/>
      </ns0:pPr>
      <ns0:r>
        <ns0:rPr>
          <ns0:rFonts ns0:ascii="黑体" ns0:hAnsi="黑体" ns0:eastAsia="黑体"/>
          <ns0:color ns0:val="1F4E78"/>
          <ns0:sz ns0:val="28"/>
        </ns0:rPr>
        <ns0:t>6 签署</ns0:t>
      </ns0:r>
    </ns0:p>
    <ns0:p>
      <ns0:pPr>
        <ns0:spacing ns0:after="80" ns0:line="293" ns0:lineRule="auto"/>
      </ns0:pPr>
      <ns0:r>
        <ns0:rPr>
          <ns0:rFonts ns0:ascii="宋体" ns0:hAnsi="宋体" ns0:eastAsia="宋体"/>
          <ns0:b ns0:val="0"/>
          <ns0:color ns0:val="1F1F1F"/>
          <ns0:sz ns0:val="20"/>
        </ns0:rPr>
        <ns0:t>甲方（课程模拟）：某自然博物馆；授权代表：教师/评委代表【姓名待人工确认】。乙方项目经理：何思源；技术复核：严宇；合规复核：任俊强。甲乙双方实际签字/签章、正式签署日期和文档编号均待人工确认。</ns0:t>
      </ns0:r>
    </ns0:p>
    <ns0:p>
      <ns0:pPr>
        <ns0:spacing ns0:after="6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18"/>
        </ns0:rPr>
        <ns0:t>表 6-1  签署信息表</ns0:t>
      </ns0:r>
    </ns0:p>
    <ns0:tbl>
      <ns0:tblPr>
        <ns0:tblW ns0:type="auto" ns0:w="0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color="A6A6A6"/>
          <ns0:left ns0:val="single" ns0:sz="4" ns0:color="A6A6A6"/>
          <ns0:bottom ns0:val="single" ns0:sz="4" ns0:color="A6A6A6"/>
          <ns0:right ns0:val="single" ns0:sz="4" ns0:color="A6A6A6"/>
          <ns0:insideH ns0:val="single" ns0:sz="4" ns0:color="A6A6A6"/>
          <ns0:insideV ns0:val="single" ns0:sz="4" ns0:color="A6A6A6"/>
        </ns0:tblBorders>
      </ns0:tblPr>
      <ns0:tblGrid>
        <ns0:gridCol ns0:w="4677"/>
        <ns0:gridCol ns0:w="4677"/>
      </ns0:tblGrid>
      <ns0:tr>
        <ns0:tc>
          <ns0:tcPr>
            <ns0:tcW ns0:type="dxa" ns0:w="4677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8"/>
              </ns0:rPr>
              <ns0:t>甲方（课程模拟）：某自然博物馆</ns0:t>
            </ns0:r>
          </ns0:p>
        </ns0:tc>
        <ns0:tc>
          <ns0:tcPr>
            <ns0:tcW ns0:type="dxa" ns0:w="4677"/>
            <ns0:vAlign ns0:val="center"/>
            <ns0:shd ns0:fill="1F4E78"/>
          </ns0:tcPr>
          <ns0:p>
            <ns0:pPr>
              <ns0:spacing ns0:after="0" ns0:line="252" ns0:lineRule="auto"/>
            </ns0:pPr>
            <ns0:r>
              <ns0:rPr>
                <ns0:color ns0:val="FFFFFF"/>
              </ns0:rPr>
            </ns0:r>
            <ns0:r>
              <ns0:rPr>
                <ns0:rFonts ns0:ascii="宋体" ns0:hAnsi="宋体" ns0:eastAsia="宋体"/>
                <ns0:b/>
                <ns0:color ns0:val="1F1F1F"/>
                <ns0:sz ns0:val="18"/>
              </ns0:rPr>
              <ns0:t>乙方：项目组/编制单位【正式名称或组号待人工确认】</ns0:t>
            </ns0:r>
          </ns0:p>
        </ns0:tc>
      </ns0:tr>
      <ns0:tr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8"/>
              </ns0:rPr>
              <ns0:t>授权代表：教师/评委代表【姓名待人工确认】</ns0:t>
              <ns0:br/>
              <ns0:t>签字/签章：【待人工确认】</ns0:t>
              <ns0:br/>
              <ns0:t>日期：【待人工确认】</ns0:t>
            </ns0:r>
          </ns0:p>
        </ns0:tc>
        <ns0:tc>
          <ns0:tcPr>
            <ns0:tcW ns0:type="dxa" ns0:w="4677"/>
            <ns0:vAlign ns0:val="center"/>
          </ns0:tcPr>
          <ns0:p>
            <ns0:pPr>
              <ns0:spacing ns0:after="0" ns0:line="252" ns0:lineRule="auto"/>
            </ns0:pPr>
            <ns0:r/>
            <ns0:r>
              <ns0:rPr>
                <ns0:rFonts ns0:ascii="宋体" ns0:hAnsi="宋体" ns0:eastAsia="宋体"/>
                <ns0:b ns0:val="0"/>
                <ns0:color ns0:val="1F1F1F"/>
                <ns0:sz ns0:val="18"/>
              </ns0:rPr>
              <ns0:t>项目经理：何思源</ns0:t>
              <ns0:br/>
              <ns0:t>技术复核：严宇</ns0:t>
              <ns0:br/>
              <ns0:t>合规复核：任俊强</ns0:t>
              <ns0:br/>
              <ns0:t>签字/签章：【待人工确认】</ns0:t>
              <ns0:br/>
              <ns0:t>日期：【待人工确认】</ns0:t>
            </ns0:r>
          </ns0:p>
        </ns0:tc>
      </ns0:tr>
    </ns0:tbl>
    <ns0:p>
      <ns0:pPr>
        <ns0:spacing ns0:after="20"/>
      </ns0:pPr>
    </ns0:p>
    <ns0:sectPr ns0:rsidR="001D1099">
      <ns0:footerReference ns0:type="default" ns2:id="rId8"/>
      <ns0:pgSz ns0:w="11906" ns0:h="16838"/>
      <ns0:pgMar ns0:top="1276" ns0:right="1276" ns0:bottom="1191" ns0:left="1276" ns0:header="708" ns0:footer="708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14F3BBE" ns2:textId="77777777" ns0:rsidR="00E22927" ns0:rsidRDefault="00E22927">
      <ns0:r>
        <ns0:separator/>
      </ns0:r>
    </ns0:p>
  </ns0:endnote>
  <ns0:endnote ns0:type="continuationSeparator" ns0:id="0">
    <ns0:p ns2:paraId="1C2E6767" ns2:textId="77777777" ns0:rsidR="00E22927" ns0:rsidRDefault="00E22927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79B8EB8" ns2:textId="77777777" ns0:rsidR="0029404A" ns0:rsidRDefault="001D1099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FA129B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6F6D99FA" ns2:textId="77777777" ns0:rsidR="00E22927" ns0:rsidRDefault="00E22927">
      <ns0:r>
        <ns0:separator/>
      </ns0:r>
    </ns0:p>
  </ns0:footnote>
  <ns0:footnote ns0:type="continuationSeparator" ns0:id="0">
    <ns0:p ns2:paraId="089ECD77" ns2:textId="77777777" ns0:rsidR="00E22927" ns0:rsidRDefault="00E22927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24F62B37"/>
    <ns0:multiLevelType ns0:val="hybridMultilevel"/>
    <ns0:tmpl ns0:val="17FA2BD0"/>
    <ns0:lvl ns0:ilvl="0" ns0:tplc="3F983E46">
      <ns0:start ns0:val="1"/>
      <ns0:numFmt ns0:val="bullet"/>
      <ns0:lvlText ns0:val="●"/>
      <ns0:lvlJc ns0:val="left"/>
      <ns0:pPr>
        <ns0:ind ns0:left="720" ns0:hanging="360"/>
      </ns0:pPr>
    </ns0:lvl>
    <ns0:lvl ns0:ilvl="1" ns0:tplc="5E822114">
      <ns0:start ns0:val="1"/>
      <ns0:numFmt ns0:val="bullet"/>
      <ns0:lvlText ns0:val="○"/>
      <ns0:lvlJc ns0:val="left"/>
      <ns0:pPr>
        <ns0:ind ns0:left="1440" ns0:hanging="360"/>
      </ns0:pPr>
    </ns0:lvl>
    <ns0:lvl ns0:ilvl="2" ns0:tplc="54584656">
      <ns0:start ns0:val="1"/>
      <ns0:numFmt ns0:val="bullet"/>
      <ns0:lvlText ns0:val="■"/>
      <ns0:lvlJc ns0:val="left"/>
      <ns0:pPr>
        <ns0:ind ns0:left="2160" ns0:hanging="360"/>
      </ns0:pPr>
    </ns0:lvl>
    <ns0:lvl ns0:ilvl="3" ns0:tplc="B232B608">
      <ns0:start ns0:val="1"/>
      <ns0:numFmt ns0:val="bullet"/>
      <ns0:lvlText ns0:val="●"/>
      <ns0:lvlJc ns0:val="left"/>
      <ns0:pPr>
        <ns0:ind ns0:left="2880" ns0:hanging="360"/>
      </ns0:pPr>
    </ns0:lvl>
    <ns0:lvl ns0:ilvl="4" ns0:tplc="07D4905C">
      <ns0:start ns0:val="1"/>
      <ns0:numFmt ns0:val="bullet"/>
      <ns0:lvlText ns0:val="○"/>
      <ns0:lvlJc ns0:val="left"/>
      <ns0:pPr>
        <ns0:ind ns0:left="3600" ns0:hanging="360"/>
      </ns0:pPr>
    </ns0:lvl>
    <ns0:lvl ns0:ilvl="5" ns0:tplc="B4D4D654">
      <ns0:start ns0:val="1"/>
      <ns0:numFmt ns0:val="bullet"/>
      <ns0:lvlText ns0:val="■"/>
      <ns0:lvlJc ns0:val="left"/>
      <ns0:pPr>
        <ns0:ind ns0:left="4320" ns0:hanging="360"/>
      </ns0:pPr>
    </ns0:lvl>
    <ns0:lvl ns0:ilvl="6" ns0:tplc="036EFD6C">
      <ns0:start ns0:val="1"/>
      <ns0:numFmt ns0:val="bullet"/>
      <ns0:lvlText ns0:val="●"/>
      <ns0:lvlJc ns0:val="left"/>
      <ns0:pPr>
        <ns0:ind ns0:left="5040" ns0:hanging="360"/>
      </ns0:pPr>
    </ns0:lvl>
    <ns0:lvl ns0:ilvl="7" ns0:tplc="9C76C954">
      <ns0:start ns0:val="1"/>
      <ns0:numFmt ns0:val="bullet"/>
      <ns0:lvlText ns0:val="●"/>
      <ns0:lvlJc ns0:val="left"/>
      <ns0:pPr>
        <ns0:ind ns0:left="5760" ns0:hanging="360"/>
      </ns0:pPr>
    </ns0:lvl>
    <ns0:lvl ns0:ilvl="8" ns0:tplc="4CE45D8C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29404A"/>
    <ns0:rsid ns0:val="001D1099"/>
    <ns0:rsid ns0:val="0029404A"/>
    <ns0:rsid ns0:val="00870A4B"/>
    <ns0:rsid ns0:val="00E22927"/>
    <ns0:rsid ns0:val="00FA129B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02B14127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FA129B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FA129B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FA129B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FA129B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需求确认书（教学样例）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2026-09-06T14:24:00Z</dcterms:modified>
</cp:coreProperties>
</file>