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60" w:line="300" w:lineRule="auto"/>
        <w:jc w:val="right"/>
      </w:pPr>
      <w:r>
        <w:rPr>
          <w:rFonts w:ascii="宋体" w:hAnsi="宋体" w:eastAsia="宋体"/>
          <w:b w:val="0"/>
          <w:color w:val="000000"/>
          <w:sz w:val="24"/>
        </w:rPr>
        <w:t>文档编号：【待人工确认】　　版本号：V1.0</w:t>
      </w:r>
    </w:p>
    <w:p>
      <w:pPr>
        <w:spacing w:before="0" w:after="900" w:line="300" w:lineRule="auto"/>
        <w:jc w:val="right"/>
      </w:pPr>
      <w:r>
        <w:rPr>
          <w:rFonts w:ascii="宋体" w:hAnsi="宋体" w:eastAsia="宋体"/>
          <w:b w:val="0"/>
          <w:color w:val="000000"/>
          <w:sz w:val="24"/>
        </w:rPr>
        <w:t>密　　级：内部</w:t>
      </w:r>
    </w:p>
    <w:p>
      <w:pPr>
        <w:spacing w:before="0" w:after="200" w:line="300" w:lineRule="auto"/>
        <w:jc w:val="center"/>
      </w:pPr>
      <w:r>
        <w:rPr>
          <w:rFonts w:ascii="黑体" w:hAnsi="黑体" w:eastAsia="黑体"/>
          <w:b/>
          <w:color w:val="000000"/>
          <w:sz w:val="44"/>
        </w:rPr>
        <w:t>某自然博物馆智能运营中心建设项目</w:t>
      </w:r>
    </w:p>
    <w:p>
      <w:pPr>
        <w:spacing w:before="0" w:after="360" w:line="300" w:lineRule="auto"/>
        <w:jc w:val="center"/>
      </w:pPr>
      <w:r>
        <w:rPr>
          <w:rFonts w:ascii="黑体" w:hAnsi="黑体" w:eastAsia="黑体"/>
          <w:b/>
          <w:color w:val="000000"/>
          <w:sz w:val="44"/>
        </w:rPr>
        <w:t>应急管理子系统</w:t>
      </w:r>
    </w:p>
    <w:p>
      <w:pPr>
        <w:spacing w:before="0" w:after="1040" w:line="300" w:lineRule="auto"/>
        <w:jc w:val="center"/>
      </w:pPr>
      <w:r>
        <w:rPr>
          <w:rFonts w:ascii="黑体" w:hAnsi="黑体" w:eastAsia="黑体"/>
          <w:b/>
          <w:color w:val="000000"/>
          <w:sz w:val="56"/>
        </w:rPr>
        <w:t>风险登记册（v1）</w:t>
      </w:r>
    </w:p>
    <w:p>
      <w:pPr>
        <w:spacing w:before="0" w:after="20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编制单位：项目组</w:t>
      </w:r>
    </w:p>
    <w:p>
      <w:pPr>
        <w:spacing w:before="0" w:after="20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编　　制：成员 A（项目经理 PM / 总编）</w:t>
      </w:r>
    </w:p>
    <w:p>
      <w:pPr>
        <w:spacing w:before="0" w:after="20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审　　核：成员 C（计划完整性与一致性复核）</w:t>
      </w:r>
    </w:p>
    <w:p>
      <w:pPr>
        <w:spacing w:before="0" w:after="20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批　　准：【待人工确认】</w:t>
      </w:r>
    </w:p>
    <w:p>
      <w:pPr>
        <w:spacing w:before="0" w:after="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编制日期：2026 年 9 月 11 日</w:t>
      </w:r>
    </w:p>
    <w:p>
      <w:r>
        <w:br w:type="page"/>
      </w:r>
    </w:p>
    <w:p>
      <w:pPr>
        <w:spacing w:before="0" w:after="80" w:line="300" w:lineRule="auto"/>
        <w:jc w:val="center"/>
      </w:pPr>
      <w:r>
        <w:rPr>
          <w:rFonts w:ascii="黑体" w:hAnsi="黑体" w:eastAsia="黑体"/>
          <w:b/>
          <w:color w:val="000000"/>
          <w:sz w:val="24"/>
        </w:rPr>
        <w:t>修订记录</w:t>
      </w:r>
    </w:p>
    <w:p>
      <w:pPr>
        <w:spacing w:before="0" w:after="100" w:line="240" w:lineRule="auto"/>
        <w:jc w:val="left"/>
      </w:pPr>
      <w:r>
        <w:rPr>
          <w:rFonts w:ascii="宋体" w:hAnsi="宋体" w:eastAsia="宋体"/>
          <w:b w:val="0"/>
          <w:color w:val="000000"/>
          <w:sz w:val="18"/>
        </w:rPr>
        <w:t>注：本表记录自初稿以来的全部版本沿革；风险状态、措施和关联证据的后续变化在本登记册版本中保留。</w:t>
      </w:r>
    </w:p>
    <w:tbl>
      <w:tblPr>
        <w:tblW w:type="dxa" w:w="9009"/>
        <w:tblLayout w:type="fixed"/>
        <w:tblLook w:firstColumn="1" w:firstRow="1" w:lastColumn="0" w:lastRow="0" w:noHBand="0" w:noVBand="1" w:val="04A0"/>
        <w:tblInd w:type="dxa" w:w="120"/>
      </w:tblPr>
      <w:tblGrid>
        <w:gridCol w:w="1514"/>
        <w:gridCol w:w="1531"/>
        <w:gridCol w:w="1480"/>
        <w:gridCol w:w="3010"/>
        <w:gridCol w:w="1474"/>
      </w:tblGrid>
      <w:tr>
        <w:trPr>
          <w:tblHeader w:val="true"/>
        </w:trPr>
        <w:tc>
          <w:tcPr>
            <w:tcW w:type="dxa" w:w="1514"/>
            <w:vAlign w:val="center"/>
            <w:shd w:fill="D9E2E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版本</w:t>
            </w:r>
          </w:p>
        </w:tc>
        <w:tc>
          <w:tcPr>
            <w:tcW w:type="dxa" w:w="1531"/>
            <w:vAlign w:val="center"/>
            <w:shd w:fill="D9E2E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日期</w:t>
            </w:r>
          </w:p>
        </w:tc>
        <w:tc>
          <w:tcPr>
            <w:tcW w:type="dxa" w:w="1480"/>
            <w:vAlign w:val="center"/>
            <w:shd w:fill="D9E2E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修订章节</w:t>
            </w:r>
          </w:p>
        </w:tc>
        <w:tc>
          <w:tcPr>
            <w:tcW w:type="dxa" w:w="3010"/>
            <w:vAlign w:val="center"/>
            <w:shd w:fill="D9E2E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修订说明</w:t>
            </w:r>
          </w:p>
        </w:tc>
        <w:tc>
          <w:tcPr>
            <w:tcW w:type="dxa" w:w="1474"/>
            <w:vAlign w:val="center"/>
            <w:shd w:fill="D9E2E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编制/修订人</w:t>
            </w:r>
          </w:p>
        </w:tc>
      </w:tr>
      <w:tr>
        <w:tc>
          <w:tcPr>
            <w:tcW w:type="dxa" w:w="15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V1.0</w:t>
            </w:r>
          </w:p>
        </w:tc>
        <w:tc>
          <w:tcPr>
            <w:tcW w:type="dxa" w:w="153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2026-09-11</w:t>
            </w:r>
          </w:p>
        </w:tc>
        <w:tc>
          <w:tcPr>
            <w:tcW w:type="dxa" w:w="14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全文</w:t>
            </w:r>
          </w:p>
        </w:tc>
        <w:tc>
          <w:tcPr>
            <w:tcW w:type="dxa" w:w="30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基于冻结 Baseline、用户需求书、项目建议书、技术方案及待复核计划建立风险登记册 v1，提交 C 复核。</w:t>
            </w:r>
          </w:p>
        </w:tc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A</w:t>
            </w:r>
          </w:p>
        </w:tc>
      </w:tr>
    </w:tbl>
    <w:p>
      <w:r>
        <w:br w:type="page"/>
      </w:r>
    </w:p>
    <w:p>
      <w:pPr>
        <w:pStyle w:val="1"/>
        <w:spacing w:before="240" w:after="120"/>
      </w:pPr>
      <w:r>
        <w:rPr>
          <w:rFonts w:ascii="黑体" w:hAnsi="黑体" w:eastAsia="黑体"/>
          <w:b/>
          <w:color w:val="000000"/>
          <w:sz w:val="30"/>
        </w:rPr>
        <w:t>1 风险清单</w:t>
      </w:r>
    </w:p>
    <w:p>
      <w:pPr>
        <w:spacing w:before="0"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本登记册用于识别、评估、跟踪并控制项目实施与验收风险。项目事实、关键数字、甲乙责任和正式里程碑以冻结 Baseline 与用户需求书为准。项目计划 v1 当前仍待复核，涉及其 WBS、阶段、里程碑或资源安排的关联判断均标注“待计划 Review 后复核”。</w:t>
      </w:r>
    </w:p>
    <w:p>
      <w:pPr>
        <w:spacing w:before="0"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评分口径：概率与影响均采用 1 至 5 级；评分为概率乘以影响，1—4 为低、5—9 为中、10—16 为高、17—25 为极高。该分级服务于管理优先级，不替代验收结论。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55464" cy="3630168"/>
            <wp:docPr id="1" name="图1-1 项目风险矩阵" title="图1-1 项目风险矩阵" descr="图1-1 项目风险矩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-matrix-4x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5464" cy="3630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8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图 1-1 风险矩阵（16 项风险的概率 × 影响分布）</w:t>
      </w:r>
    </w:p>
    <w:p>
      <w:pPr>
        <w:keepNext/>
        <w:spacing w:before="120" w:after="80" w:line="240" w:lineRule="auto"/>
        <w:jc w:val="center"/>
      </w:pPr>
      <w:r>
        <w:rPr>
          <w:rFonts w:ascii="黑体" w:hAnsi="黑体" w:eastAsia="黑体"/>
          <w:b/>
          <w:color w:val="000000"/>
          <w:sz w:val="18"/>
        </w:rPr>
        <w:t>表 1-1　风险登记与评估表</w:t>
      </w:r>
    </w:p>
    <w:tbl>
      <w:tblPr>
        <w:tblW w:type="dxa" w:w="9026"/>
        <w:tblLayout w:type="fixed"/>
        <w:tblLook w:firstColumn="1" w:firstRow="1" w:lastColumn="0" w:lastRow="0" w:noHBand="0" w:noVBand="1" w:val="04A0"/>
        <w:tblInd w:type="dxa" w:w="120"/>
      </w:tblPr>
      <w:tblGrid>
        <w:gridCol w:w="669"/>
        <w:gridCol w:w="2228"/>
        <w:gridCol w:w="765"/>
        <w:gridCol w:w="590"/>
        <w:gridCol w:w="590"/>
        <w:gridCol w:w="658"/>
        <w:gridCol w:w="2103"/>
        <w:gridCol w:w="765"/>
        <w:gridCol w:w="658"/>
      </w:tblGrid>
      <w:tr>
        <w:trPr>
          <w:tblHeader w:val="true"/>
        </w:trPr>
        <w:tc>
          <w:tcPr>
            <w:tcW w:type="dxa" w:w="669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4"/>
              </w:rPr>
              <w:t>编号</w:t>
            </w:r>
          </w:p>
        </w:tc>
        <w:tc>
          <w:tcPr>
            <w:tcW w:type="dxa" w:w="2228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4"/>
              </w:rPr>
              <w:t>风险描述</w:t>
            </w:r>
          </w:p>
        </w:tc>
        <w:tc>
          <w:tcPr>
            <w:tcW w:type="dxa" w:w="765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4"/>
              </w:rPr>
              <w:t>类别</w:t>
            </w:r>
          </w:p>
        </w:tc>
        <w:tc>
          <w:tcPr>
            <w:tcW w:type="dxa" w:w="590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4"/>
              </w:rPr>
              <w:t>概率</w:t>
            </w:r>
          </w:p>
        </w:tc>
        <w:tc>
          <w:tcPr>
            <w:tcW w:type="dxa" w:w="590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4"/>
              </w:rPr>
              <w:t>影响</w:t>
            </w:r>
          </w:p>
        </w:tc>
        <w:tc>
          <w:tcPr>
            <w:tcW w:type="dxa" w:w="658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4"/>
              </w:rPr>
              <w:t>等级</w:t>
            </w:r>
          </w:p>
        </w:tc>
        <w:tc>
          <w:tcPr>
            <w:tcW w:type="dxa" w:w="2103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4"/>
              </w:rPr>
              <w:t>应对措施</w:t>
            </w:r>
          </w:p>
        </w:tc>
        <w:tc>
          <w:tcPr>
            <w:tcW w:type="dxa" w:w="765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4"/>
              </w:rPr>
              <w:t>责任人</w:t>
            </w:r>
          </w:p>
        </w:tc>
        <w:tc>
          <w:tcPr>
            <w:tcW w:type="dxa" w:w="658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4"/>
              </w:rPr>
              <w:t>状态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RR-01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外部接口条件未按约具备，适配与联动验证延后。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接口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20 极高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逐接口清单、契约验证、模拟服务与书面升级。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A/B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RR-02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接口字段或状态语义不一致，事件与统计转换错误。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接口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15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版本契约、模式校验、转换日志与人工核验。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RR-03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消息通道限流或回执不完整，通知到达率无法证明。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消息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16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真实通道验证、台账、幂等重试、补发与人工联系。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RR-04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视频目录、取流或回放不稳定，指挥端调阅受限。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视频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M2 前连通验证、适配封装、熔断与人工调阅。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RR-05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定位数据错配或漂移，一张图与打卡判断失真。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定位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现场标定、质量字段、最后位置与异常复核。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B/C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RR-06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基础数据或地图质量不足，初始化和空间叠加失败。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数据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16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模板、试导入、对账、隔离错误数据和人工复核。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C/B/A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RR-07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宿主桥接或终端兼容不足，H5 移动业务中断。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H5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桥接与终端矩阵验证、能力检测、人工录入降级。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RR-08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峰值负载下链路排队或超时，性能指标不达标。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性能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20 极高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容量测试、监测、优化、限流并保护核心链路。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RR-09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扫描或渗透测试发现高危漏洞或越权问题。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安全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15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最小权限、SCA、扫描、修复复测与发布冻结。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B/C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RR-10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隔离环境依赖或配置不兼容，部署和移植验收失败。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部署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20 极高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离线制品、校验清单、干净环境验证和回滚。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RR-11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备份、网络或后备电源条件不足，恢复目标受影响。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连续性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15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恢复方案、健康检查、备份校验与恢复演练。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RR-12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未书面确认的需求或范围变化导致返工和承诺漂移。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范围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Baseline、RTM、书面变更及影响分析控制。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A/C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RR-13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关键路径或阻断项未关闭，正式里程碑可能受影响。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进度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20 极高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完成证据周跟踪、偏差升级与变更控制。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RR-14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成员不可用或复核积压，交付与门禁失效。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人员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主责复核分离、交接、复核窗口与证据清单。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RR-15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AI 输出未经核验，产生错误实现、幻觉或证据链失真。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AI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来源回溯、人工复核、测试验证和不可信输出隔离。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A/B/C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RR-16</w:t>
            </w:r>
          </w:p>
        </w:tc>
        <w:tc>
          <w:tcPr>
            <w:tcW w:type="dxa" w:w="22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需求、设计、测试和制品版本不一致，验收无法证明。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验收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15 高</w:t>
            </w:r>
          </w:p>
        </w:tc>
        <w:tc>
          <w:tcPr>
            <w:tcW w:type="dxa" w:w="21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双向追踪、配置审计、证据位置与交付包核对。</w:t>
            </w:r>
          </w:p>
        </w:tc>
        <w:tc>
          <w:tcPr>
            <w:tcW w:type="dxa" w:w="7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A/C/B</w:t>
            </w:r>
          </w:p>
        </w:tc>
        <w:tc>
          <w:tcPr>
            <w:tcW w:type="dxa" w:w="6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</w:tbl>
    <w:p>
      <w:pPr>
        <w:sectPr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20" w:after="80" w:line="240" w:lineRule="auto"/>
        <w:jc w:val="center"/>
      </w:pPr>
      <w:r>
        <w:rPr>
          <w:rFonts w:ascii="黑体" w:hAnsi="黑体" w:eastAsia="黑体"/>
          <w:b/>
          <w:color w:val="000000"/>
          <w:sz w:val="18"/>
        </w:rPr>
        <w:t>表 1-2　风险触发、应对与关联表</w:t>
      </w:r>
    </w:p>
    <w:tbl>
      <w:tblPr>
        <w:tblW w:type="dxa" w:w="13889"/>
        <w:tblLayout w:type="fixed"/>
        <w:tblLook w:firstColumn="1" w:firstRow="1" w:lastColumn="0" w:lastRow="0" w:noHBand="0" w:noVBand="1" w:val="04A0"/>
        <w:tblInd w:type="dxa" w:w="120"/>
      </w:tblPr>
      <w:tblGrid>
        <w:gridCol w:w="624"/>
        <w:gridCol w:w="2324"/>
        <w:gridCol w:w="2324"/>
        <w:gridCol w:w="2494"/>
        <w:gridCol w:w="2494"/>
        <w:gridCol w:w="2835"/>
        <w:gridCol w:w="794"/>
      </w:tblGrid>
      <w:tr>
        <w:trPr>
          <w:tblHeader w:val="true"/>
        </w:trPr>
        <w:tc>
          <w:tcPr>
            <w:tcW w:type="dxa" w:w="624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5"/>
              </w:rPr>
              <w:t>编号</w:t>
            </w:r>
          </w:p>
        </w:tc>
        <w:tc>
          <w:tcPr>
            <w:tcW w:type="dxa" w:w="2324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5"/>
              </w:rPr>
              <w:t>触发条件</w:t>
            </w:r>
          </w:p>
        </w:tc>
        <w:tc>
          <w:tcPr>
            <w:tcW w:type="dxa" w:w="2324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5"/>
              </w:rPr>
              <w:t>可能后果</w:t>
            </w:r>
          </w:p>
        </w:tc>
        <w:tc>
          <w:tcPr>
            <w:tcW w:type="dxa" w:w="2494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5"/>
              </w:rPr>
              <w:t>预防措施</w:t>
            </w:r>
          </w:p>
        </w:tc>
        <w:tc>
          <w:tcPr>
            <w:tcW w:type="dxa" w:w="2494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5"/>
              </w:rPr>
              <w:t>应急措施</w:t>
            </w:r>
          </w:p>
        </w:tc>
        <w:tc>
          <w:tcPr>
            <w:tcW w:type="dxa" w:w="2835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5"/>
              </w:rPr>
              <w:t>WBS/里程碑/Issue 关联</w:t>
            </w:r>
          </w:p>
        </w:tc>
        <w:tc>
          <w:tcPr>
            <w:tcW w:type="dxa" w:w="794"/>
            <w:vAlign w:val="center"/>
            <w:shd w:fill="DCE6F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5"/>
              </w:rPr>
              <w:t>状态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RR-01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资料、账号、授权、环境或窗口缺失。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M2 输入不完整、联调和验收延期。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接口清单、版本/权限/窗口确认、样例契约验证。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模拟服务推进；调整联调顺序；人工入口与书面升级。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3.3、3.7、3.8、4.9、4.10；M2、M5；历史 Issue 005、010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RR-02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字段、编码、时间戳或枚举变更；异常报文出现。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告警转事件、组织同步或统计错误。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版本化契约、模式校验、映射与转换日志。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隔离异常数据；兼容映射；人工核验队列。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3.3、4.9、4.10、5.1；M2、M3；历史 Issue 005、010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RR-03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回执缺失、限流、失败码不明或配额异常。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并行和到达率证据不足，关键通知延迟。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真实通道验证、台账、幂等键、重试与回执汇聚。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切换可用通道；补发；显示未送达对象并人工联系。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3.8、4.1、4.5、5.3；M2、M3；KN-006/007；历史 Issue 004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RR-04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目录不一致、取流失败、录像缺失或首帧异常。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无法及时调阅实时/历史录像，研判受限。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M2 前验证目录、取流、检索、回放与鉴权。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熔断故障通道；显示失败原因；人工调阅。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3.7、4.6、5.3；M2、M5；KN-010/060；历史 Issue 001、010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RR-05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坐标漂移、楼层错配、刷新抖动、离线比例升高。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人员位置错误、打卡争议、地图联动失败。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质量字段、控制点、现场标定和楼层映射验证。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显示新鲜度；降级最后位置/人员列表；异常复核。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3.2、4.3、4.6、5.3；M3；KN-008/009；历史 Issue 002、006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RR-06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真实源数据迟到、重复或缺关键字段/坐标；地图不兼容。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导入失败、统计错误、点位错位、验收数据不可确认。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模板、映射、试导入、技术对账和甲方业务确认。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错误清单分批修复；隔离不合格数据；人工补录复核。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3.2、4.12、5.2；M3、M5；历史 Issue 006、009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RR-07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宿主 API 缺失、权限受限、终端差异或弱网异常。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六类移动业务不能走通，现场反馈受阻。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桥接 API 与终端矩阵验证；能力检测与权限引导。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降级可用浏览器能力或人工录入；保留异常证据。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4.7、5.3；M3、M5；KN-015/036；历史 Issue 007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RR-08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队列积压、慢查询、地图卡顿或接口超时上升。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关键性能要求不达标，应急主链路受损。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按链路监测；容量/故障测试；优化索引、缓存和异步处理。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限制非关键刷新/图层；优先事件、任务、消息；复测。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4.11、5.3；M3、M5；KN-003、028、034—037。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RR-09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SCA、扫描或渗透测试发现高危、越权、注入或上传问题。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安全验收阻断，敏感数据或联动指令风险上升。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威胁建模、最小权限、服务端鉴权、输入校验和持续扫描。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冻结发布；修复复测；组件隔离缓解并登记。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3.4、5.4；M3、M5；KN-042/043/030；历史 Issue 011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RR-10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镜像导入失败、端口不通、证书/时间/组件版本不兼容。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容器化部署或可移植性验收失败。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离线制品、版本锁定、校验清单、等效干净环境验证。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使用已验证组合；差异记录和修复包；按方案回滚。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3.4、4.13、5.4；M3、M5；KN-005/065；历史 Issue 008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RR-11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后备电源、网络、备份介质未满足；恢复超时或数据不一致。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可用率/恢复目标不达标，运行记录可能缺失。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边界确认、健康检查、备份校验和恢复演练。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优先恢复事件、任务、消息和值班；人工处置补录。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3.4、4.11、6.5；M4、M5；KN-040/041；历史 Issue 008 已关闭。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RR-12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口头新增需求、范围外责任转移或验收条件临时增加。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返工、承诺漂移和追溯失效。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Baseline、SRS、RTM 和书面变更单；先做影响分析。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暂停受影响承诺；登记 Issue/Change；书面确认后升版。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1.4、2.1—2.5、5.2；M1—M5。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RR-13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关键路径完成判据未满足，输入迟到或阻断项未关闭。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M2、M3 或后续正式里程碑受影响。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周跟踪完成证据和偏差；关键前置检查；24 小时升级。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调整内部顺序并保护强制范围；正式里程碑变化走变更。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1.2、1.3、3.7、3.8、4.13、5.5、6.6、6.7；M2—M5。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RR-14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主责或复核人不可用，职责冲突或评审积压。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交付和独立复核延迟，门禁失效。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主责复核分离、优先级、交接和关闭证据清单。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重排并行项；增加书面交接和复核窗口；不复核不准出。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1.2、1.3；M1—M5。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RR-15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AI 输出无来源、与需求不一致或自动检查被误报为人工结论。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错误实现、幻觉、虚假证据或敏感数据泄露。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来源回溯、人工复核、测试验证、提示与证据受控。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隔离不可信输出；回滚受影响制品；更正证据并重新验证。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1.3、1.4、5.1—5.4；M1—M5；治理文件。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RR-16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RTM 缺项、文档制品版本不一致或测试证据不完整。</w:t>
            </w:r>
          </w:p>
        </w:tc>
        <w:tc>
          <w:tcPr>
            <w:tcW w:type="dxa" w:w="23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初验/竣工验收复验，交付包不可证明。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双向追踪、里程碑配置审计、版本与证据位置核对。</w:t>
            </w:r>
          </w:p>
        </w:tc>
        <w:tc>
          <w:tcPr>
            <w:tcW w:type="dxa" w:w="24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停止不完整提交；补齐追踪、测试和审计；重新验证。</w:t>
            </w:r>
          </w:p>
        </w:tc>
        <w:tc>
          <w:tcPr>
            <w:tcW w:type="dxa" w:w="28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1.3、1.4、2.4、5.1—5.5、6.6、6.7；M1—M5。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</w:tbl>
    <w:p>
      <w:pPr>
        <w:sectPr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1"/>
        <w:spacing w:before="240" w:after="120"/>
      </w:pPr>
      <w:r>
        <w:rPr>
          <w:rFonts w:ascii="黑体" w:hAnsi="黑体" w:eastAsia="黑体"/>
          <w:b/>
          <w:color w:val="000000"/>
          <w:sz w:val="30"/>
        </w:rPr>
        <w:t>2 跟踪机制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A 每周依据周报、接口前置条件、测试记录、数据对账、部署和运行证据更新风险状态、触发条件、责任人和措施有效性；重大风险在识别后 24 小时内书面报告甲方。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RR-01、RR-08、RR-10、RR-13 为极高风险，按周形成专项跟踪记录；触发后先保护事件、任务、消息和审计等核心链路，再评估对正式里程碑的影响。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视频、消息和接口风险在设计评审前必须形成真实连通性验证记录；模拟服务或自动检查结果不得写成真实连通结论。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数据、部署、安全、性能和验收风险分别以数据对账、干净环境部署、安全复测、性能实测和需求追踪证据作为关闭依据。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历史 Issue 的关闭仅表示需求解释已裁决。出现新的接口、环境、数据或验证问题时新建 Issue 或变更记录，不覆盖历史。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项目计划 v1 完成 C 的 Review 前，所有标有“待计划 Review 后复核”的 WBS、阶段和资源关联由 A 与 C 复核；本登记册不修改项目计划。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风险关闭必须同时具备触发条件解除或受控、措施执行证据、残余影响评估以及可回溯关联记录，并由相应责任人和复核人确认。</w:t>
      </w:r>
    </w:p>
    <w:sectPr w:rsidR="004979D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F91AA1" w14:textId="77777777" w:rsidR="00756839" w:rsidRDefault="00756839">
      <w:r>
        <w:separator/>
      </w:r>
    </w:p>
  </w:endnote>
  <w:endnote w:type="continuationSeparator" w:id="0">
    <w:p w14:paraId="694800B5" w14:textId="77777777" w:rsidR="00756839" w:rsidRDefault="00756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81D52" w14:textId="77777777" w:rsidR="004979D7" w:rsidRDefault="00692DA2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8D06D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805DE6" w14:textId="77777777" w:rsidR="00756839" w:rsidRDefault="00756839">
      <w:r>
        <w:separator/>
      </w:r>
    </w:p>
  </w:footnote>
  <w:footnote w:type="continuationSeparator" w:id="0">
    <w:p w14:paraId="76464312" w14:textId="77777777" w:rsidR="00756839" w:rsidRDefault="007568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732DB7"/>
    <w:multiLevelType w:val="hybridMultilevel"/>
    <w:tmpl w:val="095A071A"/>
    <w:lvl w:ilvl="0" w:tplc="C3FE71CE">
      <w:start w:val="1"/>
      <w:numFmt w:val="bullet"/>
      <w:lvlText w:val="●"/>
      <w:lvlJc w:val="left"/>
      <w:pPr>
        <w:ind w:left="720" w:hanging="360"/>
      </w:pPr>
    </w:lvl>
    <w:lvl w:ilvl="1" w:tplc="69D48304">
      <w:start w:val="1"/>
      <w:numFmt w:val="bullet"/>
      <w:lvlText w:val="○"/>
      <w:lvlJc w:val="left"/>
      <w:pPr>
        <w:ind w:left="1440" w:hanging="360"/>
      </w:pPr>
    </w:lvl>
    <w:lvl w:ilvl="2" w:tplc="B5808C2E">
      <w:start w:val="1"/>
      <w:numFmt w:val="bullet"/>
      <w:lvlText w:val="■"/>
      <w:lvlJc w:val="left"/>
      <w:pPr>
        <w:ind w:left="2160" w:hanging="360"/>
      </w:pPr>
    </w:lvl>
    <w:lvl w:ilvl="3" w:tplc="4CEEC7E6">
      <w:start w:val="1"/>
      <w:numFmt w:val="bullet"/>
      <w:lvlText w:val="●"/>
      <w:lvlJc w:val="left"/>
      <w:pPr>
        <w:ind w:left="2880" w:hanging="360"/>
      </w:pPr>
    </w:lvl>
    <w:lvl w:ilvl="4" w:tplc="470AA362">
      <w:start w:val="1"/>
      <w:numFmt w:val="bullet"/>
      <w:lvlText w:val="○"/>
      <w:lvlJc w:val="left"/>
      <w:pPr>
        <w:ind w:left="3600" w:hanging="360"/>
      </w:pPr>
    </w:lvl>
    <w:lvl w:ilvl="5" w:tplc="89D09948">
      <w:start w:val="1"/>
      <w:numFmt w:val="bullet"/>
      <w:lvlText w:val="■"/>
      <w:lvlJc w:val="left"/>
      <w:pPr>
        <w:ind w:left="4320" w:hanging="360"/>
      </w:pPr>
    </w:lvl>
    <w:lvl w:ilvl="6" w:tplc="E4901B32">
      <w:start w:val="1"/>
      <w:numFmt w:val="bullet"/>
      <w:lvlText w:val="●"/>
      <w:lvlJc w:val="left"/>
      <w:pPr>
        <w:ind w:left="5040" w:hanging="360"/>
      </w:pPr>
    </w:lvl>
    <w:lvl w:ilvl="7" w:tplc="94B4534E">
      <w:start w:val="1"/>
      <w:numFmt w:val="bullet"/>
      <w:lvlText w:val="●"/>
      <w:lvlJc w:val="left"/>
      <w:pPr>
        <w:ind w:left="5760" w:hanging="360"/>
      </w:pPr>
    </w:lvl>
    <w:lvl w:ilvl="8" w:tplc="368C2B8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9D7"/>
    <w:rsid w:val="004979D7"/>
    <w:rsid w:val="00692DA2"/>
    <w:rsid w:val="00756839"/>
    <w:rsid w:val="008D06D0"/>
    <w:rsid w:val="00FC2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98F3B0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8D06D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8D06D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8D06D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8D06D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246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风险登记册 v1（教学样例）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2026-09-06T14:24:00Z</dcterms:modified>
</cp:coreProperties>
</file>