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软件需求规格说明书 SRS</w:t>
      </w:r>
    </w:p>
    <w:p>
      <w:pPr>
        <w:jc w:val="center"/>
      </w:pPr>
      <w:r>
        <w:t>某自然博物馆智能运营中心建设项目 应急管理子系统</w:t>
      </w:r>
    </w:p>
    <w:p>
      <w:pPr>
        <w:jc w:val="center"/>
      </w:pPr>
      <w:r>
        <w:t>第二关正式交付件 2026年9月13日</w:t>
      </w:r>
    </w:p>
    <w:p/>
    <w:p>
      <w:pPr>
        <w:pStyle w:val="Heading1"/>
      </w:pPr>
      <w:r>
        <w:t>软件需求规格说明书 SRS v0.1</w:t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873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Task</w:t>
            </w:r>
          </w:p>
        </w:tc>
        <w:tc>
          <w:tcPr>
            <w:tcW w:type="dxa" w:w="487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G2-03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状态</w:t>
            </w:r>
          </w:p>
        </w:tc>
        <w:tc>
          <w:tcPr>
            <w:tcW w:type="dxa" w:w="487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DONE（2026-09-13 C 符合性复核通过）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主责</w:t>
            </w:r>
          </w:p>
        </w:tc>
        <w:tc>
          <w:tcPr>
            <w:tcW w:type="dxa" w:w="487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复核</w:t>
            </w:r>
          </w:p>
        </w:tc>
        <w:tc>
          <w:tcPr>
            <w:tcW w:type="dxa" w:w="487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上游基线</w:t>
            </w:r>
          </w:p>
        </w:tc>
        <w:tc>
          <w:tcPr>
            <w:tcW w:type="dxa" w:w="487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BASELINE-V1.0；G2-01；G2-02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需求范围</w:t>
            </w:r>
          </w:p>
        </w:tc>
        <w:tc>
          <w:tcPr>
            <w:tcW w:type="dxa" w:w="487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29 条 MVP 功能需求；全项目 39 条 FR 的实施与验收责任不变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编制日期</w:t>
            </w:r>
          </w:p>
        </w:tc>
        <w:tc>
          <w:tcPr>
            <w:tcW w:type="dxa" w:w="487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2026-09-13</w:t>
            </w:r>
          </w:p>
        </w:tc>
      </w:tr>
    </w:tbl>
    <w:p/>
    <w:p>
      <w:pPr>
        <w:pStyle w:val="Heading1"/>
      </w:pPr>
      <w:r>
        <w:t>1 引言</w:t>
      </w:r>
    </w:p>
    <w:p>
      <w:pPr>
        <w:pStyle w:val="Heading2"/>
      </w:pPr>
      <w:r>
        <w:t>1.1 目的</w:t>
      </w:r>
    </w:p>
    <w:p>
      <w:r>
        <w:t>本说明书将第二关已确认的 29 条 MVP 功能需求整理为给人阅读、可评审、可验证的需求规格，为 `spec.md`、反向澄清、RTM、设计和测试提供统一输入。本文中的“验证”表示应形成可复核证据，不表示接口、环境或能力已经验收通过。</w:t>
      </w:r>
    </w:p>
    <w:p>
      <w:pPr>
        <w:pStyle w:val="Heading2"/>
      </w:pPr>
      <w:r>
        <w:t>1.2 项目范围</w:t>
      </w:r>
    </w:p>
    <w:p>
      <w:r>
        <w:t>本系统以数字化预案为核心，以应急指挥为枢纽，以 H5 移动处置为延伸，覆盖事前准备、事件接报、指挥处置、现场执行和事后改进。当前 MVP 包含 29 条唯一 FR，均为 Must；其余 10 条 FR 仍属于本期实施、测试和验收范围，不因未进入 MVP 而取消或降低要求。</w:t>
      </w:r>
    </w:p>
    <w:p>
      <w:pPr>
        <w:pStyle w:val="Heading2"/>
      </w:pPr>
      <w:r>
        <w:t>1.3 依据与优先级</w:t>
      </w:r>
    </w:p>
    <w:p>
      <w:r>
        <w:t>需求事实以《用户需求书》和 BASELINE-V1.0 为准；第二关任务要求、G2 需求控制文件和课程模拟访谈依次用于组织规格。课程模拟访谈不是现实访谈原话，不能覆盖冻结的功能、★属性、数字、责任或验收条件。教学参考材料不得作为本项目业务事实来源。</w:t>
      </w:r>
    </w:p>
    <w:p>
      <w:pPr>
        <w:pStyle w:val="Heading2"/>
      </w:pPr>
      <w:r>
        <w:t>1.4 文档约定</w:t>
      </w:r>
    </w:p>
    <w:p>
      <w:pPr>
        <w:pStyle w:val="ListBullet"/>
      </w:pPr>
      <w:r>
        <w:t>`G2-FR-nnn` 是第二关稳定功能编号，与一个原始 `FR-xx.x` 一一对应。</w:t>
      </w:r>
    </w:p>
    <w:p>
      <w:pPr>
        <w:pStyle w:val="ListBullet"/>
      </w:pPr>
      <w:r>
        <w:t>`AC-G2-FR-nnn-01` 是 SRS 与 `spec.md` 共用的验收标准编号。</w:t>
      </w:r>
    </w:p>
    <w:p>
      <w:pPr>
        <w:pStyle w:val="ListBullet"/>
      </w:pPr>
      <w:r>
        <w:t>`★` 表示实质性条款，不允许负偏离；当前 MVP 有 28 条★、1 条非★。</w:t>
      </w:r>
    </w:p>
    <w:p>
      <w:pPr>
        <w:pStyle w:val="ListBullet"/>
      </w:pPr>
      <w:r>
        <w:t>Given、When、Then 分别表示前置条件、触发行为和可观察结果。</w:t>
      </w:r>
    </w:p>
    <w:p>
      <w:pPr>
        <w:pStyle w:val="ListBullet"/>
      </w:pPr>
      <w:r>
        <w:t>`待验证` 表示需要在约定环境、接口或测试中形成证据，不得解释为已通过。</w:t>
      </w:r>
    </w:p>
    <w:p>
      <w:pPr>
        <w:pStyle w:val="Heading2"/>
      </w:pPr>
      <w:r>
        <w:t>1.5 故事映射关闭状态</w:t>
      </w:r>
    </w:p>
    <w:p>
      <w:r>
        <w:t>`ISSUE-G2-02-001` 已由 C 修订并经 B 复验关闭。US-017、US-019、US-022、US-024 现已分别与 G2-FR-021、023、009、017 的冻结语义一致；本说明书继续以 canonical G2-FR、原始 FR 和冻结事实为准。</w:t>
      </w:r>
    </w:p>
    <w:p>
      <w:pPr>
        <w:pStyle w:val="Heading1"/>
      </w:pPr>
      <w:r>
        <w:t>2 总体说明</w:t>
      </w:r>
    </w:p>
    <w:p>
      <w:pPr>
        <w:pStyle w:val="Heading2"/>
      </w:pPr>
      <w:r>
        <w:t>2.1 用户与使用场景</w:t>
      </w:r>
    </w:p>
    <w:p>
      <w:r>
        <w:t>主要用户包括应急值班员、应急指挥人员、演练与安全管理人员、现场处置与物资管理人员、值班管理人员以及平台与接口管理员。用户通过 Web、指挥视图和嵌入甲方既有智慧管理 APP 的 H5 完成工作。</w:t>
      </w:r>
    </w:p>
    <w:p>
      <w:pPr>
        <w:pStyle w:val="Heading2"/>
      </w:pPr>
      <w:r>
        <w:t>2.2 产品边界</w:t>
      </w:r>
    </w:p>
    <w:p>
      <w:r>
        <w:t>本项目建设应急业务软件、H5、数据接口、配套文档和培训。既有视频、定位、门禁、消防、物联网和中台等系统本体及硬件不默认由本项目建设；本项目仍承担约定的软件适配、字段映射、容错、降级、联调、验证和交付责任。</w:t>
      </w:r>
    </w:p>
    <w:p>
      <w:pPr>
        <w:pStyle w:val="Heading2"/>
      </w:pPr>
      <w:r>
        <w:t>2.3 运行与依赖环境</w:t>
      </w:r>
    </w:p>
    <w:p>
      <w:r>
        <w:t>甲方提供私有部署基础环境、既有平台接口、账号权限、合法地图与业务源数据；乙方负责容器化软件交付、最低配置建议、部署验证和数据技术校验。KN-070—KN-078 属于方案建议，不是 P1 强制需求，不写入本 SRS 的强制条款。</w:t>
      </w:r>
    </w:p>
    <w:p>
      <w:pPr>
        <w:pStyle w:val="Heading2"/>
      </w:pPr>
      <w:r>
        <w:t>2.4 约束和假设</w:t>
      </w:r>
    </w:p>
    <w:p>
      <w:pPr>
        <w:pStyle w:val="ListBullet"/>
      </w:pPr>
      <w:r>
        <w:t>视频和统一消息须在 M2 前形成真实连通性验证证据。</w:t>
      </w:r>
    </w:p>
    <w:p>
      <w:pPr>
        <w:pStyle w:val="ListBullet"/>
      </w:pPr>
      <w:r>
        <w:t>定位刷新与精度依赖甲方源能力，乙方链路不得降低源精度。</w:t>
      </w:r>
    </w:p>
    <w:p>
      <w:pPr>
        <w:pStyle w:val="ListBullet"/>
      </w:pPr>
      <w:r>
        <w:t>门禁控制必须由授权人员确认并服从既有安全联锁；状态不明时不得自动重复控制。</w:t>
      </w:r>
    </w:p>
    <w:p>
      <w:pPr>
        <w:pStyle w:val="ListBullet"/>
      </w:pPr>
      <w:r>
        <w:t>正式接口版本、环境容量、目标宿主版本及现场测试结果当前均为待确认或待验证。</w:t>
      </w:r>
    </w:p>
    <w:p>
      <w:pPr>
        <w:pStyle w:val="Heading1"/>
      </w:pPr>
      <w:r>
        <w:t>3 功能需求</w:t>
      </w:r>
    </w:p>
    <w:p>
      <w:r>
        <w:t>下表中的验收标准均为当前 v0.1 候选，供 G2-04 建立机器可读双镜像，并在 G2-05 澄清后受控修订。</w:t>
      </w:r>
    </w:p>
    <w:p>
      <w:pPr>
        <w:pStyle w:val="Heading2"/>
      </w:pPr>
      <w:r>
        <w:t>3.1 MVP-1 数字预案与事件处置闭环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需求编号</w:t>
            </w:r>
          </w:p>
        </w:tc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需求陈述</w:t>
            </w:r>
          </w:p>
        </w:tc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G2-FR-001★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FR-01.1；US-001；F-100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系统应支持综合预案、专项预案和现场处置方案的分层编制，并按区域、时段和风险场景细化。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AC-G2-FR-001-01 Given 用户具有预案编制权限，When 新建并保存不同层级和场景的预案，Then 系统保存层级、场景、版本和审计信息，并可按条件检索。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G2-FR-002★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FR-01.2；US-002；F-101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系统应支持配置处置流程、自定义任务、会议群组、通知人员和调派人员。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AC-G2-FR-002-01 Given 预案处于可编辑状态，When 编制人配置流程节点及人员关系并提交校验，Then 系统完整保存配置；缺少强制关系时阻止发布并提示原因。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G2-FR-003★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FR-01.3；US-003；F-102；KN-003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系统应支持自定义预案任务，并在预案启动时自动向移动终端下发通知和任务。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AC-G2-FR-003-01 Given 已发布预案且人员配置有效，When 授权人员启动预案，Then 系统在不超过 3 秒内生成通知和任务下发记录，任务、接收对象、状态和时间可追踪。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G2-FR-013★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FR-05.1；US-004；F-115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系统应支持 Web/H5 发起事件、提交现场信息并按事件属性检索。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AC-G2-FR-013-01 Given 用户具有事件上报权限，When 提交必填信息及允许的现场附件，Then 系统生成唯一事件并可按类型、状态、时间和位置检索；字段不合法时不创建事件。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G2-FR-014★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FR-05.2；US-005；F-116；KN-011、KN-012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系统应支持事件核实审批、预案启动、生命周期跟踪和过程留痕。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AC-G2-FR-014-01 Given 外部告警进入系统，When 告警有效且用户完成核实审批，Then 系统在不超过 2 秒内接入告警，并在不超过 3 分钟内完成处置任务下达；无效告警不启动预案。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G2-FR-015★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FR-05.3；US-006；F-117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系统应自动下发处置任务，并支持接收、反馈、催办和临时任务。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AC-G2-FR-015-01 Given 事件处于处置状态，When 指挥人员下发、催办或新增临时任务，Then 责任人收到任务且状态变化、反馈内容、操作者和时间均可追踪；重复请求不得产生重复任务。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G2-FR-016★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FR-05.4；US-007；F-118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系统应支持事件关闭评估、事故调查、事件报告和知识沉淀。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AC-G2-FR-016-01 Given 事件任务已达到关闭条件，When 授权人员完成评估、调查和报告并关闭事件，Then 系统保存完整记录并可检索；未完成强制项时阻止关闭。</w:t>
            </w:r>
          </w:p>
        </w:tc>
      </w:tr>
    </w:tbl>
    <w:p/>
    <w:p>
      <w:pPr>
        <w:pStyle w:val="Heading2"/>
      </w:pPr>
      <w:r>
        <w:t>3.2 MVP-2 指挥态势 视频与定位联动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需求编号</w:t>
            </w:r>
          </w:p>
        </w:tc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需求陈述</w:t>
            </w:r>
          </w:p>
        </w:tc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G2-FR-004★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FR-02.1；US-008；F-104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系统应在统一事件视图中展示事件动态、续报、时间线、处置任务状态和处理人。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AC-G2-FR-004-01 Given 事件存在续报和任务变化，When 指挥人员打开事件态势，Then 页面按时间顺序显示来源、业务时间、任务状态和处理人，刷新后不丢失历史。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G2-FR-005★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FR-02.2；US-009；F-105；KN-008、KN-009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系统应展示人员位置、职责、就位状态、源时间和新鲜度；刷新不超过 2 秒/次且不得降低甲方亚米级源精度。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AC-G2-FR-005-01 Given 甲方定位源正常，When 系统接收连续位置数据，Then 展示刷新间隔不超过 2 秒且输出精度不低于源精度。 AC-G2-FR-005-02 Given 位置过期或不可用，When 用户查看或发起调派，Then 系统显示最后有效时间并禁止自动形成邻近调派结论。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G2-FR-006★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FR-02.3；US-010；F-106；KN-010、KN-060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系统应一键实时调阅既有视频，并通过既有接口支持历史录像检索和回放。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AC-G2-FR-006-01 Given 既有视频接口、权限和通道正常，When 用户选择关联摄像机，Then 实时视频首帧不超过 3 秒。 AC-G2-FR-006-02 Given 既有系统保存不少于 30 天录像，When 用户按时间检索并回放，Then 系统返回对应录像或明确错误，不将存储责任转移给本系统。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G2-FR-007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FR-02.4；US-011；F-107；KN-023、KN-024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系统应在地图展示物资站点，并支持钻取站点清单、数量和配置。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AC-G2-FR-007-01 Given 已导入不少于 30 个站点和不少于 1000 项台账数据，When 用户在地图选择站点，Then 系统展示对应清单、数量和配置，结果与物资台账一致。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G2-FR-026★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FR-10.1；US-012；F-135；KN-016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系统应展示安防终端在线/离线状态、告警统计、定位和外部系统跳转。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AC-G2-FR-026-01 Given 安防数据源可用，When 用户打开综合安防视图，Then 在线状态、告警统计和定位数据在不超过 30 秒内刷新，并可按权限跳转；接口异常时显示数据时间和故障状态。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G2-FR-029★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FR-11.3；US-013、US-029；F-138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系统应实现视频调阅/回放接口及受权、安全联锁的疏散门禁联动。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AC-G2-FR-029-01 Given 用户具有控制权限且既有联锁允许，When 用户二次确认门禁动作，Then 系统下发一次指令并记录操作者、时间和结果。 AC-G2-FR-029-02 Given 联锁拒绝、超时或状态不明，When 控制失败，Then 系统告警并转人工处置，不绕过联锁或自动重复控制。</w:t>
            </w:r>
          </w:p>
        </w:tc>
      </w:tr>
    </w:tbl>
    <w:p/>
    <w:p>
      <w:pPr>
        <w:pStyle w:val="Heading2"/>
      </w:pPr>
      <w:r>
        <w:t>3.3 MVP-3 演练 移动执行与值班物资闭环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需求编号</w:t>
            </w:r>
          </w:p>
        </w:tc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需求陈述</w:t>
            </w:r>
          </w:p>
        </w:tc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G2-FR-008★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FR-03.3；US-021；F-110；KN-024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系统应维护物资台账、数量、有效期和临期提醒。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AC-G2-FR-008-01 Given 用户具有物资权限，When 新增、修改或查询台账并配置有效期，Then 系统保存数量与有效期，按规则形成临期提醒并记录处置状态；规模支持不少于 1000 项。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G2-FR-009★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FR-03.4；US-022；F-111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系统应制定盘点计划，形成盘点快照，支持移动盘点、自动比对和差异标识。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AC-G2-FR-009-01 Given 已发布盘点计划和台账快照，When 现场人员提交盘点数量，Then 系统以快照自动比对、标识差异并进入复核；复核完成后按权限更新现有数量。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G2-FR-010★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FR-04.1；US-014；F-112；KN-013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系统应制定月、季、年演练计划，支持提醒、逾期和补演管理，并满足适用对象每半年至少一次。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AC-G2-FR-010-01 Given 存在适用对象和演练计划，When 按滚动六个月统计，Then 每个适用对象至少有一次有效演练；未达标时产生提醒、逾期或补演记录。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G2-FR-011★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FR-04.2；US-015；F-113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系统应在演练周期到达时自动下发演练任务并留痕。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AC-G2-FR-011-01 Given 已发布演练计划且周期到达，When 调度任务执行，Then 系统按计划生成一次演练任务并记录接收对象、状态和时间；重复调度不重复生成。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G2-FR-012★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FR-04.3；US-016；F-114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系统应记录演练执行、模板评估、报告、整改、补演和持续改进。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AC-G2-FR-012-01 Given 演练任务已执行，When 管理人员提交评估和整改，Then 系统生成可追踪报告并关联问题、责任、期限、复核及必要的补演记录。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G2-FR-017★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FR-06.1；US-024；F-119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系统应配置值班打卡小组、时段、点位和代执行规则，并留存代执行记录。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AC-G2-FR-017-01 Given 管理员具有配置权限，When 配置小组、人员、时段、点位及代执行关系，Then 系统保存生效范围并记录变更；冲突或缺项时阻止生效并提示。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G2-FR-018★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FR-06.2；US-025；F-120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系统应维护打卡点位，支持地图拾取、二维码生成和有效半径配置。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AC-G2-FR-018-01 Given 合法地图服务可用，When 管理员拾取点位并配置范围，Then 系统保存坐标和有效半径、生成唯一二维码，并可停用或更新。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G2-FR-019★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FR-06.3；US-025；F-121；KN-014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系统应按点位、小组和人员三个维度统计打卡，并支持明细导出。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AC-G2-FR-019-01 Given 存在打卡记录，When 用户选择点位、小组或人员维度统计并导出，Then 统计与明细一致，导出受权限控制并保留审计记录。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G2-FR-020★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FR-06.4；US-025；F-122；KN-006、KN-007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系统应识别缺卡和超时并通过统一消息通道推送告警。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AC-G2-FR-020-01 Given 打卡时段结束且存在缺卡或超时，When 系统执行检查，Then 产生告警并调用不少于 20 路并行消息；在正常甲方通道下验证到达率不低于 99%，失败进入重试或人工清单。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G2-FR-021★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FR-08.1；US-017；F-128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H5 应支持移动发起事件、拍照上传并查看本人发起的事件。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AC-G2-FR-021-01 Given 用户已在甲方宿主 APP 完成认证，When 在 H5 填写事件、拍照并提交，Then 系统创建事件并在个人事件列表可查；本条不包含接收处置任务。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G2-FR-022★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FR-08.2；US-018、US-028；F-129；KN-006、KN-007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H5 应支持接收、确认、反馈、上传附件并完成处置任务。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AC-G2-FR-022-01 Given 用户收到授权范围内任务，When 在 H5 确认、反馈、上传并提交完成，Then 状态按合法顺序更新并保留时间与附件；消息通道异常不丢失已确认业务状态。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G2-FR-023★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FR-08.4；US-019；F-131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H5 应支持查看和执行演练任务并提交演练结果。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AC-G2-FR-023-01 Given 用户收到演练任务，When 在 H5 查看步骤、记录执行并提交结果，Then 系统更新对应演练任务并关联执行证据；本条不替代普通处置任务反馈。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G2-FR-024★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FR-08.5；US-020；F-132；KN-036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H5 应支持扫码打卡并校验人员身份、有效时段和有效范围。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AC-G2-FR-024-01 Given 二维码有效且用户已认证，When 用户扫码打卡，Then 系统在不超过 1 秒内返回成功或明确失败原因，并记录身份、点位、时间和范围校验结果。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G2-FR-025★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FR-08.6；US-023；F-133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H5 应支持移动盘点物资并在复核后更新现有数量。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AC-G2-FR-025-01 Given 用户获得盘点任务和快照，When 扫描或选择物资、提交实盘数量并完成差异复核，Then 系统记录盘点过程并按授权结果更新现有数量。</w:t>
            </w:r>
          </w:p>
        </w:tc>
      </w:tr>
    </w:tbl>
    <w:p/>
    <w:p>
      <w:pPr>
        <w:pStyle w:val="Heading2"/>
      </w:pPr>
      <w:r>
        <w:t>3.4 MVP-4 外部联动与中台业务适配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需求编号</w:t>
            </w:r>
          </w:p>
        </w:tc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需求陈述</w:t>
            </w:r>
          </w:p>
        </w:tc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G2-FR-027★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FR-11.1；US-026、US-029；F-136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系统应接入既有物联网告警和客流数据，支持告警转事件、有限重试和补传。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AC-G2-FR-027-01 Given 甲方提供有效接口与测试事件，When 接收告警或客流数据，Then 系统完成字段校验、去重、记录并按规则形成事件；接口失败时告警并受控重试或补传。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G2-FR-028★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FR-11.2；US-027、US-029；F-137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系统应适配甲方统一中台的身份、组织、权限、消息、工作流、文件、门户和数据汇聚能力，不重复建设通用能力。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AC-G2-FR-028-01 Given 甲方提供接口、账号和权限，When 用户经中台进入系统并执行业务，Then 身份、组织和数据权限保持一致，业务按需调用消息、工作流、文件与汇聚接口；中台异常时给出明确降级提示。</w:t>
            </w:r>
          </w:p>
        </w:tc>
      </w:tr>
    </w:tbl>
    <w:p/>
    <w:p>
      <w:pPr>
        <w:pStyle w:val="Heading2"/>
      </w:pPr>
      <w:r>
        <w:t>3.5 非 MVP、仍属本期范围的功能需求</w:t>
      </w:r>
    </w:p>
    <w:p>
      <w:r>
        <w:t>下列 10 条不是本阶段 MVP Must，但仍属本期实施、测试与验收范围；其稳定编号为 G2-FR-030—039，优先级不因此改变。AC 均可在 spec.md 中找到等价 Given/When/Then。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需求编号</w:t>
            </w:r>
          </w:p>
        </w:tc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需求陈述</w:t>
            </w:r>
          </w:p>
        </w:tc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G2-FR-030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FR-01.4；F-103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系统应管理预案附件，支持检索、修订和版本追踪；标准示例模板为宜提供。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AC-G2-FR-030-01 Given 已有预案附件，When 授权用户上传、修订或检索，Then 系统保存关联、版本和审计；不可访问附件不返回内容。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G2-FR-031★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FR-03.1；F-108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系统应管理应急人员档案、职责、小组和调派通知。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AC-G2-FR-031-01 Given 管理员具备权限，When 维护人员职责和小组并发起调派通知，Then 系统保存组织关系、通知对象和处理记录。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G2-FR-032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FR-03.2；F-109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系统应管理值班计划并与打卡联动，计划调整须留痕。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AC-G2-FR-032-01 Given 已配置值班人员和时段，When 发布或调整计划，Then 系统同步可用打卡规则并记录调整前后内容、操作者和时间。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G2-FR-033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FR-07.1；F-123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系统应支持预案类型新增、修改和停用。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AC-G2-FR-033-01 Given 管理员维护预案类型，When 新增、修改或停用类型，Then 已引用类型保留历史可追溯性，停用类型不可用于新建预案。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G2-FR-034★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FR-07.2；F-124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系统应维护事件类型；可预置四大类。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AC-G2-FR-034-01 Given 管理员维护事件类型，When 新增、修改或停用类型，Then 系统保存类型与审计信息；如配置预置类别，应允许按权限维护而不固化为额外强制范围。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G2-FR-035★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FR-07.3；F-125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系统应配置物资站点的空间和地图位置。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AC-G2-FR-035-01 Given 甲方地图服务可用，When 管理员配置站点及位置，Then 系统保存站点、坐标/楼层和版本，并可供物资一张图加载。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G2-FR-036★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FR-07.4；F-126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系统应维护条目化、可复用的评估模板。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AC-G2-FR-036-01 Given 管理员编辑评估模板，When 增加、排序或复用评估条目，Then 系统保存模板版本，并在演练或事件评估中引用正确版本。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G2-FR-037★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FR-07.5；F-127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系统应支持自定义核实审批环节、人员和时限，并记录调整。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AC-G2-FR-037-01 Given 管理员配置核实审批，When 定义环节、处理人和时限并发布，Then 系统按配置路由核实事项，配置变更可审计。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G2-FR-038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FR-08.3；F-130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H5 应提供知识库分类和关键字检索。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AC-G2-FR-038-01 Given 用户已认证且知识条目已发布，When 在 H5 按分类或关键字检索，Then 系统仅返回授权范围内的匹配条目；无结果时明确提示。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G2-FR-039★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FR-09.1；F-134；KN-017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系统应统计应急事件、监控和流程，支持筛选与钻取。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AC-G2-FR-039-01 Given 存在授权范围内的业务数据，When 用户按条件筛选统计并钻取，Then 指标与明细一致，默认刷新按 KN-017 ≤60 秒形成性能验证记录。</w:t>
            </w:r>
          </w:p>
        </w:tc>
      </w:tr>
    </w:tbl>
    <w:p/>
    <w:p>
      <w:pPr>
        <w:pStyle w:val="Heading1"/>
      </w:pPr>
      <w:r>
        <w:t>4 外部接口需求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接口类别</w:t>
            </w:r>
          </w:p>
        </w:tc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甲方提供</w:t>
            </w:r>
          </w:p>
        </w:tc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本系统责任</w:t>
            </w:r>
          </w:p>
        </w:tc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验证状态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统一中台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身份、组织、权限、消息、工作流、文件、门户、汇聚接口与账号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应急业务适配、权限传递、错误处理、审计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待联调验证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视频平台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GB/T 28181 等既有能力、设备编码、实时流、录像与不少于 30 天保存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实时调阅、历史检索/回放、超时与错误提示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M2 前连通；能力待验证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定位系统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设施、接口、人员标识、坐标/楼层和亚米级源数据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人员关联、映射、新鲜度、展示和刷新验证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待现场验证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统一消息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通道、账号、签名、配额、回执和联调环境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编排、并行、重试、回执、留痕、降级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M2 前连通；指标待验证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地图服务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合法二维、楼层及验收所需三维地图和坐标关系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加载、兼容、标注、拾取和业务叠加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格式与坐标系待确认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门禁与安防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既有联锁、终端、协议、授权和回执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受权控制、二次确认、失败告警、人工降级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联锁与回执待验证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物联网与客流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告警/客流接口、字段和测试环境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接入、校验、转事件、重试、补传、审计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待联调验证</w:t>
            </w:r>
          </w:p>
        </w:tc>
      </w:tr>
    </w:tbl>
    <w:p/>
    <w:p>
      <w:r>
        <w:t>接口调用应使用统一关联标识；可重放操作应具备业务幂等键。控制类动作及无法证明幂等的调用不得自动重放，恢复后应先查询外部最终状态并对账。</w:t>
      </w:r>
    </w:p>
    <w:p>
      <w:pPr>
        <w:pStyle w:val="Heading1"/>
      </w:pPr>
      <w:r>
        <w:t>5 数据需求</w:t>
      </w:r>
    </w:p>
    <w:p>
      <w:pPr>
        <w:pStyle w:val="Heading2"/>
      </w:pPr>
      <w:r>
        <w:t>5.1 核心数据对象</w:t>
      </w:r>
    </w:p>
    <w:p>
      <w:r>
        <w:t>系统至少管理预案及版本、流程与任务模板、事件与续报、处置任务、人员与位置状态、物资站点与台账、盘点计划与快照、值班打卡、演练计划与评估、消息回执、外部调用、附件和审计记录。</w:t>
      </w:r>
    </w:p>
    <w:p>
      <w:pPr>
        <w:pStyle w:val="Heading2"/>
      </w:pPr>
      <w:r>
        <w:t>5.2 数据质量与来源</w:t>
      </w:r>
    </w:p>
    <w:p>
      <w:r>
        <w:t>甲方提供真实业务源数据并确认业务正确性；乙方负责模板、映射、清洗、导入和技术校验。外部标识与内部业务标识应保留映射；时间数据应保存来源时间和接收时间；位置数据应保存源精度、新鲜度和最后有效时间。</w:t>
      </w:r>
    </w:p>
    <w:p>
      <w:pPr>
        <w:pStyle w:val="Heading2"/>
      </w:pPr>
      <w:r>
        <w:t>5.3 数据安全与审计</w:t>
      </w:r>
    </w:p>
    <w:p>
      <w:r>
        <w:t>敏感数据应按角色和数据范围控制，导出应审计；事件、任务、控制指令、消息回执和关键配置变更应记录操作者、时间、对象、前后状态及关联标识。日志与过程记录的保存和防篡改要求按冻结基线执行。</w:t>
      </w:r>
    </w:p>
    <w:p>
      <w:pPr>
        <w:pStyle w:val="Heading1"/>
      </w:pPr>
      <w:r>
        <w:t>6 非功能需求</w:t>
      </w:r>
    </w:p>
    <w:p>
      <w:pPr>
        <w:pStyle w:val="Heading2"/>
      </w:pPr>
      <w:r>
        <w:t>6.1 性能与容量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249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3249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验证方式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NFR-PERF-01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预案启动通知和任务下发≤3秒；告警接入≤2秒；任务下达≤3分钟。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端到端时间戳与目标环境实测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NFR-PERF-02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统一消息并行≥20路，正常甲方通道到达率≥99%。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正常通道批量发送、回执和失败统计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NFR-PERF-03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定位刷新≤2秒/次且不降低亚米级源精度；视频首帧≤3秒；综合安防刷新≤30秒。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源/接收/展示时间戳及精度、首帧、刷新实测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NFR-PERF-04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95%页面请求≤3秒，地图加载≤2秒，扫码打卡≤1秒，报表生成≤5秒。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目标数据规模下统计分位值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NFR-CAP-01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支持峰值不少于100人；不少于30个物资站点和1000项物资台账。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并发压测与数据规模用例</w:t>
            </w:r>
          </w:p>
        </w:tc>
      </w:tr>
    </w:tbl>
    <w:p/>
    <w:p>
      <w:pPr>
        <w:pStyle w:val="Heading2"/>
      </w:pPr>
      <w:r>
        <w:t>6.2 可用性 可靠性与恢复</w:t>
      </w:r>
    </w:p>
    <w:p>
      <w:r>
        <w:t>系统应支持 7×24 运行，目标可用率不低于 99.5%；关键状态应先持久化，重启后可恢复未完成任务。外部依赖异常应独立超时、熔断、告警和降级，不得静默阻断核心事件流程。备份、恢复时间和数据一致性按冻结要求通过演练验证。</w:t>
      </w:r>
    </w:p>
    <w:p>
      <w:pPr>
        <w:pStyle w:val="Heading2"/>
      </w:pPr>
      <w:r>
        <w:t>6.3 安全</w:t>
      </w:r>
    </w:p>
    <w:p>
      <w:r>
        <w:t>系统应实施认证、授权、最小权限、数据范围、输入校验、传输与敏感存储保护、安全审计、依赖治理和漏洞处置。交付前高危漏洞必须为 0；应用侧 SCA、漏洞扫描和 Web 渗透复测形成证据。正式定级备案、基础环境合规和正式第三方等保测评由甲方组织。</w:t>
      </w:r>
    </w:p>
    <w:p>
      <w:pPr>
        <w:pStyle w:val="Heading2"/>
      </w:pPr>
      <w:r>
        <w:t>6.4 兼容与易用</w:t>
      </w:r>
    </w:p>
    <w:p>
      <w:r>
        <w:t>Web、H5、宿主 APP、浏览器和终端兼容组合应在 M2 由甲方确认后冻结。关键操作应提供明确状态、失败原因和下一步；状态不得只靠颜色表达；主要业务流程不超过既定页面和响应约束。H5 不得被表述为独立原生 APP。</w:t>
      </w:r>
    </w:p>
    <w:p>
      <w:pPr>
        <w:pStyle w:val="Heading2"/>
      </w:pPr>
      <w:r>
        <w:t>6.5 可维护性与可测试性</w:t>
      </w:r>
    </w:p>
    <w:p>
      <w:r>
        <w:t>接口、错误码、配置、部署、恢复和运维操作应形成文档；核心模块单元测试覆盖率不低于 70%。每条功能需求均应有可重复执行的用例，全部 39 条 FR 的功能覆盖率与通过率均为 100%。</w:t>
      </w:r>
    </w:p>
    <w:p>
      <w:pPr>
        <w:pStyle w:val="Heading1"/>
      </w:pPr>
      <w:r>
        <w:t>7 部署 交付与服务约束</w:t>
      </w:r>
    </w:p>
    <w:p>
      <w:pPr>
        <w:pStyle w:val="ListBullet"/>
      </w:pPr>
      <w:r>
        <w:t>软件采用私有化容器部署，提供镜像、初始化、升级、回滚、备份恢复方案及最低配置；非乙方人员应能按手册在干净环境一次部署成功且用时不超过 2 小时。</w:t>
      </w:r>
    </w:p>
    <w:p>
      <w:pPr>
        <w:pStyle w:val="ListBullet"/>
      </w:pPr>
      <w:r>
        <w:t>甲方提供机房、服务器、网络、域名证书、备份介质和后备电源等基础资源；本项目不默认采购这些资源。</w:t>
      </w:r>
    </w:p>
    <w:p>
      <w:pPr>
        <w:pStyle w:val="ListBullet"/>
      </w:pPr>
      <w:r>
        <w:t>项目提交源码与构建材料、容器制品、H5、配置与初始化、设计/接口/测试/用户/部署运维/培训文档、开源许可、追踪矩阵、试运行和总结材料。</w:t>
      </w:r>
    </w:p>
    <w:p>
      <w:pPr>
        <w:pStyle w:val="ListBullet"/>
      </w:pPr>
      <w:r>
        <w:t>质保期为 12 个月；故障响应、恢复、支持渠道、风险报告及不合格整改期限沿用冻结 SLA，不在本 SRS 中扩大承诺。</w:t>
      </w:r>
    </w:p>
    <w:p>
      <w:pPr>
        <w:pStyle w:val="Heading1"/>
      </w:pPr>
      <w:r>
        <w:t>8 验收与追踪</w:t>
      </w:r>
    </w:p>
    <w:p>
      <w:pPr>
        <w:pStyle w:val="Heading2"/>
      </w:pPr>
      <w:r>
        <w:t>8.1 验收总则</w:t>
      </w:r>
    </w:p>
    <w:p>
      <w:r>
        <w:t>全部 39 条 FR 均须建立并通过功能用例；PE-01—PE-12逐项在部署环境实测；视频、信息发布、物联网和中台完成端到端联动；至少开展一次模拟突发事件全流程联合演练；高危漏洞清零；部署、文档和交付物按清单点验。</w:t>
      </w:r>
    </w:p>
    <w:p>
      <w:pPr>
        <w:pStyle w:val="Heading2"/>
      </w:pPr>
      <w:r>
        <w:t>8.2 双镜像与 RTM</w:t>
      </w:r>
    </w:p>
    <w:p>
      <w:r>
        <w:t>G2-04 应在 `spec.md` 中使用本文件相同的 `G2-FR` 和 `AC` 编号，并把每条验收标准表达为等价 Given/When/Then。G2-06 RTM 至少追踪原始 FR、G2-FR、用户故事、AC，并预留设计、实现、测试和结果列。任何编号、范围或验收语义差异均阻断 M2 准出。</w:t>
      </w:r>
    </w:p>
    <w:p>
      <w:pPr>
        <w:pStyle w:val="Heading2"/>
      </w:pPr>
      <w:r>
        <w:t>8.3 当前完整性</w:t>
      </w:r>
    </w:p>
    <w:p>
      <w:pPr>
        <w:pStyle w:val="ListBullet"/>
      </w:pPr>
      <w:r>
        <w:t>全量 G2-FR：39 条，连续、唯一；其中 MVP Must 29 条（28 条★、1 条非★），非 MVP、本期 10 条（6 条★、4 条非★）。</w:t>
      </w:r>
    </w:p>
    <w:p>
      <w:pPr>
        <w:pStyle w:val="ListBullet"/>
      </w:pPr>
      <w:r>
        <w:t>非 MVP、本期 G2-FR：10 条（G2-FR-030—039），均有逐条 SRS 与 AC；全项目合计 39 条 FR、34 条★FR。</w:t>
      </w:r>
    </w:p>
    <w:p>
      <w:pPr>
        <w:pStyle w:val="ListBullet"/>
      </w:pPr>
      <w:r>
        <w:t>29 条 G2-FR 均有至少一个 `AC-G2-FR-nnn-xx` 验收标准。</w:t>
      </w:r>
    </w:p>
    <w:p>
      <w:pPr>
        <w:pStyle w:val="ListBullet"/>
      </w:pPr>
      <w:r>
        <w:t>`ISSUE-G2-02-001` 已关闭；四条修订故事与 canonical G2-FR 的追踪关系已恢复。</w:t>
      </w:r>
    </w:p>
    <w:p>
      <w:pPr>
        <w:pStyle w:val="Heading1"/>
      </w:pPr>
      <w:r>
        <w:t>9 变更控制与待澄清事项</w:t>
      </w:r>
    </w:p>
    <w:p>
      <w:r>
        <w:t>功能、★属性、数字、责任、期次或验收强度发生变化时，必须先登记 Issue、分析影响并取得授权确认，再同步更新 SRS、`spec.md`、RTM 和版本记录。G2-05 将基于本 SRS 与 `spec.md` 提出不少于 10 条反向澄清；未获人工裁决的内容不得静默写入需求。</w:t>
      </w:r>
    </w:p>
    <w:p>
      <w:r>
        <w:t>当前待闭环事项：</w:t>
      </w:r>
    </w:p>
    <w:p>
      <w:r>
        <w:t>1. 甲方确认正式接口版本、账号、测试环境、协调窗口、地图与坐标系、宿主版本矩阵。</w:t>
      </w:r>
    </w:p>
    <w:p>
      <w:r>
        <w:t>2. 视频、消息、定位、门禁、物联网、中台、性能、容量、安全和部署能力形成实际验证证据。</w:t>
      </w:r>
    </w:p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sz w:val="16"/>
      </w:rPr>
      <w:t>某自然博物馆智能运营中心建设项目 应急管理子系统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软件需求规格说明书 SRS</dc:title>
  <dc:subject/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