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15 w16se w16cid w16 w16cex w16sdtdh wp14">
  <ns0:body>
    <ns0:p xmlns:w14="http://schemas.microsoft.com/office/word/2010/wordml" w14:paraId="01C6AB78" w14:textId="77777777" ns0:rsidR="004979D7" ns0:rsidRDefault="00692DA2">
      <ns0:pPr>
        <ns0:spacing ns0:after="80"/>
        <ns0:jc ns0:val="right"/>
      </ns0:pPr>
      <ns0:r>
        <ns0:rPr>
          <ns0:rFonts ns0:eastAsia="宋体"/>
          <ns0:color ns0:val="000000"/>
          <ns0:sz ns0:val="24"/>
        </ns0:rPr>
        <ns0:t>文件编号：【待人工确认】
版本号：V1.3</ns0:t>
      </ns0:r>
      <ns0:r>
        <ns0:rPr>
          <ns0:rFonts ns0:eastAsia="宋体"/>
          <ns0:color ns0:val="000000"/>
          <ns0:sz ns0:val="24"/>
        </ns0:rPr>
        <ns0:t/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3DACDD6E" w14:textId="77777777" ns0:rsidR="004979D7" ns0:rsidRDefault="00692DA2">
      <ns0:pPr>
        <ns0:spacing ns0:before="1200" ns0:after="360"/>
        <ns0:jc ns0:val="right"/>
      </ns0:pPr>
      <ns0:r>
        <ns0:rPr>
          <ns0:rFonts ns0:eastAsia="宋体"/>
          <ns0:color ns0:val="000000"/>
          <ns0:sz ns0:val="24"/>
        </ns0:rPr>
        <ns0:t>密级：内部</ns0:t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3E768599" w14:textId="77777777" ns0:rsidR="004979D7" ns0:rsidRDefault="00692DA2">
      <ns0:pPr>
        <ns0:pBdr>
          <ns0:bottom ns0:val="single" ns0:sz="12" ns0:space="8" ns0:color="000000"/>
        </ns0:pBdr>
        <ns0:spacing ns0:before="2600" ns0:after="360"/>
        <ns0:jc ns0:val="center"/>
      </ns0:pPr>
      <ns0:r>
        <ns0:rPr>
          <ns0:rFonts ns0:eastAsia="黑体"/>
          <ns0:b/>
          <ns0:color ns0:val="000000"/>
          <ns0:sz ns0:val="44"/>
        </ns0:rPr>
        <ns0:t>某自然博物馆智能运营中心建设项目
应急管理子系统</ns0:t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</ns0:p>
    <ns0:p xmlns:w14="http://schemas.microsoft.com/office/word/2010/wordml" w14:paraId="63F003D0" w14:textId="77777777" ns0:rsidR="004979D7" ns0:rsidRDefault="00692DA2">
      <ns0:pPr>
        <ns0:spacing ns0:before="520" ns0:after="200"/>
        <ns0:jc ns0:val="center"/>
      </ns0:pPr>
      <ns0:r>
        <ns0:rPr>
          <ns0:rFonts ns0:eastAsia="黑体"/>
          <ns0:b/>
          <ns0:color ns0:val="000000"/>
          <ns0:sz ns0:val="56"/>
        </ns0:rPr>
        <ns0:t>风险登记册（v1）</ns0:t>
      </ns0:r>
      <ns0:r>
        <ns0:rPr>
          <ns0:rFonts ns0:eastAsia="黑体"/>
          <ns0:b/>
          <ns0:color ns0:val="000000"/>
          <ns0:sz ns0:val="56"/>
        </ns0:rPr>
        <ns0:t/>
      </ns0:r>
      <ns0:r>
        <ns0:rPr>
          <ns0:rFonts ns0:eastAsia="黑体"/>
          <ns0:b/>
          <ns0:color ns0:val="000000"/>
          <ns0:sz ns0:val="56"/>
        </ns0:rPr>
        <ns0:t/>
      </ns0:r>
    </ns0:p>
    <ns0:p xmlns:w14="http://schemas.microsoft.com/office/word/2010/wordml" w14:paraId="09CF3C79" w14:textId="77777777" ns0:rsidR="004979D7" ns0:rsidRDefault="00692DA2">
      <ns0:pPr>
        <ns0:spacing ns0:after="2300"/>
        <ns0:jc ns0:val="center"/>
      </ns0:pPr>
      <ns0:r>
        <ns0:rPr>
          <ns0:rFonts ns0:eastAsia="楷体"/>
          <ns0:color ns0:val="000000"/>
          <ns0:sz ns0:val="28"/>
        </ns0:rPr>
        <ns0:t/>
      </ns0:r>
    </ns0:p>
    <ns0:p xmlns:w14="http://schemas.microsoft.com/office/word/2010/wordml" w14:paraId="02FBEDF4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编制单位：项目组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15E45879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编制：何思源（项目经理 PM / 总编）</ns0:t>
      </ns0:r>
    </ns0:p>
    <ns0:p xmlns:w14="http://schemas.microsoft.com/office/word/2010/wordml" w14:paraId="7422E197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审核：任俊强（计划完整性与一致性复核）</ns0:t>
      </ns0:r>
    </ns0:p>
    <ns0:p xmlns:w14="http://schemas.microsoft.com/office/word/2010/wordml" w14:paraId="79354135" w14:textId="77777777" ns0:rsidR="004979D7" ns0:rsidRDefault="00692DA2" ns0:rsidP="008D06D0">
      <ns0:pPr>
        <ns0:spacing ns0:after="20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批准：【待人工确认】</ns0:t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0B138911" w14:textId="77777777" ns0:rsidR="004979D7" ns0:rsidRDefault="00692DA2" ns0:rsidP="008D06D0">
      <ns0:pPr>
        <ns0:spacing ns0:before="200" ns0:after="80"/>
        <ns0:ind ns0:leftChars="1205" ns0:left="2410"/>
        <ns0:jc ns0:val="left"/>
      </ns0:pPr>
      <ns0:r>
        <ns0:rPr>
          <ns0:rFonts ns0:eastAsia="仿宋"/>
          <ns0:color ns0:val="000000"/>
          <ns0:sz ns0:val="32"/>
        </ns0:rPr>
        <ns0:t>编制日期：2026 年 9 月 11 日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>
      <ns0:r>
        <ns0:br ns0:type="page"/>
      </ns0:r>
    </ns0:p>
    <ns0:p>
      <ns0:pPr>
        <ns0:spacing ns0:before="0" ns0:after="8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24"/>
        </ns0:rPr>
        <ns0:t>修订记录</ns0:t>
      </ns0:r>
    </ns0:p>
    <ns0:p>
      <ns0:pPr>
        <ns0:spacing ns0:before="0" ns0:after="100" ns0:line="240" ns0:lineRule="auto"/>
        <ns0:jc ns0:val="left"/>
      </ns0:pPr>
      <ns0:r>
        <ns0:rPr>
          <ns0:rFonts ns0:ascii="宋体" ns0:hAnsi="宋体" ns0:eastAsia="宋体"/>
          <ns0:b ns0:val="0"/>
          <ns0:color ns0:val="000000"/>
          <ns0:sz ns0:val="18"/>
        </ns0:rPr>
        <ns0:t>注：本表记录自初稿以来的全部版本沿革；风险状态、措施和关联证据的后续变化在本登记册版本中保留。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V1.0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2026-09-11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全文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基于冻结 Baseline、用户需求书、项目建议书、技术方案及待复核计划建立风险登记册 v1，提交 任俊强 复核。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2026-09-11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风险关联与跟踪机制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按复核意见补齐计划联动、触发条件和关闭证据口径。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V1.3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版式与修订记录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按教学样例逐项复核页面、表格与风险矩阵呈现。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6"/>
        <ns0:gridCol ns0:w="1533"/>
        <ns0:gridCol ns0:w="1481"/>
        <ns0:gridCol ns0:w="3012"/>
        <ns0:gridCol ns0:w="1474"/>
      </ns0:tblGrid>
    </ns0:tbl>
    <ns0:p>
      <ns0:r>
        <ns0:br ns0:type="page"/>
      </ns0:r>
    </ns0:p>
    <ns0:p>
      <ns0:pPr>
        <ns0:pStyle ns0:val="1"/>
        <ns0:spacing ns0:before="240" ns0:after="160"/>
      </ns0:pPr>
      <ns0:r>
        <ns0:rPr>
          <ns0:b/>
          <ns0:rFonts ns0:eastAsia="黑体"/>
        </ns0:rPr>
        <ns0:t>1 风险清单</ns0:t>
      </ns0:r>
    </ns0:p>
    <ns0:p>
      <ns0:pPr>
        <ns0:jc ns0:val="center"/>
      </ns0:pPr>
      <ns0:r>
        <ns0:rPr>
          <ns0:b ns0:val="0"/>
          <ns0:rFonts ns0:eastAsia="宋体"/>
          <ns0:sz ns0:val="18"/>
          <ns0:color ns0:val="000000"/>
        </ns0:rPr>
        <ns0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ns0:t>
      </ns0:r>
    </ns0:p>
    <ns0:p>
      <ns0:pPr>
        <ns0:jc ns0:val="center"/>
      </ns0:pPr>
      <ns0:r>
        <ns0:rPr>
          <ns0:b ns0:val="0"/>
          <ns0:rFonts ns0:eastAsia="宋体"/>
          <ns0:sz ns0:val="18"/>
          <ns0:color ns0:val="000000"/>
        </ns0:rPr>
        <ns0:t>评分口径：概率与影响均采用 1 至 5 级；评分为概率乘以影响，1—4 为低、5—9 为中、10—16 为高、17—25 为极高。该分级服务于管理优先级，不替代验收结论。</ns0:t>
      </ns0:r>
    </ns0:p>
    <ns0:p>
      <ns0:pPr>
        <ns0:keepNext/>
        <ns0:jc ns0:val="center"/>
      </ns0:pPr>
      <ns0:r>
        <ns0:drawing>
          <ns2:inline>
            <ns2:extent cx="4860000" cy="3633559"/>
            <ns2:docPr id="1" name="图1-1 项目风险矩阵" title="图1-1 项目风险矩阵" descr="图1-1 项目风险矩阵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isk-matrix-4x3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4860000" cy="3633559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1-1 风险矩阵（16 项风险的概率 × 影响分布）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1-1　风险登记与评估表</ns0:t>
      </ns0:r>
    </ns0:p>
    <ns0:tbl>
      <ns0:tr>
        <ns0:tc>
          <ns0:tcPr>
            <ns0:tcW ns0:w="7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w="26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风险描述</ns0:t>
            </ns0:r>
          </ns0:p>
        </ns0:tc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类别</ns0:t>
            </ns0:r>
          </ns0:p>
        </ns0:tc>
        <ns0:tc>
          <ns0:tcPr>
            <ns0:tcW ns0:w="6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概率</ns0:t>
            </ns0:r>
          </ns0:p>
        </ns0:tc>
        <ns0:tc>
          <ns0:tcPr>
            <ns0:tcW ns0:w="6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影响</ns0:t>
            </ns0:r>
          </ns0:p>
        </ns0:tc>
        <ns0:tc>
          <ns0:tcPr>
            <ns0:tcW ns0:w="7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等级</ns0:t>
            </ns0:r>
          </ns0:p>
        </ns0:tc>
        <ns0:tc>
          <ns0:tcPr>
            <ns0:tcW ns0:w="26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应对措施</ns0:t>
            </ns0:r>
          </ns0:p>
        </ns0:tc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责任人</ns0:t>
            </ns0:r>
          </ns0:p>
        </ns0:tc>
        <ns0:tc>
          <ns0:tcPr>
            <ns0:tcW ns0:w="75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状态</ns0:t>
            </ns0:r>
          </ns0:p>
        </ns0:tc>
        <ns0:trPr>
          <ns0:tblHeader/>
        </ns0:trPr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RR-01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外部接口条件未按约具备，适配与联动验证延后。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逐接口清单、契约验证、模拟服务与书面升级。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RR-02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接口字段或状态语义不一致，事件与统计转换错误。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版本契约、模式校验、转换日志与人工核验。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RR-03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消息通道限流或回执不完整，通知到达率无法证明。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16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真实通道验证、台账、幂等重试、补发与人工联系。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RR-04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视频目录、取流或回放不稳定，指挥端调阅受限。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前连通验证、适配封装、熔断与人工调阅。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RR-05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定位数据错配或漂移，一张图与打卡判断失真。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定位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现场标定、质量字段、最后位置与异常复核。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RR-06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基础数据或地图质量不足，初始化和空间叠加失败。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数据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16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模板、试导入、对账、隔离错误数据和人工复核。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任俊强/严宇/何思源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RR-07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宿主桥接或终端兼容不足，H5 移动业务中断。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H5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桥接与终端矩阵验证、能力检测、人工录入降级。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RR-08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峰值负载下链路排队或超时，性能指标不达标。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性能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容量测试、监测、优化、限流并保护核心链路。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RR-09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扫描或渗透测试发现高危漏洞或越权问题。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安全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最小权限、SCA、扫描、修复复测与发布冻结。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RR-10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隔离环境依赖或配置不兼容，部署和移植验收失败。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部署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离线制品、校验清单、干净环境验证和回滚。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RR-11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备份、网络或后备电源条件不足，恢复目标受影响。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连续性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恢复方案、健康检查、备份校验与恢复演练。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严宇/何思源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RR-12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未书面确认的需求或范围变化导致返工和承诺漂移。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范围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Baseline、RTM、书面变更及影响分析控制。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RR-13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关键路径或阻断项未关闭，正式里程碑可能受影响。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进度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20 极高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完成证据周跟踪、偏差升级与变更控制。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RR-14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成员不可用或复核积压，交付与门禁失效。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人员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主责复核分离、交接、复核窗口与证据清单。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RR-15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输出未经核验，产生错误实现、幻觉或证据链失真。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12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来源回溯、人工复核、测试验证和不可信输出隔离。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何思源/严宇/任俊强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w="7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RR-16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需求、设计、测试和制品版本不一致，验收无法证明。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验收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</ns0:t>
            </ns0:r>
          </ns0:p>
        </ns0:tc>
        <ns0:tc>
          <ns0:tcPr>
            <ns0:tcW ns0:w="6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5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15 高</ns0:t>
            </ns0:r>
          </ns0:p>
        </ns0:tc>
        <ns0:tc>
          <ns0:tcPr>
            <ns0:tcW ns0:w="26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双向追踪、配置审计、证据位置与交付包核对。</ns0:t>
            </ns0:r>
          </ns0:p>
        </ns0:tc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何思源/任俊强/严宇</ns0:t>
            </ns0:r>
          </ns0:p>
        </ns0:tc>
        <ns0:tc>
          <ns0:tcPr>
            <ns0:tcW ns0:w="75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000" ns0:firstRow="0" ns0:lastRow="0" ns0:firstColumn="0" ns0:lastColumn="0" ns0:noHBand="0" ns0:noVBand="0"/>
      </ns0:tblPr>
      <ns0:tblGrid>
        <ns0:gridCol ns0:w="669"/>
        <ns0:gridCol ns0:w="2230"/>
        <ns0:gridCol ns0:w="763"/>
        <ns0:gridCol ns0:w="588"/>
        <ns0:gridCol ns0:w="588"/>
        <ns0:gridCol ns0:w="658"/>
        <ns0:gridCol ns0:w="2103"/>
        <ns0:gridCol ns0:w="763"/>
        <ns0:gridCol ns0:w="658"/>
      </ns0:tblGrid>
    </ns0:tbl>
    <ns0:p>
      <ns0:pPr/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1-2　风险触发、应对与关联表</ns0:t>
      </ns0:r>
    </ns0:p>
    <ns0:tbl>
      <ns0:tblGrid>
        <ns0:gridCol ns0:w="406"/>
        <ns0:gridCol ns0:w="1510"/>
        <ns0:gridCol ns0:w="1510"/>
        <ns0:gridCol ns0:w="1621"/>
        <ns0:gridCol ns0:w="1621"/>
        <ns0:gridCol ns0:w="1842"/>
        <ns0:gridCol ns0:w="516"/>
      </ns0:tblGrid>
      <ns0:tr>
        <ns0:tc>
          <ns0:tcPr>
            <ns0:tcW ns0:type="dxa" ns0:w="406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type="dxa" ns0:w="1510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触发条件</ns0:t>
            </ns0:r>
          </ns0:p>
        </ns0:tc>
        <ns0:tc>
          <ns0:tcPr>
            <ns0:tcW ns0:type="dxa" ns0:w="1510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可能后果</ns0:t>
            </ns0:r>
          </ns0:p>
        </ns0:tc>
        <ns0:tc>
          <ns0:tcPr>
            <ns0:tcW ns0:type="dxa" ns0:w="1621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预防措施</ns0:t>
            </ns0:r>
          </ns0:p>
        </ns0:tc>
        <ns0:tc>
          <ns0:tcPr>
            <ns0:tcW ns0:type="dxa" ns0:w="1621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应急措施</ns0:t>
            </ns0:r>
          </ns0:p>
        </ns0:tc>
        <ns0:tc>
          <ns0:tcPr>
            <ns0:tcW ns0:type="dxa" ns0:w="1842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WBS/里程碑/Issue 关联</ns0:t>
            </ns0:r>
          </ns0:p>
        </ns0:tc>
        <ns0:tc>
          <ns0:tcPr>
            <ns0:tcW ns0:type="dxa" ns0:w="516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状态</ns0:t>
            </ns0:r>
          </ns0:p>
        </ns0:tc>
        <ns0:trPr>
          <ns0:tblHeader/>
        </ns0:trPr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RR-01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资料、账号、授权、环境或窗口缺失。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输入不完整、联调和验收延期。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接口清单、版本/权限/窗口确认、样例契约验证。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模拟服务推进；调整联调顺序；人工入口与书面升级。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3.3、3.7、3.8、4.9、4.10；M2、M5；历史 Issue 005、010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RR-02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字段、编码、时间戳或枚举变更；异常报文出现。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告警转事件、组织同步或统计错误。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版本化契约、模式校验、映射与转换日志。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隔离异常数据；兼容映射；人工核验队列。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3.3、4.9、4.10、5.1；M2、M3；历史 Issue 005、010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RR-03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回执缺失、限流、失败码不明或配额异常。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并行和到达率证据不足，关键通知延迟。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真实通道验证、台账、幂等键、重试与回执汇聚。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切换可用通道；补发；显示未送达对象并人工联系。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3.8、4.1、4.5、5.3；M2、M3；KN-006/007；历史 Issue 004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RR-04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目录不一致、取流失败、录像缺失或首帧异常。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无法及时调阅实时/历史录像，研判受限。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 前验证目录、取流、检索、回放与鉴权。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熔断故障通道；显示失败原因；人工调阅。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3.7、4.6、5.3；M2、M5；KN-010/060；历史 Issue 001、010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RR-05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坐标漂移、楼层错配、刷新抖动、离线比例升高。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人员位置错误、打卡争议、地图联动失败。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质量字段、控制点、现场标定和楼层映射验证。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显示新鲜度；降级最后位置/人员列表；异常复核。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3.2、4.3、4.6、5.3；M3；KN-008/009；历史 Issue 002、006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RR-06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真实源数据迟到、重复或缺关键字段/坐标；地图不兼容。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导入失败、统计错误、点位错位、验收数据不可确认。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模板、映射、试导入、技术对账和甲方业务确认。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错误清单分批修复；隔离不合格数据；人工补录复核。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3.2、4.12、5.2；M3、M5；历史 Issue 006、009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RR-07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宿主 API 缺失、权限受限、终端差异或弱网异常。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六类移动业务不能走通，现场反馈受阻。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桥接 API 与终端矩阵验证；能力检测与权限引导。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降级可用浏览器能力或人工录入；保留异常证据。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4.7、5.3；M3、M5；KN-015/036；历史 Issue 007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RR-08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队列积压、慢查询、地图卡顿或接口超时上升。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关键性能要求不达标，应急主链路受损。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按链路监测；容量/故障测试；优化索引、缓存和异步处理。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限制非关键刷新/图层；优先事件、任务、消息；复测。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4.11、5.3；M3、M5；KN-003、028、034—037。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RR-09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SCA、扫描或渗透测试发现高危、越权、注入或上传问题。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安全验收阻断，敏感数据或联动指令风险上升。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威胁建模、最小权限、服务端鉴权、输入校验和持续扫描。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冻结发布；修复复测；组件隔离缓解并登记。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3.4、5.4；M3、M5；KN-042/043/030；历史 Issue 011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RR-10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镜像导入失败、端口不通、证书/时间/组件版本不兼容。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容器化部署或可移植性验收失败。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离线制品、版本锁定、校验清单、等效干净环境验证。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使用已验证组合；差异记录和修复包；按方案回滚。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3.4、4.13、5.4；M3、M5；KN-005/065；历史 Issue 008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RR-11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后备电源、网络、备份介质未满足；恢复超时或数据不一致。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可用率/恢复目标不达标，运行记录可能缺失。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边界确认、健康检查、备份校验和恢复演练。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优先恢复事件、任务、消息和值班；人工处置补录。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3.4、4.11、6.5；M4、M5；KN-040/041；历史 Issue 008 已关闭。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RR-12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口头新增需求、范围外责任转移或验收条件临时增加。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返工、承诺漂移和追溯失效。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Baseline、SRS、RTM 和书面变更单；先做影响分析。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暂停受影响承诺；登记 Issue/Change；书面确认后升版。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1.4、2.1—2.5、5.2；M1—M5。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RR-13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关键路径完成判据未满足，输入迟到或阻断项未关闭。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M2、M3 或后续正式里程碑受影响。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周跟踪完成证据和偏差；关键前置检查；24 小时升级。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调整内部顺序并保护强制范围；正式里程碑变化走变更。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1.2、1.3、3.7、3.8、4.13、5.5、6.6、6.7；M2—M5。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RR-14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主责或复核人不可用，职责冲突或评审积压。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交付和独立复核延迟，门禁失效。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主责复核分离、优先级、交接和关闭证据清单。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重排并行项；增加书面交接和复核窗口；不复核不准出。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1.2、1.3；M1—M5。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RR-15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输出无来源、与需求不一致或自动检查被误报为人工结论。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错误实现、幻觉、虚假证据或敏感数据泄露。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来源回溯、人工复核、测试验证、提示与证据受控。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隔离不可信输出；回滚受影响制品；更正证据并重新验证。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1.3、1.4、5.1—5.4；M1—M5；治理文件。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</ns0:t>
            </ns0:r>
          </ns0:p>
        </ns0:tc>
      </ns0:tr>
      <ns0:tr>
        <ns0:tc>
          <ns0:tcPr>
            <ns0:tcW ns0:type="dxa" ns0:w="40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RR-16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RTM 缺项、文档制品版本不一致或测试证据不完整。</ns0:t>
            </ns0:r>
          </ns0:p>
        </ns0:tc>
        <ns0:tc>
          <ns0:tcPr>
            <ns0:tcW ns0:type="dxa" ns0:w="1510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初验/竣工验收复验，交付包不可证明。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双向追踪、里程碑配置审计、版本与证据位置核对。</ns0:t>
            </ns0:r>
          </ns0:p>
        </ns0:tc>
        <ns0:tc>
          <ns0:tcPr>
            <ns0:tcW ns0:type="dxa" ns0:w="162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停止不完整提交；补齐追踪、测试和审计；重新验证。</ns0:t>
            </ns0:r>
          </ns0:p>
        </ns0:tc>
        <ns0:tc>
          <ns0:tcPr>
            <ns0:tcW ns0:type="dxa" ns0:w="1842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1.3、1.4、2.4、5.1—5.5、6.6、6.7；M1—M5。</ns0:t>
            </ns0:r>
          </ns0:p>
        </ns0:tc>
        <ns0:tc>
          <ns0:tcPr>
            <ns0:tcW ns0:type="dxa" ns0:w="516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监控中；待计划 Review 后复核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000" ns0:firstRow="0" ns0:lastRow="0" ns0:firstColumn="0" ns0:lastColumn="0" ns0:noHBand="0" ns0:noVBand="0"/>
      </ns0:tblPr>
    </ns0:tbl>
    <ns0:p>
      <ns0:pPr/>
    </ns0:p>
    <ns0:p>
      <ns0:pPr>
        <ns0:pStyle ns0:val="1"/>
        <ns0:spacing ns0:before="240" ns0:after="160"/>
      </ns0:pPr>
      <ns0:r>
        <ns0:rPr>
          <ns0:b/>
          <ns0:rFonts ns0:eastAsia="黑体"/>
        </ns0:rPr>
        <ns0:t>2 跟踪机制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何思源 每周依据周报、接口前置条件、测试记录、数据对账、部署和运行证据更新风险状态、触发条件、责任人和措施有效性；重大风险在识别后 24 小时内书面报告甲方。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RR-01、RR-08、RR-10、RR-13 为极高风险，按周形成专项跟踪记录；触发后先保护事件、任务、消息和审计等核心链路，再评估对正式里程碑的影响。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视频、消息和接口风险在设计评审前必须形成真实连通性验证记录；模拟服务或自动检查结果不得写成真实连通结论。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数据、部署、安全、性能和验收风险分别以数据对账、干净环境部署、安全复测、性能实测和需求追踪证据作为关闭依据。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历史 Issue 的关闭仅表示需求解释已裁决。出现新的接口、环境、数据或验证问题时新建 Issue 或变更记录，不覆盖历史。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项目计划 v1 完成 任俊强 的 Review 前，所有标有“待计划 Review 后复核”的 WBS、阶段和资源关联由 何思源 与 任俊强 复核；本登记册不修改项目计划。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>风险关闭必须同时具备触发条件解除或受控、措施执行证据、残余影响评估以及可回溯关联记录，并由相应责任人和复核人确认。</ns0:t>
      </ns0:r>
    </ns0:p>
    <ns0:sectPr ns0:rsidR="004979D7">
      <ns0:docGrid ns0:linePitch="360"/>
      <ns0:footerReference ns0:type="default" ns5:id="rId14"/>
      <ns0:headerReference ns0:type="default" ns5:id="rId13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CF91AA1" ns2:textId="77777777" ns0:rsidR="00756839" ns0:rsidRDefault="00756839">
      <ns0:r>
        <ns0:separator/>
      </ns0:r>
    </ns0:p>
  </ns0:endnote>
  <ns0:endnote ns0:type="continuationSeparator" ns0:id="0">
    <ns0:p ns2:paraId="694800B5" ns2:textId="77777777" ns0:rsidR="00756839" ns0:rsidRDefault="00756839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0ED81D52" ns2:textId="77777777" ns0:rsidR="004979D7" ns0:rsidRDefault="00692DA2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8D06D0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13805DE6" ns2:textId="77777777" ns0:rsidR="00756839" ns0:rsidRDefault="00756839">
      <ns0:r>
        <ns0:separator/>
      </ns0:r>
    </ns0:p>
  </ns0:footnote>
  <ns0:footnote ns0:type="continuationSeparator" ns0:id="0">
    <ns0:p ns2:paraId="76464312" ns2:textId="77777777" ns0:rsidR="00756839" ns0:rsidRDefault="00756839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32732DB7"/>
    <ns0:multiLevelType ns0:val="hybridMultilevel"/>
    <ns0:tmpl ns0:val="095A071A"/>
    <ns0:lvl ns0:ilvl="0" ns0:tplc="C3FE71CE">
      <ns0:start ns0:val="1"/>
      <ns0:numFmt ns0:val="bullet"/>
      <ns0:lvlText ns0:val="●"/>
      <ns0:lvlJc ns0:val="left"/>
      <ns0:pPr>
        <ns0:ind ns0:left="720" ns0:hanging="360"/>
      </ns0:pPr>
    </ns0:lvl>
    <ns0:lvl ns0:ilvl="1" ns0:tplc="69D48304">
      <ns0:start ns0:val="1"/>
      <ns0:numFmt ns0:val="bullet"/>
      <ns0:lvlText ns0:val="○"/>
      <ns0:lvlJc ns0:val="left"/>
      <ns0:pPr>
        <ns0:ind ns0:left="1440" ns0:hanging="360"/>
      </ns0:pPr>
    </ns0:lvl>
    <ns0:lvl ns0:ilvl="2" ns0:tplc="B5808C2E">
      <ns0:start ns0:val="1"/>
      <ns0:numFmt ns0:val="bullet"/>
      <ns0:lvlText ns0:val="■"/>
      <ns0:lvlJc ns0:val="left"/>
      <ns0:pPr>
        <ns0:ind ns0:left="2160" ns0:hanging="360"/>
      </ns0:pPr>
    </ns0:lvl>
    <ns0:lvl ns0:ilvl="3" ns0:tplc="4CEEC7E6">
      <ns0:start ns0:val="1"/>
      <ns0:numFmt ns0:val="bullet"/>
      <ns0:lvlText ns0:val="●"/>
      <ns0:lvlJc ns0:val="left"/>
      <ns0:pPr>
        <ns0:ind ns0:left="2880" ns0:hanging="360"/>
      </ns0:pPr>
    </ns0:lvl>
    <ns0:lvl ns0:ilvl="4" ns0:tplc="470AA362">
      <ns0:start ns0:val="1"/>
      <ns0:numFmt ns0:val="bullet"/>
      <ns0:lvlText ns0:val="○"/>
      <ns0:lvlJc ns0:val="left"/>
      <ns0:pPr>
        <ns0:ind ns0:left="3600" ns0:hanging="360"/>
      </ns0:pPr>
    </ns0:lvl>
    <ns0:lvl ns0:ilvl="5" ns0:tplc="89D09948">
      <ns0:start ns0:val="1"/>
      <ns0:numFmt ns0:val="bullet"/>
      <ns0:lvlText ns0:val="■"/>
      <ns0:lvlJc ns0:val="left"/>
      <ns0:pPr>
        <ns0:ind ns0:left="4320" ns0:hanging="360"/>
      </ns0:pPr>
    </ns0:lvl>
    <ns0:lvl ns0:ilvl="6" ns0:tplc="E4901B32">
      <ns0:start ns0:val="1"/>
      <ns0:numFmt ns0:val="bullet"/>
      <ns0:lvlText ns0:val="●"/>
      <ns0:lvlJc ns0:val="left"/>
      <ns0:pPr>
        <ns0:ind ns0:left="5040" ns0:hanging="360"/>
      </ns0:pPr>
    </ns0:lvl>
    <ns0:lvl ns0:ilvl="7" ns0:tplc="94B4534E">
      <ns0:start ns0:val="1"/>
      <ns0:numFmt ns0:val="bullet"/>
      <ns0:lvlText ns0:val="●"/>
      <ns0:lvlJc ns0:val="left"/>
      <ns0:pPr>
        <ns0:ind ns0:left="5760" ns0:hanging="360"/>
      </ns0:pPr>
    </ns0:lvl>
    <ns0:lvl ns0:ilvl="8" ns0:tplc="368C2B84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4979D7"/>
    <ns0:rsid ns0:val="004979D7"/>
    <ns0:rsid ns0:val="00692DA2"/>
    <ns0:rsid ns0:val="00756839"/>
    <ns0:rsid ns0:val="008D06D0"/>
    <ns0:rsid ns0:val="00FC2F25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1B98F3B0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8D06D0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8D06D0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8D06D0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8D06D0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Relationship Id="rId14" Type="http://schemas.openxmlformats.org/officeDocument/2006/relationships/footer" Target="footer2.xml"/><Relationship Id="rId13" Type="http://schemas.openxmlformats.org/officeDocument/2006/relationships/header" Target="header2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某自然博物馆智能运营中心建设项目——应急管理子系统风险登记册 v1</dc:title>
  <dc:creator>何思源</dc:creator>
  <ns0:lastModifiedBy>何思源</ns0:lastModifiedBy>
  <ns0:revision>2</ns0:revision>
  <ns2:created xsi:type="dcterms:W3CDTF">2026-08-14T14:45:00Z</ns2:created>
  <ns2:modified xsi:type="dcterms:W3CDTF">2026-09-06T14:24:00Z</ns2:modified>
  <dc:subject>第一关风险识别、评估与应对记录</dc:subject>
  <dc:description>第一关正式交付文档；业务内容沿用已审核口径。</dc:description>
</ns0:coreProperties>
</file>