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BCBBA3">
      <w:pPr>
        <w:spacing w:after="80"/>
        <w:jc w:val="right"/>
      </w:pPr>
      <w:bookmarkStart w:id="29" w:name="_GoBack"/>
      <w:bookmarkEnd w:id="29"/>
      <w:r>
        <w:rPr>
          <w:rFonts w:eastAsia="宋体"/>
          <w:color w:val="000000"/>
          <w:sz w:val="24"/>
        </w:rPr>
        <w:t>文档编号：YJGL-G3-06　　版本号：V0.1（评审稿）</w:t>
      </w:r>
    </w:p>
    <w:p w14:paraId="6F77609C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 · 评审用</w:t>
      </w:r>
    </w:p>
    <w:p w14:paraId="51C23F60">
      <w:pPr>
        <w:spacing w:before="2000" w:after="480"/>
        <w:jc w:val="center"/>
      </w:pPr>
    </w:p>
    <w:p w14:paraId="240625B6">
      <w:pPr>
        <w:pBdr>
          <w:bottom w:val="single" w:color="000000" w:sz="12" w:space="8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</w:p>
    <w:p w14:paraId="1AE176CF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接口设计说明书</w:t>
      </w:r>
    </w:p>
    <w:p w14:paraId="5697A5CF">
      <w:pPr>
        <w:spacing w:after="80"/>
        <w:jc w:val="center"/>
      </w:pPr>
      <w:r>
        <w:rPr>
          <w:rFonts w:eastAsia="楷体"/>
          <w:color w:val="000000"/>
          <w:sz w:val="28"/>
        </w:rPr>
        <w:t>（G3-06 评审稿）</w:t>
      </w:r>
    </w:p>
    <w:p w14:paraId="12C0E266">
      <w:pPr>
        <w:spacing w:before="1600" w:after="80"/>
        <w:jc w:val="center"/>
      </w:pPr>
    </w:p>
    <w:p w14:paraId="0CBA21A0">
      <w:pPr>
        <w:spacing w:after="200"/>
        <w:ind w:left="1842" w:leftChars="921"/>
        <w:jc w:val="left"/>
      </w:pPr>
      <w:r>
        <w:rPr>
          <w:rFonts w:eastAsia="仿宋"/>
          <w:color w:val="000000"/>
          <w:sz w:val="32"/>
        </w:rPr>
        <w:t>编制单位：020202项目组【待人工确认】</w:t>
      </w:r>
    </w:p>
    <w:p w14:paraId="5BA89DF0">
      <w:pPr>
        <w:spacing w:after="200"/>
        <w:ind w:left="1842" w:leftChars="921"/>
        <w:jc w:val="left"/>
      </w:pPr>
      <w:r>
        <w:rPr>
          <w:rFonts w:eastAsia="仿宋"/>
          <w:color w:val="000000"/>
          <w:sz w:val="32"/>
        </w:rPr>
        <w:t>编　　制：B（技术主责）【待人工确认】</w:t>
      </w:r>
    </w:p>
    <w:p w14:paraId="6EBFDD78">
      <w:pPr>
        <w:spacing w:after="200"/>
        <w:ind w:left="1842" w:leftChars="921"/>
        <w:jc w:val="left"/>
      </w:pPr>
      <w:r>
        <w:rPr>
          <w:rFonts w:eastAsia="仿宋"/>
          <w:color w:val="000000"/>
          <w:sz w:val="32"/>
        </w:rPr>
        <w:t>审　　核：A、C【待复核】</w:t>
      </w:r>
    </w:p>
    <w:p w14:paraId="51A04A44">
      <w:pPr>
        <w:spacing w:after="200"/>
        <w:ind w:left="1842" w:leftChars="921"/>
        <w:jc w:val="left"/>
      </w:pPr>
      <w:r>
        <w:rPr>
          <w:rFonts w:eastAsia="仿宋"/>
          <w:color w:val="000000"/>
          <w:sz w:val="32"/>
        </w:rPr>
        <w:t>批　　准：【待人工确认】</w:t>
      </w:r>
    </w:p>
    <w:p w14:paraId="0D4DEE58">
      <w:pPr>
        <w:spacing w:before="200" w:after="80"/>
        <w:ind w:left="1842" w:leftChars="921"/>
        <w:jc w:val="left"/>
      </w:pPr>
      <w:r>
        <w:rPr>
          <w:rFonts w:eastAsia="仿宋"/>
          <w:color w:val="000000"/>
          <w:sz w:val="32"/>
        </w:rPr>
        <w:t>编制日期：2026 年 9 月 18 日</w:t>
      </w:r>
    </w:p>
    <w:p w14:paraId="01BD5F11">
      <w:r>
        <w:rPr>
          <w:color w:val="000000"/>
        </w:rPr>
        <w:br w:type="page"/>
      </w:r>
    </w:p>
    <w:p w14:paraId="58F4D263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10"/>
        <w:gridCol w:w="1526"/>
        <w:gridCol w:w="1495"/>
        <w:gridCol w:w="3019"/>
        <w:gridCol w:w="1466"/>
      </w:tblGrid>
      <w:tr w14:paraId="588CA14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10" w:type="dxa"/>
            <w:shd w:val="clear" w:color="auto" w:fill="D9E2EC"/>
          </w:tcPr>
          <w:p w14:paraId="4337F72F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6" w:type="dxa"/>
            <w:shd w:val="clear" w:color="auto" w:fill="D9E2EC"/>
          </w:tcPr>
          <w:p w14:paraId="5512A10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95" w:type="dxa"/>
            <w:shd w:val="clear" w:color="auto" w:fill="D9E2EC"/>
          </w:tcPr>
          <w:p w14:paraId="46B8C3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19" w:type="dxa"/>
            <w:shd w:val="clear" w:color="auto" w:fill="D9E2EC"/>
          </w:tcPr>
          <w:p w14:paraId="393A11F6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66" w:type="dxa"/>
            <w:shd w:val="clear" w:color="auto" w:fill="D9E2EC"/>
          </w:tcPr>
          <w:p w14:paraId="03CFDE37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编制/修订人</w:t>
            </w:r>
          </w:p>
        </w:tc>
      </w:tr>
      <w:tr w14:paraId="740436E7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10" w:type="dxa"/>
          </w:tcPr>
          <w:p w14:paraId="2613C43C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V0.1</w:t>
            </w:r>
          </w:p>
        </w:tc>
        <w:tc>
          <w:tcPr>
            <w:tcW w:w="1526" w:type="dxa"/>
          </w:tcPr>
          <w:p w14:paraId="5F5C086A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2026-09-18</w:t>
            </w:r>
          </w:p>
        </w:tc>
        <w:tc>
          <w:tcPr>
            <w:tcW w:w="1495" w:type="dxa"/>
          </w:tcPr>
          <w:p w14:paraId="68BBA372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19" w:type="dxa"/>
          </w:tcPr>
          <w:p w14:paraId="017A3D8F">
            <w:r>
              <w:rPr>
                <w:rFonts w:eastAsia="宋体"/>
                <w:color w:val="000000"/>
                <w:sz w:val="21"/>
              </w:rPr>
              <w:t>形成接口说明书与 OpenAPI v1 评审候选</w:t>
            </w:r>
          </w:p>
        </w:tc>
        <w:tc>
          <w:tcPr>
            <w:tcW w:w="1466" w:type="dxa"/>
          </w:tcPr>
          <w:p w14:paraId="49985511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B【待人工确认】</w:t>
            </w:r>
          </w:p>
        </w:tc>
      </w:tr>
    </w:tbl>
    <w:p w14:paraId="0553B91B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注：本表记录接口设计受控版本沿革；视频与统一消息真实外部 Schema 受 ISSUE-G3-01-001 阻断。</w:t>
      </w:r>
    </w:p>
    <w:p w14:paraId="43F74B70">
      <w:pPr>
        <w:rPr>
          <w:color w:val="000000"/>
        </w:rPr>
        <w:sectPr>
          <w:footerReference r:id="rId3" w:type="default"/>
          <w:pgSz w:w="11906" w:h="16838"/>
          <w:pgMar w:top="1440" w:right="1440" w:bottom="1440" w:left="1440" w:header="708" w:footer="708" w:gutter="0"/>
          <w:cols w:space="720" w:num="1"/>
          <w:docGrid w:linePitch="360" w:charSpace="0"/>
        </w:sectPr>
      </w:pPr>
      <w:r>
        <w:rPr>
          <w:color w:val="000000"/>
        </w:rPr>
        <w:br w:type="page"/>
      </w:r>
    </w:p>
    <w:sdt>
      <w:sdtPr>
        <w:rPr>
          <w:rFonts w:ascii="Times New Roman" w:hAnsi="Times New Roman" w:cs="Times New Roman" w:eastAsiaTheme="minorEastAsia"/>
          <w:color w:val="auto"/>
          <w:sz w:val="20"/>
          <w:szCs w:val="20"/>
          <w:lang w:val="zh-CN"/>
        </w:rPr>
        <w:id w:val="123219731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b/>
          <w:bCs/>
          <w:color w:val="auto"/>
          <w:sz w:val="20"/>
          <w:szCs w:val="20"/>
          <w:lang w:val="zh-CN"/>
        </w:rPr>
      </w:sdtEndPr>
      <w:sdtContent>
        <w:p w14:paraId="6E9D73C2">
          <w:pPr>
            <w:pStyle w:val="26"/>
            <w:jc w:val="center"/>
            <w:rPr>
              <w:color w:val="auto"/>
            </w:rPr>
          </w:pPr>
          <w:r>
            <w:rPr>
              <w:color w:val="auto"/>
              <w:lang w:val="zh-CN"/>
            </w:rPr>
            <w:t>目</w:t>
          </w:r>
          <w:r>
            <w:rPr>
              <w:rFonts w:hint="eastAsia"/>
              <w:color w:val="auto"/>
              <w:lang w:val="zh-CN"/>
            </w:rPr>
            <w:t xml:space="preserve"> </w:t>
          </w:r>
          <w:r>
            <w:rPr>
              <w:color w:val="auto"/>
              <w:lang w:val="zh-CN"/>
            </w:rPr>
            <w:t xml:space="preserve">  录</w:t>
          </w:r>
        </w:p>
        <w:p w14:paraId="58666C82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_Toc5001 </w:instrText>
          </w:r>
          <w:r>
            <w:fldChar w:fldCharType="separate"/>
          </w:r>
          <w:r>
            <w:rPr>
              <w:rFonts w:eastAsia="黑体"/>
              <w:bCs/>
            </w:rPr>
            <w:t>1 概述</w:t>
          </w:r>
          <w:r>
            <w:tab/>
          </w:r>
          <w:r>
            <w:fldChar w:fldCharType="begin"/>
          </w:r>
          <w:r>
            <w:instrText xml:space="preserve"> PAGEREF _Toc5001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56DBA3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_Toc11963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1.1 目的和效力边界</w:t>
          </w:r>
          <w:r>
            <w:tab/>
          </w:r>
          <w:r>
            <w:fldChar w:fldCharType="begin"/>
          </w:r>
          <w:r>
            <w:instrText xml:space="preserve"> PAGEREF _Toc11963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DB7F3B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_Toc23911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1.2 接口清单</w:t>
          </w:r>
          <w:r>
            <w:tab/>
          </w:r>
          <w:r>
            <w:fldChar w:fldCharType="begin"/>
          </w:r>
          <w:r>
            <w:instrText xml:space="preserve"> PAGEREF _Toc23911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2ABCA9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_Toc24713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1.3 通用约定</w:t>
          </w:r>
          <w:r>
            <w:tab/>
          </w:r>
          <w:r>
            <w:fldChar w:fldCharType="begin"/>
          </w:r>
          <w:r>
            <w:instrText xml:space="preserve"> PAGEREF _Toc24713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B334884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_Toc14816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2 REST 接口设计</w:t>
          </w:r>
          <w:r>
            <w:tab/>
          </w:r>
          <w:r>
            <w:fldChar w:fldCharType="begin"/>
          </w:r>
          <w:r>
            <w:instrText xml:space="preserve"> PAGEREF _Toc14816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2585B8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_Toc5395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2.1 端点总表</w:t>
          </w:r>
          <w:r>
            <w:tab/>
          </w:r>
          <w:r>
            <w:fldChar w:fldCharType="begin"/>
          </w:r>
          <w:r>
            <w:instrText xml:space="preserve"> PAGEREF _Toc5395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82291DA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_Toc24448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2.2 请求、响应与错误</w:t>
          </w:r>
          <w:r>
            <w:tab/>
          </w:r>
          <w:r>
            <w:fldChar w:fldCharType="begin"/>
          </w:r>
          <w:r>
            <w:instrText xml:space="preserve"> PAGEREF _Toc24448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335132B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_Toc30487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2.3 关键写接口语义</w:t>
          </w:r>
          <w:r>
            <w:tab/>
          </w:r>
          <w:r>
            <w:fldChar w:fldCharType="begin"/>
          </w:r>
          <w:r>
            <w:instrText xml:space="preserve"> PAGEREF _Toc30487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5AD240A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_Toc27369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3 外部系统适配</w:t>
          </w:r>
          <w:r>
            <w:tab/>
          </w:r>
          <w:r>
            <w:fldChar w:fldCharType="begin"/>
          </w:r>
          <w:r>
            <w:instrText xml:space="preserve"> PAGEREF _Toc27369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621146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_Toc16929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3.1 端口与责任边界</w:t>
          </w:r>
          <w:r>
            <w:tab/>
          </w:r>
          <w:r>
            <w:fldChar w:fldCharType="begin"/>
          </w:r>
          <w:r>
            <w:instrText xml:space="preserve"> PAGEREF _Toc16929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6695B97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_Toc15646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3.2 字段映射与证据清单</w:t>
          </w:r>
          <w:r>
            <w:tab/>
          </w:r>
          <w:r>
            <w:fldChar w:fldCharType="begin"/>
          </w:r>
          <w:r>
            <w:instrText xml:space="preserve"> PAGEREF _Toc15646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61D2F3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_Toc16426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3.3 四系统联动验收挂接</w:t>
          </w:r>
          <w:r>
            <w:tab/>
          </w:r>
          <w:r>
            <w:fldChar w:fldCharType="begin"/>
          </w:r>
          <w:r>
            <w:instrText xml:space="preserve"> PAGEREF _Toc16426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392F3B9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_Toc14641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4 客户端接口</w:t>
          </w:r>
          <w:r>
            <w:tab/>
          </w:r>
          <w:r>
            <w:fldChar w:fldCharType="begin"/>
          </w:r>
          <w:r>
            <w:instrText xml:space="preserve"> PAGEREF _Toc14641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4654B3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_Toc27916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4.1 Web、大屏与 H5</w:t>
          </w:r>
          <w:r>
            <w:tab/>
          </w:r>
          <w:r>
            <w:fldChar w:fldCharType="begin"/>
          </w:r>
          <w:r>
            <w:instrText xml:space="preserve"> PAGEREF _Toc27916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884B52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_Toc17496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4.2 弱网与重复提交</w:t>
          </w:r>
          <w:r>
            <w:tab/>
          </w:r>
          <w:r>
            <w:fldChar w:fldCharType="begin"/>
          </w:r>
          <w:r>
            <w:instrText xml:space="preserve"> PAGEREF _Toc17496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88CCA01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_Toc14022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5 内部端口与事件</w:t>
          </w:r>
          <w:r>
            <w:tab/>
          </w:r>
          <w:r>
            <w:fldChar w:fldCharType="begin"/>
          </w:r>
          <w:r>
            <w:instrText xml:space="preserve"> PAGEREF _Toc14022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D349E9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_Toc17336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5.1 内部端口</w:t>
          </w:r>
          <w:r>
            <w:tab/>
          </w:r>
          <w:r>
            <w:fldChar w:fldCharType="begin"/>
          </w:r>
          <w:r>
            <w:instrText xml:space="preserve"> PAGEREF _Toc17336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88B787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_Toc18592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5.2 领域事件信封</w:t>
          </w:r>
          <w:r>
            <w:tab/>
          </w:r>
          <w:r>
            <w:fldChar w:fldCharType="begin"/>
          </w:r>
          <w:r>
            <w:instrText xml:space="preserve"> PAGEREF _Toc18592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9C60C86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_Toc27999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6 版本、安全与变更</w:t>
          </w:r>
          <w:r>
            <w:tab/>
          </w:r>
          <w:r>
            <w:fldChar w:fldCharType="begin"/>
          </w:r>
          <w:r>
            <w:instrText xml:space="preserve"> PAGEREF _Toc27999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6748E5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6.1 版本策略</w:t>
          </w:r>
          <w:r>
            <w:tab/>
          </w:r>
          <w:r>
            <w:fldChar w:fldCharType="begin"/>
          </w:r>
          <w:r>
            <w:instrText xml:space="preserve"> PAGEREF _Toc174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00B387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_Toc11850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6.2 安全与审计</w:t>
          </w:r>
          <w:r>
            <w:tab/>
          </w:r>
          <w:r>
            <w:fldChar w:fldCharType="begin"/>
          </w:r>
          <w:r>
            <w:instrText xml:space="preserve"> PAGEREF _Toc11850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7776F7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_Toc27213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6.3 契约变更流程</w:t>
          </w:r>
          <w:r>
            <w:tab/>
          </w:r>
          <w:r>
            <w:fldChar w:fldCharType="begin"/>
          </w:r>
          <w:r>
            <w:instrText xml:space="preserve"> PAGEREF _Toc27213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1359399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_Toc13676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7 需求与验收追踪</w:t>
          </w:r>
          <w:r>
            <w:tab/>
          </w:r>
          <w:r>
            <w:fldChar w:fldCharType="begin"/>
          </w:r>
          <w:r>
            <w:instrText xml:space="preserve"> PAGEREF _Toc13676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2BF472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_Toc11653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7.1 39 FR / 117 AC 接口挂接</w:t>
          </w:r>
          <w:r>
            <w:tab/>
          </w:r>
          <w:r>
            <w:fldChar w:fldCharType="begin"/>
          </w:r>
          <w:r>
            <w:instrText xml:space="preserve"> PAGEREF _Toc11653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EF02ED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_Toc29708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7.2 关键数字验证挂接</w:t>
          </w:r>
          <w:r>
            <w:tab/>
          </w:r>
          <w:r>
            <w:fldChar w:fldCharType="begin"/>
          </w:r>
          <w:r>
            <w:instrText xml:space="preserve"> PAGEREF _Toc29708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DFB7F00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_Toc8819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</w:rPr>
            <w:t>8 验证、未决事项与准出</w:t>
          </w:r>
          <w:r>
            <w:tab/>
          </w:r>
          <w:r>
            <w:fldChar w:fldCharType="begin"/>
          </w:r>
          <w:r>
            <w:instrText xml:space="preserve"> PAGEREF _Toc8819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2ABF5FA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_Toc9719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8.1 契约验证</w:t>
          </w:r>
          <w:r>
            <w:tab/>
          </w:r>
          <w:r>
            <w:fldChar w:fldCharType="begin"/>
          </w:r>
          <w:r>
            <w:instrText xml:space="preserve"> PAGEREF _Toc9719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8F51D3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_Toc28979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8.2 未决事项</w:t>
          </w:r>
          <w:r>
            <w:tab/>
          </w:r>
          <w:r>
            <w:fldChar w:fldCharType="begin"/>
          </w:r>
          <w:r>
            <w:instrText xml:space="preserve"> PAGEREF _Toc28979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0DDC90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_Toc18518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eastAsia="黑体"/>
              <w:bCs/>
              <w:szCs w:val="28"/>
            </w:rPr>
            <w:t>8.3 自检结论</w:t>
          </w:r>
          <w:r>
            <w:tab/>
          </w:r>
          <w:r>
            <w:fldChar w:fldCharType="begin"/>
          </w:r>
          <w:r>
            <w:instrText xml:space="preserve"> PAGEREF _Toc18518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96ED662">
          <w:r>
            <w:rPr>
              <w:bCs/>
              <w:lang w:val="zh-CN"/>
            </w:rPr>
            <w:fldChar w:fldCharType="end"/>
          </w:r>
        </w:p>
      </w:sdtContent>
    </w:sdt>
    <w:p w14:paraId="77F0EDFD"/>
    <w:p w14:paraId="1860B549"/>
    <w:p w14:paraId="13C665DB">
      <w:p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docGrid w:linePitch="360" w:charSpace="0"/>
        </w:sectPr>
      </w:pPr>
    </w:p>
    <w:p w14:paraId="3DA81EAB"/>
    <w:p w14:paraId="3225377A">
      <w:pPr>
        <w:pStyle w:val="2"/>
        <w:spacing w:before="240" w:after="160"/>
      </w:pPr>
      <w:bookmarkStart w:id="0" w:name="_Toc5001"/>
      <w:r>
        <w:rPr>
          <w:rFonts w:eastAsia="黑体"/>
          <w:b/>
          <w:bCs/>
        </w:rPr>
        <w:t>1 概述</w:t>
      </w:r>
      <w:bookmarkEnd w:id="0"/>
    </w:p>
    <w:p w14:paraId="31734545">
      <w:pPr>
        <w:pStyle w:val="3"/>
        <w:spacing w:before="240" w:after="160"/>
      </w:pPr>
      <w:bookmarkStart w:id="1" w:name="_Toc11963"/>
      <w:r>
        <w:rPr>
          <w:rFonts w:eastAsia="黑体"/>
          <w:b/>
          <w:bCs/>
          <w:sz w:val="28"/>
          <w:szCs w:val="28"/>
        </w:rPr>
        <w:t>1.1 目的和效力边界</w:t>
      </w:r>
      <w:bookmarkEnd w:id="1"/>
    </w:p>
    <w:p w14:paraId="45A743F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本文把概要设计、数据库设计和详细设计中的调用边界落实为 REST 接口、外部适配端口、领域事件和版本治理规则。机器可读契约见 </w:t>
      </w:r>
      <w:r>
        <w:rPr>
          <w:rFonts w:ascii="Consolas" w:hAnsi="Consolas" w:eastAsia="宋体"/>
          <w:color w:val="000000"/>
          <w:sz w:val="18"/>
          <w:szCs w:val="24"/>
        </w:rPr>
        <w:t>15-接口契约-openapi_v1.yaml</w:t>
      </w:r>
      <w:r>
        <w:rPr>
          <w:rFonts w:eastAsia="宋体"/>
          <w:color w:val="000000"/>
          <w:sz w:val="24"/>
          <w:szCs w:val="24"/>
        </w:rPr>
        <w:t>；当说明书与契约的字段、必填、枚举或响应不一致时，以同版本 OpenAPI 为准，并通过契约评审修正说明书。</w:t>
      </w:r>
    </w:p>
    <w:p w14:paraId="1BA77321">
      <w:pPr>
        <w:spacing w:after="100" w:line="360" w:lineRule="auto"/>
        <w:ind w:firstLine="475"/>
      </w:pPr>
      <w:r>
        <w:rPr>
          <w:rFonts w:ascii="Consolas" w:hAnsi="Consolas" w:eastAsia="宋体"/>
          <w:color w:val="000000"/>
          <w:sz w:val="18"/>
          <w:szCs w:val="24"/>
        </w:rPr>
        <w:t>ISSUE-G3-01-001</w:t>
      </w:r>
      <w:r>
        <w:rPr>
          <w:rFonts w:eastAsia="宋体"/>
          <w:color w:val="000000"/>
          <w:sz w:val="24"/>
          <w:szCs w:val="24"/>
        </w:rPr>
        <w:t xml:space="preserve"> 保持 OPEN：甲方尚未提供视频与统一消息平台的真实字段、认证、回执语义和现场性能证据。本稿只冻结本系统内部归一化模型和适配端口，外部厂商 Schema 标记为 </w:t>
      </w:r>
      <w:r>
        <w:rPr>
          <w:rFonts w:ascii="Consolas" w:hAnsi="Consolas" w:eastAsia="宋体"/>
          <w:color w:val="000000"/>
          <w:sz w:val="18"/>
          <w:szCs w:val="24"/>
        </w:rPr>
        <w:t>PENDING_EXTERNAL_EVIDENCE</w:t>
      </w:r>
      <w:r>
        <w:rPr>
          <w:rFonts w:eastAsia="宋体"/>
          <w:color w:val="000000"/>
          <w:sz w:val="24"/>
          <w:szCs w:val="24"/>
        </w:rPr>
        <w:t>，不得据此宣称已连通、生产可用或性能达标。</w:t>
      </w:r>
    </w:p>
    <w:p w14:paraId="111684B6">
      <w:pPr>
        <w:pStyle w:val="3"/>
        <w:spacing w:before="240" w:after="160"/>
      </w:pPr>
      <w:bookmarkStart w:id="2" w:name="_Toc23911"/>
      <w:r>
        <w:rPr>
          <w:rFonts w:eastAsia="黑体"/>
          <w:b/>
          <w:bCs/>
          <w:sz w:val="28"/>
          <w:szCs w:val="28"/>
        </w:rPr>
        <w:t>1.2 接口清单</w:t>
      </w:r>
      <w:bookmarkEnd w:id="2"/>
    </w:p>
    <w:p w14:paraId="599166E8">
      <w:pPr>
        <w:keepNext/>
        <w:jc w:val="center"/>
      </w:pPr>
      <w:r>
        <w:rPr>
          <w:rFonts w:eastAsia="黑体"/>
          <w:b/>
          <w:color w:val="000000"/>
          <w:sz w:val="18"/>
        </w:rPr>
        <w:t>表 1-1 接口清单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2"/>
        <w:gridCol w:w="2612"/>
        <w:gridCol w:w="1840"/>
        <w:gridCol w:w="2077"/>
        <w:gridCol w:w="1781"/>
      </w:tblGrid>
      <w:tr w14:paraId="53411F4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</w:tblPrEx>
        <w:trPr>
          <w:cantSplit/>
          <w:tblHeader/>
        </w:trPr>
        <w:tc>
          <w:tcPr>
            <w:tcW w:w="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98ACE1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接口类别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C2B3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访问方</w:t>
            </w:r>
          </w:p>
        </w:tc>
        <w:tc>
          <w:tcPr>
            <w:tcW w:w="175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6736F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主要协议</w:t>
            </w:r>
          </w:p>
        </w:tc>
        <w:tc>
          <w:tcPr>
            <w:tcW w:w="198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C22951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契约载体</w:t>
            </w:r>
          </w:p>
        </w:tc>
        <w:tc>
          <w:tcPr>
            <w:tcW w:w="170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0AC1C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当前状态</w:t>
            </w:r>
          </w:p>
        </w:tc>
      </w:tr>
      <w:tr w14:paraId="53CC1C3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9D6DF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Web/大屏/H5 业务接口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5F75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既有门户、H5、大屏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D433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HTTPS + JSON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73E0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OpenAPI 3.0.3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9F29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评审候选</w:t>
            </w:r>
          </w:p>
        </w:tc>
      </w:tr>
      <w:tr w14:paraId="2BF1ABC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5F94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外部告警入站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7FF2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信息发布、入侵、消防、IoT 适配器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829C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HTTPS + JSON 或适配后消息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987E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OpenAPI 入站资源 + 映射表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B0A3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真实协议待联调</w:t>
            </w:r>
          </w:p>
        </w:tc>
      </w:tr>
      <w:tr w14:paraId="7E04F3C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23118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视频、消息、门禁等出站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C9C79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MOD-INTEGRATION 适配器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7EC4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甲方接口协议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9775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内部端口 + 映射表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88D0D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视频/消息受 ISSUE-G3-01-001 阻断</w:t>
            </w:r>
          </w:p>
        </w:tc>
      </w:tr>
      <w:tr w14:paraId="1A8F7B3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70BA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内部领域事件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ECD67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应用服务、投影、Outbox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1058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版本化事件信封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02BC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本文第 5 章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3E6D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评审候选</w:t>
            </w:r>
          </w:p>
        </w:tc>
      </w:tr>
      <w:tr w14:paraId="0B73976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C35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文件、身份、权限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DAC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统一中台适配器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3426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中台既有接口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7E7D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内部归一化端口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8ED0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真实字段待甲方资料确认</w:t>
            </w:r>
          </w:p>
        </w:tc>
      </w:tr>
    </w:tbl>
    <w:p w14:paraId="5950F309">
      <w:pPr>
        <w:pStyle w:val="3"/>
        <w:spacing w:before="240" w:after="160"/>
      </w:pPr>
      <w:bookmarkStart w:id="3" w:name="_Toc24713"/>
      <w:r>
        <w:rPr>
          <w:rFonts w:eastAsia="黑体"/>
          <w:b/>
          <w:bCs/>
          <w:sz w:val="28"/>
          <w:szCs w:val="28"/>
        </w:rPr>
        <w:t>1.3 通用约定</w:t>
      </w:r>
      <w:bookmarkEnd w:id="3"/>
    </w:p>
    <w:p w14:paraId="35096731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基础路径为 </w:t>
      </w:r>
      <w:r>
        <w:rPr>
          <w:rFonts w:ascii="Consolas" w:hAnsi="Consolas" w:eastAsia="宋体"/>
          <w:sz w:val="18"/>
          <w:szCs w:val="24"/>
        </w:rPr>
        <w:t>/api/v1</w:t>
      </w:r>
      <w:r>
        <w:rPr>
          <w:rFonts w:eastAsia="宋体"/>
          <w:sz w:val="24"/>
          <w:szCs w:val="24"/>
        </w:rPr>
        <w:t>，破坏性变更升级主版本；新增可选字段属于兼容变更。</w:t>
      </w:r>
    </w:p>
    <w:p w14:paraId="3A228EFA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所有请求使用 UTF-8、ISO 8601 带时区时间和稳定业务标识；分页使用 </w:t>
      </w:r>
      <w:r>
        <w:rPr>
          <w:rFonts w:ascii="Consolas" w:hAnsi="Consolas" w:eastAsia="宋体"/>
          <w:sz w:val="18"/>
          <w:szCs w:val="24"/>
        </w:rPr>
        <w:t>page</w:t>
      </w:r>
      <w:r>
        <w:rPr>
          <w:rFonts w:eastAsia="宋体"/>
          <w:sz w:val="24"/>
          <w:szCs w:val="24"/>
        </w:rPr>
        <w:t>、</w:t>
      </w:r>
      <w:r>
        <w:rPr>
          <w:rFonts w:ascii="Consolas" w:hAnsi="Consolas" w:eastAsia="宋体"/>
          <w:sz w:val="18"/>
          <w:szCs w:val="24"/>
        </w:rPr>
        <w:t>size</w:t>
      </w:r>
      <w:r>
        <w:rPr>
          <w:rFonts w:eastAsia="宋体"/>
          <w:sz w:val="24"/>
          <w:szCs w:val="24"/>
        </w:rPr>
        <w:t xml:space="preserve">，服务端返回 </w:t>
      </w:r>
      <w:r>
        <w:rPr>
          <w:rFonts w:ascii="Consolas" w:hAnsi="Consolas" w:eastAsia="宋体"/>
          <w:sz w:val="18"/>
          <w:szCs w:val="24"/>
        </w:rPr>
        <w:t>total</w:t>
      </w:r>
      <w:r>
        <w:rPr>
          <w:rFonts w:eastAsia="宋体"/>
          <w:sz w:val="24"/>
          <w:szCs w:val="24"/>
        </w:rPr>
        <w:t>。</w:t>
      </w:r>
    </w:p>
    <w:p w14:paraId="22E117E1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统一中台令牌建立用户、组织、角色和数据域；服务端不得信任客户端自行声明的操作者或组织。</w:t>
      </w:r>
    </w:p>
    <w:p w14:paraId="422B715C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写请求携带 </w:t>
      </w:r>
      <w:r>
        <w:rPr>
          <w:rFonts w:ascii="Consolas" w:hAnsi="Consolas" w:eastAsia="宋体"/>
          <w:sz w:val="18"/>
          <w:szCs w:val="24"/>
        </w:rPr>
        <w:t>X-Request-ID</w:t>
      </w:r>
      <w:r>
        <w:rPr>
          <w:rFonts w:eastAsia="宋体"/>
          <w:sz w:val="24"/>
          <w:szCs w:val="24"/>
        </w:rPr>
        <w:t xml:space="preserve">；启动、扫码、告警、回执和控制命令另携带 </w:t>
      </w:r>
      <w:r>
        <w:rPr>
          <w:rFonts w:ascii="Consolas" w:hAnsi="Consolas" w:eastAsia="宋体"/>
          <w:sz w:val="18"/>
          <w:szCs w:val="24"/>
        </w:rPr>
        <w:t>X-Idempotency-Key</w:t>
      </w:r>
      <w:r>
        <w:rPr>
          <w:rFonts w:eastAsia="宋体"/>
          <w:sz w:val="24"/>
          <w:szCs w:val="24"/>
        </w:rPr>
        <w:t>。同键异载荷返回 409。</w:t>
      </w:r>
    </w:p>
    <w:p w14:paraId="7B51C041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• 响应信封包含 </w:t>
      </w:r>
      <w:r>
        <w:rPr>
          <w:rFonts w:ascii="Consolas" w:hAnsi="Consolas" w:eastAsia="宋体"/>
          <w:sz w:val="18"/>
          <w:szCs w:val="24"/>
        </w:rPr>
        <w:t>code</w:t>
      </w:r>
      <w:r>
        <w:rPr>
          <w:rFonts w:eastAsia="宋体"/>
          <w:sz w:val="24"/>
          <w:szCs w:val="24"/>
        </w:rPr>
        <w:t>、</w:t>
      </w:r>
      <w:r>
        <w:rPr>
          <w:rFonts w:ascii="Consolas" w:hAnsi="Consolas" w:eastAsia="宋体"/>
          <w:sz w:val="18"/>
          <w:szCs w:val="24"/>
        </w:rPr>
        <w:t>message</w:t>
      </w:r>
      <w:r>
        <w:rPr>
          <w:rFonts w:eastAsia="宋体"/>
          <w:sz w:val="24"/>
          <w:szCs w:val="24"/>
        </w:rPr>
        <w:t>、</w:t>
      </w:r>
      <w:r>
        <w:rPr>
          <w:rFonts w:ascii="Consolas" w:hAnsi="Consolas" w:eastAsia="宋体"/>
          <w:sz w:val="18"/>
          <w:szCs w:val="24"/>
        </w:rPr>
        <w:t>data</w:t>
      </w:r>
      <w:r>
        <w:rPr>
          <w:rFonts w:eastAsia="宋体"/>
          <w:sz w:val="24"/>
          <w:szCs w:val="24"/>
        </w:rPr>
        <w:t>、</w:t>
      </w:r>
      <w:r>
        <w:rPr>
          <w:rFonts w:ascii="Consolas" w:hAnsi="Consolas" w:eastAsia="宋体"/>
          <w:sz w:val="18"/>
          <w:szCs w:val="24"/>
        </w:rPr>
        <w:t>traceId</w:t>
      </w:r>
      <w:r>
        <w:rPr>
          <w:rFonts w:eastAsia="宋体"/>
          <w:sz w:val="24"/>
          <w:szCs w:val="24"/>
        </w:rPr>
        <w:t>、</w:t>
      </w:r>
      <w:r>
        <w:rPr>
          <w:rFonts w:ascii="Consolas" w:hAnsi="Consolas" w:eastAsia="宋体"/>
          <w:sz w:val="18"/>
          <w:szCs w:val="24"/>
        </w:rPr>
        <w:t>timestamp</w:t>
      </w:r>
      <w:r>
        <w:rPr>
          <w:rFonts w:eastAsia="宋体"/>
          <w:sz w:val="24"/>
          <w:szCs w:val="24"/>
        </w:rPr>
        <w:t>；字段校验错误包含字段路径和可执行原因。</w:t>
      </w:r>
    </w:p>
    <w:p w14:paraId="7E97DE34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业务发生时间、源时间、接收时间和处理时间分别保存。迟到数据追加历史，禁止覆盖既有事实。</w:t>
      </w:r>
    </w:p>
    <w:p w14:paraId="59942575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控制类命令必须包含授权确认和一次性确认令牌；超时不得自动重放，失败进入告警和人工降级。</w:t>
      </w:r>
    </w:p>
    <w:p w14:paraId="7C9EB5D0">
      <w:pPr>
        <w:pStyle w:val="2"/>
        <w:spacing w:before="240" w:after="160"/>
      </w:pPr>
      <w:bookmarkStart w:id="4" w:name="_Toc14816"/>
      <w:r>
        <w:rPr>
          <w:rFonts w:eastAsia="黑体"/>
          <w:b/>
          <w:bCs/>
        </w:rPr>
        <w:t>2 REST 接口设计</w:t>
      </w:r>
      <w:bookmarkEnd w:id="4"/>
    </w:p>
    <w:p w14:paraId="0B9ED8A3">
      <w:pPr>
        <w:pStyle w:val="3"/>
        <w:spacing w:before="240" w:after="160"/>
      </w:pPr>
      <w:bookmarkStart w:id="5" w:name="_Toc5395"/>
      <w:r>
        <w:rPr>
          <w:rFonts w:eastAsia="黑体"/>
          <w:b/>
          <w:bCs/>
          <w:sz w:val="28"/>
          <w:szCs w:val="28"/>
        </w:rPr>
        <w:t>2.1 端点总表</w:t>
      </w:r>
      <w:bookmarkEnd w:id="5"/>
    </w:p>
    <w:p w14:paraId="5F2C0C69">
      <w:pPr>
        <w:keepNext/>
        <w:jc w:val="center"/>
      </w:pPr>
      <w:r>
        <w:rPr>
          <w:rFonts w:eastAsia="黑体"/>
          <w:b/>
          <w:color w:val="000000"/>
          <w:sz w:val="18"/>
        </w:rPr>
        <w:t>表 2-1 端点总表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42"/>
        <w:gridCol w:w="4029"/>
        <w:gridCol w:w="2607"/>
        <w:gridCol w:w="858"/>
        <w:gridCol w:w="886"/>
      </w:tblGrid>
      <w:tr w14:paraId="7C0FE59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6BC34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编号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BF426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方法与路径</w:t>
            </w:r>
          </w:p>
        </w:tc>
        <w:tc>
          <w:tcPr>
            <w:tcW w:w="175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18B38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operationId</w:t>
            </w:r>
          </w:p>
        </w:tc>
        <w:tc>
          <w:tcPr>
            <w:tcW w:w="198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F655B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用途</w:t>
            </w:r>
          </w:p>
        </w:tc>
        <w:tc>
          <w:tcPr>
            <w:tcW w:w="170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6E511D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FR</w:t>
            </w:r>
          </w:p>
        </w:tc>
      </w:tr>
      <w:tr w14:paraId="62C3659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DCC6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8AE2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/api/v1/plan-types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80B44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planTypesList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9EAB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查询预案类型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A7E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</w:tr>
      <w:tr w14:paraId="0E25F56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E91A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CE4C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/api/v1/plan-types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8FEF7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planTypesCreate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6E3C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新增预案类型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A199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</w:p>
        </w:tc>
      </w:tr>
      <w:tr w14:paraId="64CD6A7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1499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FF15A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E2608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177C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查询预案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7895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G2-FR-030</w:t>
            </w:r>
          </w:p>
        </w:tc>
      </w:tr>
      <w:tr w14:paraId="3A57F91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8512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20180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7D03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86DD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创建预案草稿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C0E3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</w:p>
        </w:tc>
      </w:tr>
      <w:tr w14:paraId="797CAEA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201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D8B1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/api/v1/plans/{planId}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ABE2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plansGet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49979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读取预案详情与版本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13FE8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G2-FR-030</w:t>
            </w:r>
          </w:p>
        </w:tc>
      </w:tr>
      <w:tr w14:paraId="5316AAD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A845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018B5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/api/v1/plans/{planId}/versions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F173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planVersionsCreate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6DBE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创建预案版本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8BAB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G2-FR-002, G2-FR-030</w:t>
            </w:r>
          </w:p>
        </w:tc>
      </w:tr>
      <w:tr w14:paraId="1A60923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C6B9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D95D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/api/v1/plan-versions/{versionId}/publish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7311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planVersionsPublish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5024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发布不可变预案版本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63A2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G2-FR-001, G2-FR-002, G2-FR-030</w:t>
            </w:r>
          </w:p>
        </w:tc>
      </w:tr>
      <w:tr w14:paraId="44CE42F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DDF8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API-008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C3C5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/api/v1/plan-versions/{versionId}/attachments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B391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planAttachmentsBind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145F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绑定中台文件引用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02ED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</w:p>
        </w:tc>
      </w:tr>
      <w:tr w14:paraId="06CFC64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F7BFD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API-009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FA9E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/api/v1/incident-types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7AF5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incidentTypesList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2E80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查询事件类型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26A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</w:tr>
      <w:tr w14:paraId="6DA1530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25816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API-010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DE71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/api/v1/incident-types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08E7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incidentTypesCreate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F983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维护事件类型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AB4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</w:p>
        </w:tc>
      </w:tr>
      <w:tr w14:paraId="7A19E3D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77F7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6652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241E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5FE7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查询授权范围内事件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EE9FB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G2-FR-013, G2-FR-021</w:t>
            </w:r>
          </w:p>
        </w:tc>
      </w:tr>
      <w:tr w14:paraId="3E966CC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4321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8159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AEE9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D3A8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上报事件或接收归一化告警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1D7B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G2-FR-013, G2-FR-021, G2-FR-027</w:t>
            </w:r>
          </w:p>
        </w:tc>
      </w:tr>
      <w:tr w14:paraId="1E7987D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DFC9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931C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/api/v1/incidents/{incidentId}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3EE1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incidentsGet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FAE7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读取事件详情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03C0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G2-FR-013</w:t>
            </w:r>
          </w:p>
        </w:tc>
      </w:tr>
      <w:tr w14:paraId="4456823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36E2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CDB3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/api/v1/incidents/{incidentId}/updates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E8B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incidentUpdatesCreate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E370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追加事件续报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618F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</w:p>
        </w:tc>
      </w:tr>
      <w:tr w14:paraId="5F1BF6D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A409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C4604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/api/v1/incidents/{incidentId}/verify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F692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incidentsVerify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70A2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人工核实事件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703A9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G2-FR-014, G2-FR-037</w:t>
            </w:r>
          </w:p>
        </w:tc>
      </w:tr>
      <w:tr w14:paraId="7A5D75B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9D2B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4CF2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/api/v1/incidents/{incidentId}/start-response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0CD6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incidentsStartResponse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8995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启动响应并生成任务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EED6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G2-FR-003, G2-FR-014</w:t>
            </w:r>
          </w:p>
        </w:tc>
      </w:tr>
      <w:tr w14:paraId="2762DB4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1136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CB5FE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/api/v1/incidents/{incidentId}/close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E854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incidentsClose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885C5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校验材料后关闭事件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6CC4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</w:tr>
      <w:tr w14:paraId="1EC4386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485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API-018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119E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/api/v1/incidents/{incidentId}/reopen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558D1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incidentsReopen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BA4F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授权重开事件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85E4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</w:p>
        </w:tc>
      </w:tr>
      <w:tr w14:paraId="62E2BD9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0669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API-019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7857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/api/v1/tasks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9DD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932E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6AA6D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14:paraId="6AE9D9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58AA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API-020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3A3F4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4641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tasksCreateTemporary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7873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创建临时任务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5ABA4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</w:tr>
      <w:tr w14:paraId="7C0347C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1E30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5E05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/api/v1/tasks/{taskId}/acknowledge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8226C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tasksAcknowledge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8D39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确认接收任务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0532B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14:paraId="262580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35AF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8A62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/api/v1/tasks/{taskId}/feedback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A0DC2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taskFeedbackCreate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13E92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提交进展与附件引用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2F9F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14:paraId="0325865E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A3873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B69F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/api/v1/tasks/{taskId}/complete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0FBA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tasksComplete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A6E1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完成任务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9FFF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14:paraId="3D28A95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1487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B179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/api/v1/tasks/{taskId}/reassign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7E63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tasksReassign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90E7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授权重指派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88110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G2-FR-015, G2-FR-022</w:t>
            </w:r>
          </w:p>
        </w:tc>
      </w:tr>
      <w:tr w14:paraId="0CD956A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07646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D5AF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/api/v1/tasks/{taskId}/remind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B72D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tasksRemind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C2DB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催办任务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837B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</w:p>
        </w:tc>
      </w:tr>
      <w:tr w14:paraId="39223C0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24BD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BE67F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/api/v1/situation/incidents/{incidentId}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FCF8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situationIncidentGet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0F31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查询事件态势快照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4E79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G2-FR-004, G2-FR-005, G2-FR-006, G2-FR-007</w:t>
            </w:r>
          </w:p>
        </w:tc>
      </w:tr>
      <w:tr w14:paraId="31265BE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43C7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F1D9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/api/v1/situation/resource-map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1D91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situationResourceMap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7FEAD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查询人员与站点空间投影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EC42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G2-FR-005, G2-FR-007, G2-FR-035</w:t>
            </w:r>
          </w:p>
        </w:tc>
      </w:tr>
      <w:tr w14:paraId="325543E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3B51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API-028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94355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/api/v1/statistics/emergency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8B14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statisticsEmergency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A2602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查询应急统计与钻取入口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01786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G2-FR-026, G2-FR-039</w:t>
            </w:r>
          </w:p>
        </w:tc>
      </w:tr>
      <w:tr w14:paraId="4CC28E1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84A9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API-029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8CE43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/api/v1/persons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C40CD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personsList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95F4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查询中台人员引用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7277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14:paraId="2845801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AED1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API-030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C5D46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/api/v1/groups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98B1A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groupsList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86C7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查询应急小组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2A55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14:paraId="46F4084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B8F7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6B29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/api/v1/groups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5C7F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groupsCreate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0CF0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维护应急小组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A51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</w:p>
        </w:tc>
      </w:tr>
      <w:tr w14:paraId="2B334BB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6964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F2FF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/api/v1/positions/latest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8328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positionsLatest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2A6D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查询最新有效位置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9A60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</w:p>
        </w:tc>
      </w:tr>
      <w:tr w14:paraId="17FEB52A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26A4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3A22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/api/v1/material-sites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403B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materialSitesList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1E9C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查询物资站点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5C73D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G2-FR-007, G2-FR-035</w:t>
            </w:r>
          </w:p>
        </w:tc>
      </w:tr>
      <w:tr w14:paraId="1F09927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AA43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59560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/api/v1/material-sites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7B1F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materialSitesCreate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F9F5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配置物资站点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9B38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</w:p>
        </w:tc>
      </w:tr>
      <w:tr w14:paraId="6F3D37D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9594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51D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/api/v1/material-ledgers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915D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materialLedgersList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BF98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查询物资台账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D152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</w:tr>
      <w:tr w14:paraId="5649305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A00CB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4C96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/api/v1/material-ledgers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78C7D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materialLedgersUpsert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93EC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维护物资台账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0E4D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</w:p>
        </w:tc>
      </w:tr>
      <w:tr w14:paraId="50C39F6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920C5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9444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/api/v1/inventory-plans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1DD3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inventoryPlansCreate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AD1C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创建并冻结盘点快照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F9379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</w:p>
        </w:tc>
      </w:tr>
      <w:tr w14:paraId="5B973C2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3425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API-038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5E2AE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/api/v1/inventory-plans/{planId}/records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074E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inventoryRecordsSubmit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3B79C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提交移动实盘记录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F4E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G2-FR-009, G2-FR-025</w:t>
            </w:r>
          </w:p>
        </w:tc>
      </w:tr>
      <w:tr w14:paraId="2C74C78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F382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API-039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17419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/api/v1/inventory-plans/{planId}/review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C69A4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inventoryPlansReview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F1DE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授权复核差异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F7DD7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G2-FR-009, G2-FR-025</w:t>
            </w:r>
          </w:p>
        </w:tc>
      </w:tr>
      <w:tr w14:paraId="427402A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DD16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API-040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52EB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/api/v1/drill-plans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C861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drillPlansCreate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9020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创建演练计划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468F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</w:p>
        </w:tc>
      </w:tr>
      <w:tr w14:paraId="7767AC6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1B9D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84D0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/api/v1/drill-plans/{planId}/issue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4538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drillPlansIssue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B2AC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下发演练任务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24F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G2-FR-010, G2-FR-011</w:t>
            </w:r>
          </w:p>
        </w:tc>
      </w:tr>
      <w:tr w14:paraId="4F10F65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DE75A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BA7F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/api/v1/drill-executions/{executionId}/submit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EE96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drillExecutionsSubmit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7D66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提交演练执行记录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8B11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G2-FR-011, G2-FR-023</w:t>
            </w:r>
          </w:p>
        </w:tc>
      </w:tr>
      <w:tr w14:paraId="41ADB22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8983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E0F0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/api/v1/drill-executions/{executionId}/evaluate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F39C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drillExecutionsEvaluate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D79B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提交评估和整改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1084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G2-FR-012, G2-FR-036</w:t>
            </w:r>
          </w:p>
        </w:tc>
      </w:tr>
      <w:tr w14:paraId="5E87B80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06DC5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F625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/api/v1/evaluation-templates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B5DF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evaluationTemplatesCreate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BCE8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维护评估模板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FE7E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</w:p>
        </w:tc>
      </w:tr>
      <w:tr w14:paraId="3DE8AF5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3F214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0215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/api/v1/duty-schedules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42C70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dutySchedulesCreate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A0A9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发布值班计划和规则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C37E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G2-FR-017, G2-FR-032</w:t>
            </w:r>
          </w:p>
        </w:tc>
      </w:tr>
      <w:tr w14:paraId="145493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232F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62CC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/api/v1/check-points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6A26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checkPointsCreate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2740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配置点位和二维码版本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9232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</w:p>
        </w:tc>
      </w:tr>
      <w:tr w14:paraId="6385621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61E9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B8F1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/api/v1/attendance/check-ins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4363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attendanceCheckIn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B80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扫码打卡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68484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G2-FR-018, G2-FR-024</w:t>
            </w:r>
          </w:p>
        </w:tc>
      </w:tr>
      <w:tr w14:paraId="11E5524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57642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API-048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74208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/api/v1/attendance/records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703D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attendanceRecordsList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EB8A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查询和导出考勤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3E7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</w:p>
        </w:tc>
      </w:tr>
      <w:tr w14:paraId="436F913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E2B0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API-049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169FF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/api/v1/attendance/alerts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DD48E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attendanceAlertsList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7ABE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查询缺卡告警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A5B3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</w:p>
        </w:tc>
      </w:tr>
      <w:tr w14:paraId="5F1C3A9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971C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API-050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8EA7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/api/v1/knowledge-items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75C0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knowledgeItemsList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C564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检索已发布知识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D22A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G2-FR-016, G2-FR-038</w:t>
            </w:r>
          </w:p>
        </w:tc>
      </w:tr>
      <w:tr w14:paraId="3B3939D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B737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API-051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A051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/api/v1/verification-configs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080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verificationConfigsPublish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3D6A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发布核实配置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7EAFF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</w:p>
        </w:tc>
      </w:tr>
      <w:tr w14:paraId="5727AB2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756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API-052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073EA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/api/v1/platform/context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7741A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platformContextGet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5490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读取统一身份组织权限上下文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903B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</w:p>
        </w:tc>
      </w:tr>
      <w:tr w14:paraId="1A8C704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3F06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API-053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0707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/api/v1/platform/files/presign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60D4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platformFilesPresign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AAA6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申请中台文件上传引用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35F0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G2-FR-028, G2-FR-030</w:t>
            </w:r>
          </w:p>
        </w:tc>
      </w:tr>
      <w:tr w14:paraId="465D156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C017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API-054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010E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/integration/v1/alerts/{source}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F425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integrationAlertsReceive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DC8A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接收归一化外部告警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C60FD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</w:p>
        </w:tc>
      </w:tr>
      <w:tr w14:paraId="47E3960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6162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API-055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C955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/integration/v1/message-receipts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85D9D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messageReceiptsReceive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764A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接收统一消息回执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C660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G2-FR-020, G2-FR-022, G2-FR-028</w:t>
            </w:r>
          </w:p>
        </w:tc>
      </w:tr>
      <w:tr w14:paraId="54709AF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8648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API-056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911A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/api/v1/incidents/{incidentId}/videos/query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A60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incidentVideosQuery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B676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查询实时或回放视频引用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539C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G2-FR-006, G2-FR-029</w:t>
            </w:r>
          </w:p>
        </w:tc>
      </w:tr>
      <w:tr w14:paraId="4875DAF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4CA8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API-057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E73D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 /api/v1/incidents/{incidentId}/access-control-commands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3692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accessCommandsCreate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16DD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授权后单次下发门禁指令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71C1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</w:p>
        </w:tc>
      </w:tr>
    </w:tbl>
    <w:p w14:paraId="7DDB98A4">
      <w:pPr>
        <w:pStyle w:val="3"/>
        <w:spacing w:before="240" w:after="160"/>
      </w:pPr>
      <w:bookmarkStart w:id="6" w:name="_Toc24448"/>
      <w:r>
        <w:rPr>
          <w:rFonts w:eastAsia="黑体"/>
          <w:b/>
          <w:bCs/>
          <w:sz w:val="28"/>
          <w:szCs w:val="28"/>
        </w:rPr>
        <w:t>2.2 请求、响应与错误</w:t>
      </w:r>
      <w:bookmarkEnd w:id="6"/>
    </w:p>
    <w:p w14:paraId="2C099B0C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查询接口默认只返回当前用户数据范围内的数据；资源不存在或无权访问时按安全策略返回 404 或 403，并写审计。更新类命令携带资源版本，版本冲突返回 409。附件接口只传中台文件引用、校验摘要和业务元数据，不在本系统保存文件二进制。</w:t>
      </w:r>
    </w:p>
    <w:p w14:paraId="30852483">
      <w:pPr>
        <w:keepNext/>
        <w:jc w:val="center"/>
      </w:pPr>
      <w:r>
        <w:rPr>
          <w:rFonts w:eastAsia="黑体"/>
          <w:b/>
          <w:color w:val="000000"/>
          <w:sz w:val="18"/>
        </w:rPr>
        <w:t>表 2-2 请求、响应与错误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3"/>
        <w:gridCol w:w="2375"/>
        <w:gridCol w:w="2433"/>
        <w:gridCol w:w="2611"/>
      </w:tblGrid>
      <w:tr w14:paraId="6FA52FF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9AE08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HTTP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9426F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业务码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1C80A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适用条件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7AB2A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客户端动作</w:t>
            </w:r>
          </w:p>
        </w:tc>
      </w:tr>
      <w:tr w14:paraId="4EB3DCA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2887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1D42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REQ-400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B079A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JSON、枚举、时间或坐标格式错误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0AA7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修正请求，不自动重试</w:t>
            </w:r>
          </w:p>
        </w:tc>
      </w:tr>
      <w:tr w14:paraId="6207396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32DC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401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119C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AUTH-401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FB515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令牌缺失、过期或无效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5B10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重新认证</w:t>
            </w:r>
          </w:p>
        </w:tc>
      </w:tr>
      <w:tr w14:paraId="2B95B06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9939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403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24267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AUTH-403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D66F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功能或数据权限不足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05C9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停止操作并提示</w:t>
            </w:r>
          </w:p>
        </w:tc>
      </w:tr>
      <w:tr w14:paraId="0D9323F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4AD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404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6D40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RES-404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C2D33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资源不存在或按策略隐藏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3F2A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刷新资源状态</w:t>
            </w:r>
          </w:p>
        </w:tc>
      </w:tr>
      <w:tr w14:paraId="52EFAFE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D5DB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FC59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STATE-409 / IDEM-409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C4A8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状态、版本或幂等摘要冲突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108D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拉取最新状态后人工决定</w:t>
            </w:r>
          </w:p>
        </w:tc>
      </w:tr>
      <w:tr w14:paraId="2809D22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2F3E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50A03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RULE-422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18A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业务规则校验失败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3B0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展示具体规则原因</w:t>
            </w:r>
          </w:p>
        </w:tc>
      </w:tr>
      <w:tr w14:paraId="64920FE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EB81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E757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RATE-429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8D95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超过受控限流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D4A0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按 Retry-After 退避</w:t>
            </w:r>
          </w:p>
        </w:tc>
      </w:tr>
      <w:tr w14:paraId="384F00B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7CD1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500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1313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SYS-500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F4436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未预期服务错误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A178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使用 traceId 报障，禁止盲目重复写</w:t>
            </w:r>
          </w:p>
        </w:tc>
      </w:tr>
      <w:tr w14:paraId="638DC5D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3473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503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A8C4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DEP-503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14EF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外部依赖不可用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946F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进入降级或人工处置</w:t>
            </w:r>
          </w:p>
        </w:tc>
      </w:tr>
    </w:tbl>
    <w:p w14:paraId="20A71758">
      <w:pPr>
        <w:pStyle w:val="3"/>
        <w:spacing w:before="240" w:after="160"/>
      </w:pPr>
      <w:bookmarkStart w:id="7" w:name="_Toc30487"/>
      <w:r>
        <w:rPr>
          <w:rFonts w:eastAsia="黑体"/>
          <w:b/>
          <w:bCs/>
          <w:sz w:val="28"/>
          <w:szCs w:val="28"/>
        </w:rPr>
        <w:t>2.3 关键写接口语义</w:t>
      </w:r>
      <w:bookmarkEnd w:id="7"/>
    </w:p>
    <w:p w14:paraId="392A535F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预案启动在单领域事务内锁定已发布版本、创建事件响应上下文和任务，并写入 Outbox；消息发送与态势投影在提交后执行，外部失败不回滚已确认事实。事件核实超时只升级待办，不自动启动预案。任务重指派追加原责任人、新责任人、原因和操作者，截止时间默认保持不变。扫码打卡以人员、任务、点位和二维码版本组成幂等范围，重复请求返回首次结果。</w:t>
      </w:r>
    </w:p>
    <w:p w14:paraId="7AE3E59E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门禁开启命令要求授权人员二次确认，并服从既有安全联锁。接口超时只把命令标为结果未知并告警，禁止通用重试器再次下发。视频接口返回既有系统的实时/回放引用和调用状态，本系统不保存录像。</w:t>
      </w:r>
    </w:p>
    <w:p w14:paraId="13F7BA6E">
      <w:pPr>
        <w:pStyle w:val="2"/>
        <w:spacing w:before="240" w:after="160"/>
      </w:pPr>
      <w:bookmarkStart w:id="8" w:name="_Toc27369"/>
      <w:r>
        <w:rPr>
          <w:rFonts w:eastAsia="黑体"/>
          <w:b/>
          <w:bCs/>
        </w:rPr>
        <w:t>3 外部系统适配</w:t>
      </w:r>
      <w:bookmarkEnd w:id="8"/>
    </w:p>
    <w:p w14:paraId="2FAA536B">
      <w:pPr>
        <w:pStyle w:val="3"/>
        <w:spacing w:before="240" w:after="160"/>
      </w:pPr>
      <w:bookmarkStart w:id="9" w:name="_Toc16929"/>
      <w:r>
        <w:rPr>
          <w:rFonts w:eastAsia="黑体"/>
          <w:b/>
          <w:bCs/>
          <w:sz w:val="28"/>
          <w:szCs w:val="28"/>
        </w:rPr>
        <w:t>3.1 端口与责任边界</w:t>
      </w:r>
      <w:bookmarkEnd w:id="9"/>
    </w:p>
    <w:p w14:paraId="20E4BAAB">
      <w:pPr>
        <w:keepNext/>
        <w:jc w:val="center"/>
      </w:pPr>
      <w:r>
        <w:rPr>
          <w:rFonts w:eastAsia="黑体"/>
          <w:b/>
          <w:color w:val="000000"/>
          <w:sz w:val="18"/>
        </w:rPr>
        <w:t>表 3-1 端口与责任边界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6"/>
        <w:gridCol w:w="1519"/>
        <w:gridCol w:w="1170"/>
        <w:gridCol w:w="1300"/>
        <w:gridCol w:w="3647"/>
      </w:tblGrid>
      <w:tr w14:paraId="1E35405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97BACA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端口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E482A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甲方/既有系统责任</w:t>
            </w:r>
          </w:p>
        </w:tc>
        <w:tc>
          <w:tcPr>
            <w:tcW w:w="1757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3AC00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本项目责任</w:t>
            </w:r>
          </w:p>
        </w:tc>
        <w:tc>
          <w:tcPr>
            <w:tcW w:w="198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CEC58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超时、重试与降级</w:t>
            </w:r>
          </w:p>
        </w:tc>
        <w:tc>
          <w:tcPr>
            <w:tcW w:w="170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87167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证据状态</w:t>
            </w:r>
          </w:p>
        </w:tc>
      </w:tr>
      <w:tr w14:paraId="563A937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1572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EXT-VIDEO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435A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提供视频平台、录像及≥30天保存、账号与接口资料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3311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摄像头关联、实时/回放调阅、首帧测量、调用留痕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F309C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查询可有限重试；失败提示人工查看既有平台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5C01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PENDING_EXTERNAL_EVIDENCE</w:t>
            </w:r>
          </w:p>
        </w:tc>
      </w:tr>
      <w:tr w14:paraId="6155636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B53C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EXT-MESSAGE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E512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提供统一通道、短信账号/签名/配额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520E6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并发、重试、回执、到达率与留痕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73D4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普通通知有限重试；重复/迟到回执幂等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0243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PENDING_EXTERNAL_EVIDENCE</w:t>
            </w:r>
          </w:p>
        </w:tc>
      </w:tr>
      <w:tr w14:paraId="0A60509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E2DD6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EXT-ACCESS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F5477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提供门禁与安全联锁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8734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授权确认后单次下发、失败告警和人工降级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AC1E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控制命令禁止自动重放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6B77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  <w:tr w14:paraId="422D06C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87BA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EXT-PUBLISH / INTRUSION / FIRE / IOT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3350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提供告警源、终端和协议资料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BBAC1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适配、归一化、可靠 ID 去重、未知载荷隔离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1FD0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断连补传；无可靠 ID 不自动合并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C5D3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  <w:tr w14:paraId="1CED1CA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AC35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EXT-MIDDLE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152C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提供身份、组织、权限、工作流、文件、门户和数据汇聚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B370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业务适配与引用，不复制通用主数据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54C1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缓存只读上下文；敏感写失败关闭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F4ED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待接口资料</w:t>
            </w:r>
          </w:p>
        </w:tc>
      </w:tr>
      <w:tr w14:paraId="3200E28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08F7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EXT-POSITION / GIS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6C7F3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提供亚米级源数据与合法地图服务</w:t>
            </w:r>
          </w:p>
        </w:tc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0006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关联、刷新、展示，不降低源精度</w:t>
            </w:r>
          </w:p>
        </w:tc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FAB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过期位置明显标识且禁止自动调派</w:t>
            </w:r>
          </w:p>
        </w:tc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4011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待现场联调</w:t>
            </w:r>
          </w:p>
        </w:tc>
      </w:tr>
    </w:tbl>
    <w:p w14:paraId="7B27EAFD">
      <w:pPr>
        <w:pStyle w:val="3"/>
        <w:spacing w:before="240" w:after="160"/>
      </w:pPr>
      <w:bookmarkStart w:id="10" w:name="_Toc15646"/>
      <w:r>
        <w:rPr>
          <w:rFonts w:eastAsia="黑体"/>
          <w:b/>
          <w:bCs/>
          <w:sz w:val="28"/>
          <w:szCs w:val="28"/>
        </w:rPr>
        <w:t>3.2 字段映射与证据清单</w:t>
      </w:r>
      <w:bookmarkEnd w:id="10"/>
    </w:p>
    <w:p w14:paraId="5D2B322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所有厂商字段先进入适配器映射，再转换为 </w:t>
      </w:r>
      <w:r>
        <w:rPr>
          <w:rFonts w:ascii="Consolas" w:hAnsi="Consolas" w:eastAsia="宋体"/>
          <w:color w:val="000000"/>
          <w:sz w:val="18"/>
          <w:szCs w:val="24"/>
        </w:rPr>
        <w:t>ExternalAlert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PositionSnapshot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VideoReference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MessageReceipt</w:t>
      </w:r>
      <w:r>
        <w:rPr>
          <w:rFonts w:eastAsia="宋体"/>
          <w:color w:val="000000"/>
          <w:sz w:val="24"/>
          <w:szCs w:val="24"/>
        </w:rPr>
        <w:t xml:space="preserve"> 或 </w:t>
      </w:r>
      <w:r>
        <w:rPr>
          <w:rFonts w:ascii="Consolas" w:hAnsi="Consolas" w:eastAsia="宋体"/>
          <w:color w:val="000000"/>
          <w:sz w:val="18"/>
          <w:szCs w:val="24"/>
        </w:rPr>
        <w:t>ControlCommandResult</w:t>
      </w:r>
      <w:r>
        <w:rPr>
          <w:rFonts w:eastAsia="宋体"/>
          <w:color w:val="000000"/>
          <w:sz w:val="24"/>
          <w:szCs w:val="24"/>
        </w:rPr>
        <w:t>。映射表必须记录源字段、内部字段、类型、必填、枚举、时间语义、脱敏、缺省值和未知值策略。未取得真实资料时不在契约中猜测厂商字段。</w:t>
      </w:r>
    </w:p>
    <w:p w14:paraId="4C92F708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视频和消息关闭 ISSUE-G3-01-001 至少需要：接口文档版本、环境和账号、认证方式、真实请求/响应样例、错误码、回执终态、超时与限流、脱敏规则、连通记录，以及视频首帧≤3秒、消息正常验收通道≥20路且到达率≥99%的实测报告。</w:t>
      </w:r>
    </w:p>
    <w:p w14:paraId="71A7A7C4">
      <w:pPr>
        <w:pStyle w:val="3"/>
        <w:spacing w:before="240" w:after="160"/>
      </w:pPr>
      <w:bookmarkStart w:id="11" w:name="_Toc16426"/>
      <w:r>
        <w:rPr>
          <w:rFonts w:eastAsia="黑体"/>
          <w:b/>
          <w:bCs/>
          <w:sz w:val="28"/>
          <w:szCs w:val="28"/>
        </w:rPr>
        <w:t>3.3 四系统联动验收挂接</w:t>
      </w:r>
      <w:bookmarkEnd w:id="11"/>
    </w:p>
    <w:p w14:paraId="202DF92D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KN-064 的四系统联动验收对象为视频、信息发布、物联网和统一中台。每个对象均建立“接口资料—映射评审—桩测试—目标环境连通—异常/恢复—验收记录”证据链；缺少任一目标环境证据时只能标记待验证，不得以模拟结果替代现场通过。消防、入侵、门禁和消息作为相关专业接口单独保留联调记录。</w:t>
      </w:r>
    </w:p>
    <w:p w14:paraId="54602A57">
      <w:pPr>
        <w:pStyle w:val="2"/>
        <w:spacing w:before="240" w:after="160"/>
      </w:pPr>
      <w:bookmarkStart w:id="12" w:name="_Toc14641"/>
      <w:r>
        <w:rPr>
          <w:rFonts w:eastAsia="黑体"/>
          <w:b/>
          <w:bCs/>
        </w:rPr>
        <w:t>4 客户端接口</w:t>
      </w:r>
      <w:bookmarkEnd w:id="12"/>
    </w:p>
    <w:p w14:paraId="2634CE7E">
      <w:pPr>
        <w:pStyle w:val="3"/>
        <w:spacing w:before="240" w:after="160"/>
      </w:pPr>
      <w:bookmarkStart w:id="13" w:name="_Toc27916"/>
      <w:r>
        <w:rPr>
          <w:rFonts w:eastAsia="黑体"/>
          <w:b/>
          <w:bCs/>
          <w:sz w:val="28"/>
          <w:szCs w:val="28"/>
        </w:rPr>
        <w:t>4.1 Web、大屏与 H5</w:t>
      </w:r>
      <w:bookmarkEnd w:id="13"/>
    </w:p>
    <w:p w14:paraId="03AB0890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Web、大屏与嵌入既有智慧管理 APP 的 H5 共用 </w:t>
      </w:r>
      <w:r>
        <w:rPr>
          <w:rFonts w:ascii="Consolas" w:hAnsi="Consolas" w:eastAsia="宋体"/>
          <w:color w:val="000000"/>
          <w:sz w:val="18"/>
          <w:szCs w:val="24"/>
        </w:rPr>
        <w:t>/api/v1</w:t>
      </w:r>
      <w:r>
        <w:rPr>
          <w:rFonts w:eastAsia="宋体"/>
          <w:color w:val="000000"/>
          <w:sz w:val="24"/>
          <w:szCs w:val="24"/>
        </w:rPr>
        <w:t xml:space="preserve"> 契约，通过权限和响应裁剪形成不同视图。H5 包不包含原生 Android/iOS 功能；宿主 APP 负责登录容器、WebView、发布和生命周期。客户端不得直连数据库、地图底层服务或外部专业系统。</w:t>
      </w:r>
    </w:p>
    <w:p w14:paraId="2B5DAD8B">
      <w:pPr>
        <w:pStyle w:val="3"/>
        <w:spacing w:before="240" w:after="160"/>
      </w:pPr>
      <w:bookmarkStart w:id="14" w:name="_Toc17496"/>
      <w:r>
        <w:rPr>
          <w:rFonts w:eastAsia="黑体"/>
          <w:b/>
          <w:bCs/>
          <w:sz w:val="28"/>
          <w:szCs w:val="28"/>
        </w:rPr>
        <w:t>4.2 弱网与重复提交</w:t>
      </w:r>
      <w:bookmarkEnd w:id="14"/>
    </w:p>
    <w:p w14:paraId="5C90C7F8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客户端为每次写操作生成稳定请求 ID；网络超时后仅允许使用同一幂等键查询或重试。服务端返回首次已确认结果，避免重复事件、任务、打卡、告警或回执。H5 上传先取得中台文件引用，再提交业务命令；文件失败时业务页面保留可重试状态，不伪造成功。</w:t>
      </w:r>
    </w:p>
    <w:p w14:paraId="61D3A52B">
      <w:pPr>
        <w:pStyle w:val="2"/>
        <w:spacing w:before="240" w:after="160"/>
      </w:pPr>
      <w:bookmarkStart w:id="15" w:name="_Toc14022"/>
      <w:r>
        <w:rPr>
          <w:rFonts w:eastAsia="黑体"/>
          <w:b/>
          <w:bCs/>
        </w:rPr>
        <w:t>5 内部端口与事件</w:t>
      </w:r>
      <w:bookmarkEnd w:id="15"/>
    </w:p>
    <w:p w14:paraId="36C24C2A">
      <w:pPr>
        <w:pStyle w:val="3"/>
        <w:spacing w:before="240" w:after="160"/>
      </w:pPr>
      <w:bookmarkStart w:id="16" w:name="_Toc17336"/>
      <w:r>
        <w:rPr>
          <w:rFonts w:eastAsia="黑体"/>
          <w:b/>
          <w:bCs/>
          <w:sz w:val="28"/>
          <w:szCs w:val="28"/>
        </w:rPr>
        <w:t>5.1 内部端口</w:t>
      </w:r>
      <w:bookmarkEnd w:id="16"/>
    </w:p>
    <w:p w14:paraId="4500AA6C">
      <w:pPr>
        <w:keepNext/>
        <w:jc w:val="center"/>
      </w:pPr>
      <w:r>
        <w:rPr>
          <w:rFonts w:eastAsia="黑体"/>
          <w:b/>
          <w:color w:val="000000"/>
          <w:sz w:val="18"/>
        </w:rPr>
        <w:t>表 5-1 内部端口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8"/>
        <w:gridCol w:w="2287"/>
        <w:gridCol w:w="2343"/>
        <w:gridCol w:w="2514"/>
      </w:tblGrid>
      <w:tr w14:paraId="05A004F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4770B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端口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B83017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输入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6C472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输出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10F0F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失败语义</w:t>
            </w:r>
          </w:p>
        </w:tc>
      </w:tr>
      <w:tr w14:paraId="2A43E57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A1B1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IdentityPort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FC06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中台令牌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B871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用户、组织、角色、数据域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F9C05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无法确认身份时拒绝敏感操作</w:t>
            </w:r>
          </w:p>
        </w:tc>
      </w:tr>
      <w:tr w14:paraId="4E459C9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04C19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640E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模板、接收人、变量、消息键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F86D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平台消息 ID 与受理状态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26B9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普通通知有限重试，控制动作不走此端口</w:t>
            </w:r>
          </w:p>
        </w:tc>
      </w:tr>
      <w:tr w14:paraId="15494E8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6D3F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VideoPort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4B5AA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摄像头引用、模式、时间范围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5144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播放引用、首帧时间、调用状态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157A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不可用时返回明确降级，不保存录像</w:t>
            </w:r>
          </w:p>
        </w:tc>
      </w:tr>
      <w:tr w14:paraId="1C6B90E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3651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PositionPort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D552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人员引用、查询范围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954DD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位置、源时间、精度、新鲜度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70F5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过期值只展示，不参与自动调派</w:t>
            </w:r>
          </w:p>
        </w:tc>
      </w:tr>
      <w:tr w14:paraId="46A06D4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682E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AccessControlPort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162E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一次性确认令牌、门标识、动作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A55F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联锁结果、回执状态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A37A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超时结果未知，禁止自动重放</w:t>
            </w:r>
          </w:p>
        </w:tc>
      </w:tr>
      <w:tr w14:paraId="0D2852E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46212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FilePort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0ED8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文件引用或上传申请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238A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 ID、摘要、权限元数据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20B3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不在本系统保存文件二进制</w:t>
            </w:r>
          </w:p>
        </w:tc>
      </w:tr>
      <w:tr w14:paraId="5070B55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2A7D1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AlertSourcePort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2B6B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源系统、可靠外部 ID、归一化载荷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A302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接收与去重结果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8172C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未知载荷隔离；无可靠 ID 不自动合并</w:t>
            </w:r>
          </w:p>
        </w:tc>
      </w:tr>
    </w:tbl>
    <w:p w14:paraId="3B5875C9">
      <w:pPr>
        <w:pStyle w:val="3"/>
        <w:spacing w:before="240" w:after="160"/>
      </w:pPr>
      <w:bookmarkStart w:id="17" w:name="_Toc18592"/>
      <w:r>
        <w:rPr>
          <w:rFonts w:eastAsia="黑体"/>
          <w:b/>
          <w:bCs/>
          <w:sz w:val="28"/>
          <w:szCs w:val="28"/>
        </w:rPr>
        <w:t>5.2 领域事件信封</w:t>
      </w:r>
      <w:bookmarkEnd w:id="17"/>
    </w:p>
    <w:p w14:paraId="5D8A713B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领域事件至少包含 </w:t>
      </w:r>
      <w:r>
        <w:rPr>
          <w:rFonts w:ascii="Consolas" w:hAnsi="Consolas" w:eastAsia="宋体"/>
          <w:color w:val="000000"/>
          <w:sz w:val="18"/>
          <w:szCs w:val="24"/>
        </w:rPr>
        <w:t>eventId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eventType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schemaVersion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aggregateType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aggregateId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occurredAt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recordedAt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traceId</w:t>
      </w:r>
      <w:r>
        <w:rPr>
          <w:rFonts w:eastAsia="宋体"/>
          <w:color w:val="000000"/>
          <w:sz w:val="24"/>
          <w:szCs w:val="24"/>
        </w:rPr>
        <w:t xml:space="preserve"> 和 </w:t>
      </w:r>
      <w:r>
        <w:rPr>
          <w:rFonts w:ascii="Consolas" w:hAnsi="Consolas" w:eastAsia="宋体"/>
          <w:color w:val="000000"/>
          <w:sz w:val="18"/>
          <w:szCs w:val="24"/>
        </w:rPr>
        <w:t>payload</w:t>
      </w:r>
      <w:r>
        <w:rPr>
          <w:rFonts w:eastAsia="宋体"/>
          <w:color w:val="000000"/>
          <w:sz w:val="24"/>
          <w:szCs w:val="24"/>
        </w:rPr>
        <w:t xml:space="preserve">。消费者以 </w:t>
      </w:r>
      <w:r>
        <w:rPr>
          <w:rFonts w:ascii="Consolas" w:hAnsi="Consolas" w:eastAsia="宋体"/>
          <w:color w:val="000000"/>
          <w:sz w:val="18"/>
          <w:szCs w:val="24"/>
        </w:rPr>
        <w:t>eventId</w:t>
      </w:r>
      <w:r>
        <w:rPr>
          <w:rFonts w:eastAsia="宋体"/>
          <w:color w:val="000000"/>
          <w:sz w:val="24"/>
          <w:szCs w:val="24"/>
        </w:rPr>
        <w:t xml:space="preserve"> 幂等；不认识的高版本字段忽略，不认识的事件类型进入隔离队列并告警。事件事实与 Outbox 同事务写入，投影和外部通知可重放但不得重复改变领域终态。</w:t>
      </w:r>
    </w:p>
    <w:p w14:paraId="46A3A787">
      <w:pPr>
        <w:pStyle w:val="2"/>
        <w:spacing w:before="240" w:after="160"/>
      </w:pPr>
      <w:bookmarkStart w:id="18" w:name="_Toc27999"/>
      <w:r>
        <w:rPr>
          <w:rFonts w:eastAsia="黑体"/>
          <w:b/>
          <w:bCs/>
        </w:rPr>
        <w:t>6 版本、安全与变更</w:t>
      </w:r>
      <w:bookmarkEnd w:id="18"/>
    </w:p>
    <w:p w14:paraId="6B66A551">
      <w:pPr>
        <w:pStyle w:val="3"/>
        <w:spacing w:before="240" w:after="160"/>
      </w:pPr>
      <w:bookmarkStart w:id="19" w:name="_Toc174"/>
      <w:r>
        <w:rPr>
          <w:rFonts w:eastAsia="黑体"/>
          <w:b/>
          <w:bCs/>
          <w:sz w:val="28"/>
          <w:szCs w:val="28"/>
        </w:rPr>
        <w:t>6.1 版本策略</w:t>
      </w:r>
      <w:bookmarkEnd w:id="19"/>
    </w:p>
    <w:p w14:paraId="23409A26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URL 主版本固定为 v1；新增可选字段、可选响应属性和新端点可在 v1 内兼容演进。删除字段、收窄枚举、改变必填、状态语义或幂等规则属于破坏性变更，必须形成变更单、影响分析、迁移窗口和 v2 契约。弃用通过 </w:t>
      </w:r>
      <w:r>
        <w:rPr>
          <w:rFonts w:ascii="Consolas" w:hAnsi="Consolas" w:eastAsia="宋体"/>
          <w:color w:val="000000"/>
          <w:sz w:val="18"/>
          <w:szCs w:val="24"/>
        </w:rPr>
        <w:t>Deprecation</w:t>
      </w:r>
      <w:r>
        <w:rPr>
          <w:rFonts w:eastAsia="宋体"/>
          <w:color w:val="000000"/>
          <w:sz w:val="24"/>
          <w:szCs w:val="24"/>
        </w:rPr>
        <w:t>、</w:t>
      </w:r>
      <w:r>
        <w:rPr>
          <w:rFonts w:ascii="Consolas" w:hAnsi="Consolas" w:eastAsia="宋体"/>
          <w:color w:val="000000"/>
          <w:sz w:val="18"/>
          <w:szCs w:val="24"/>
        </w:rPr>
        <w:t>Sunset</w:t>
      </w:r>
      <w:r>
        <w:rPr>
          <w:rFonts w:eastAsia="宋体"/>
          <w:color w:val="000000"/>
          <w:sz w:val="24"/>
          <w:szCs w:val="24"/>
        </w:rPr>
        <w:t xml:space="preserve"> 和文档公告表达，至少保留双方确认的迁移期。</w:t>
      </w:r>
    </w:p>
    <w:p w14:paraId="515D5F18">
      <w:pPr>
        <w:pStyle w:val="3"/>
        <w:spacing w:before="240" w:after="160"/>
      </w:pPr>
      <w:bookmarkStart w:id="20" w:name="_Toc11850"/>
      <w:r>
        <w:rPr>
          <w:rFonts w:eastAsia="黑体"/>
          <w:b/>
          <w:bCs/>
          <w:sz w:val="28"/>
          <w:szCs w:val="28"/>
        </w:rPr>
        <w:t>6.2 安全与审计</w:t>
      </w:r>
      <w:bookmarkEnd w:id="20"/>
    </w:p>
    <w:p w14:paraId="34A34D4D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接口只记录脱敏摘要、结果、耗时和 traceId，不记录令牌、密码、短信完整正文或不必要的个人信息。敏感读写、导出、门禁指令、预案发布、事件关闭/重开和盘点调整写审计。OpenAPI 中的示例使用虚构标识，不包含真实人员、地址、密钥或厂商凭据。</w:t>
      </w:r>
    </w:p>
    <w:p w14:paraId="5C8CE35B">
      <w:pPr>
        <w:pStyle w:val="3"/>
        <w:spacing w:before="240" w:after="160"/>
      </w:pPr>
      <w:bookmarkStart w:id="21" w:name="_Toc27213"/>
      <w:r>
        <w:rPr>
          <w:rFonts w:eastAsia="黑体"/>
          <w:b/>
          <w:bCs/>
          <w:sz w:val="28"/>
          <w:szCs w:val="28"/>
        </w:rPr>
        <w:t>6.3 契约变更流程</w:t>
      </w:r>
      <w:bookmarkEnd w:id="21"/>
    </w:p>
    <w:p w14:paraId="7A521C4C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先修改工作稿和 OpenAPI，并建立 Issue/Change。</w:t>
      </w:r>
    </w:p>
    <w:p w14:paraId="4E943AD0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运行语法、引用、operationId、FR/AC 和破坏性变更检查。</w:t>
      </w:r>
    </w:p>
    <w:p w14:paraId="77AA42C4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A/C 复核业务边界、合规、★和关键数字。</w:t>
      </w:r>
    </w:p>
    <w:p w14:paraId="126B35D8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实现与契约测试同步修改，完成联调和回归。</w:t>
      </w:r>
    </w:p>
    <w:p w14:paraId="500C772D">
      <w:pPr>
        <w:pStyle w:val="21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>• 发布新契约快照并保留旧版本迁移证据。</w:t>
      </w:r>
    </w:p>
    <w:p w14:paraId="1649AC78">
      <w:pPr>
        <w:pStyle w:val="2"/>
        <w:spacing w:before="240" w:after="160"/>
      </w:pPr>
      <w:bookmarkStart w:id="22" w:name="_Toc13676"/>
      <w:r>
        <w:rPr>
          <w:rFonts w:eastAsia="黑体"/>
          <w:b/>
          <w:bCs/>
        </w:rPr>
        <w:t>7 需求与验收追踪</w:t>
      </w:r>
      <w:bookmarkEnd w:id="22"/>
    </w:p>
    <w:p w14:paraId="3DC90AAD">
      <w:pPr>
        <w:pStyle w:val="3"/>
        <w:spacing w:before="240" w:after="160"/>
      </w:pPr>
      <w:bookmarkStart w:id="23" w:name="_Toc11653"/>
      <w:r>
        <w:rPr>
          <w:rFonts w:eastAsia="黑体"/>
          <w:b/>
          <w:bCs/>
          <w:sz w:val="28"/>
          <w:szCs w:val="28"/>
        </w:rPr>
        <w:t>7.1 39 FR / 117 AC 接口挂接</w:t>
      </w:r>
      <w:bookmarkEnd w:id="23"/>
    </w:p>
    <w:p w14:paraId="7D3C3766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下表是接口设计挂接，不替代 G3-08 最终设计 RTM，也不表示实现、联调、性能或验收已通过。每条 FR 保留三个完整 AC 锚点。</w:t>
      </w:r>
    </w:p>
    <w:p w14:paraId="4727C84E">
      <w:pPr>
        <w:keepNext/>
        <w:jc w:val="center"/>
      </w:pPr>
      <w:r>
        <w:rPr>
          <w:rFonts w:eastAsia="黑体"/>
          <w:b/>
          <w:color w:val="000000"/>
          <w:sz w:val="18"/>
        </w:rPr>
        <w:t>表 7-1 39 FR / 117 AC 接口挂接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1"/>
        <w:gridCol w:w="1674"/>
        <w:gridCol w:w="4249"/>
        <w:gridCol w:w="1898"/>
      </w:tblGrid>
      <w:tr w14:paraId="3FC8E67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4D3B3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设计 ID / FR / ★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E3B3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完整 AC 锚点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3303B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接口或端口落点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B2D52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后续验证入口</w:t>
            </w:r>
          </w:p>
        </w:tc>
      </w:tr>
      <w:tr w14:paraId="2196EB1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2BCB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7C3B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AC-G2-FR-001-01；AC-G2-FR-001-02；AC-G2-FR-001-03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A476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应急预案分层维护：GET /api/v1/plans；POST /api/v1/plans；GET /api/v1/plans/{planId}；POST /api/v1/plans/{planId}/versions；POST /api/v1/plan-versions/{versionId}/publish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5170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CT-001；集成/验收用例 TC-G2-FR-001-01—03</w:t>
            </w:r>
          </w:p>
        </w:tc>
      </w:tr>
      <w:tr w14:paraId="3DCB9C4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19B7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59CF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AC-G2-FR-002-01；AC-G2-FR-002-02；AC-G2-FR-002-03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2A6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流程、资源与任务模板：POST /api/v1/plans/{planId}/versions；POST /api/v1/plan-versions/{versionId}/publish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58A4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CT-002；集成/验收用例 TC-G2-FR-002-01—03</w:t>
            </w:r>
          </w:p>
        </w:tc>
      </w:tr>
      <w:tr w14:paraId="614BE21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03D0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1CAE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AC-G2-FR-003-01；AC-G2-FR-003-02；AC-G2-FR-003-03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E7B9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秒级预案启动：POST /api/v1/incidents/{incidentId}/start-response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AC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CT-003；集成/验收用例 TC-G2-FR-003-01—03</w:t>
            </w:r>
          </w:p>
        </w:tc>
      </w:tr>
      <w:tr w14:paraId="7A89FD1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E2B9D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290D8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AC-G2-FR-004-01；AC-G2-FR-004-02；AC-G2-FR-004-03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AD6E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事件态势与处置动态：GET /api/v1/incidents；GET /api/v1/incidents/{incidentId}；POST /api/v1/incidents/{incidentId}/updates；GET /api/v1/situation/incidents/{incidentId}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852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CT-004；集成/验收用例 TC-G2-FR-004-01—03</w:t>
            </w:r>
          </w:p>
        </w:tc>
      </w:tr>
      <w:tr w14:paraId="533F67F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A6CC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CD54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AC-G2-FR-005-01；AC-G2-FR-005-02；AC-G2-FR-005-03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4B3D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人员定位与状态：GET /api/v1/situation/incidents/{incidentId}；GET /api/v1/situation/resource-map；GET /api/v1/positions/latest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CA92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CT-005；集成/验收用例 TC-G2-FR-005-01—03</w:t>
            </w:r>
          </w:p>
        </w:tc>
      </w:tr>
      <w:tr w14:paraId="78962AC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4069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98A9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AC-G2-FR-006-01；AC-G2-FR-006-02；AC-G2-FR-006-03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623FE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实时视频与历史回放：GET /api/v1/situation/incidents/{incidentId}；POST /api/v1/incidents/{incidentId}/videos/query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AF24D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CT-006；集成/验收用例 TC-G2-FR-006-01—03</w:t>
            </w:r>
          </w:p>
        </w:tc>
      </w:tr>
      <w:tr w14:paraId="2BCBC2F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3696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非★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4111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AC-G2-FR-007-01；AC-G2-FR-007-02；AC-G2-FR-007-03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73BE9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重点区域与物资站点一张图：GET /api/v1/situation/incidents/{incidentId}；GET /api/v1/situation/resource-map；GET /api/v1/material-sites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A594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CT-007；集成/验收用例 TC-G2-FR-007-01—03</w:t>
            </w:r>
          </w:p>
        </w:tc>
      </w:tr>
      <w:tr w14:paraId="2064697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E4BD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D823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AC-G2-FR-008-01；AC-G2-FR-008-02；AC-G2-FR-008-03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748F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物资台账：GET /api/v1/material-ledgers；POST /api/v1/material-ledgers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B089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CT-008；集成/验收用例 TC-G2-FR-008-01—03</w:t>
            </w:r>
          </w:p>
        </w:tc>
      </w:tr>
      <w:tr w14:paraId="273EDD9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070F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API-TR-009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G2-FR-009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14A3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AC-G2-FR-009-01；AC-G2-FR-009-02；AC-G2-FR-009-03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DA0C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盘点计划与差异复核：POST /api/v1/inventory-plans；POST /api/v1/inventory-plans/{planId}/records；POST /api/v1/inventory-plans/{planId}/review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00537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CT-009；集成/验收用例 TC-G2-FR-009-01—03</w:t>
            </w:r>
          </w:p>
        </w:tc>
      </w:tr>
      <w:tr w14:paraId="0DA944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B75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F4F7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AC-G2-FR-010-01；AC-G2-FR-010-02；AC-G2-FR-010-03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73D7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演练计划与频次：POST /api/v1/drill-plans；POST /api/v1/drill-plans/{planId}/issue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1EFFE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CT-010；集成/验收用例 TC-G2-FR-010-01—03</w:t>
            </w:r>
          </w:p>
        </w:tc>
      </w:tr>
      <w:tr w14:paraId="0FE9C54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C75C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1F66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AC-G2-FR-011-01；AC-G2-FR-011-02；AC-G2-FR-011-03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478F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演练任务下发：POST /api/v1/drill-plans/{planId}/issue；POST /api/v1/drill-executions/{executionId}/submit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7AC5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CT-011；集成/验收用例 TC-G2-FR-011-01—03</w:t>
            </w:r>
          </w:p>
        </w:tc>
      </w:tr>
      <w:tr w14:paraId="414B8D2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8EFCF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09AE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AC-G2-FR-012-01；AC-G2-FR-012-02；AC-G2-FR-012-03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E747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演练评估与整改：POST /api/v1/drill-executions/{executionId}/evaluate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9CF4E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CT-012；集成/验收用例 TC-G2-FR-012-01—03</w:t>
            </w:r>
          </w:p>
        </w:tc>
      </w:tr>
      <w:tr w14:paraId="3D9BFE6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9076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E257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AC-G2-FR-013-01；AC-G2-FR-013-02；AC-G2-FR-013-03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196AC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Web/H5 事件上报与查询：GET /api/v1/incidents；POST /api/v1/incidents；GET /api/v1/incidents/{incidentId}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638F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CT-013；集成/验收用例 TC-G2-FR-013-01—03</w:t>
            </w:r>
          </w:p>
        </w:tc>
      </w:tr>
      <w:tr w14:paraId="1239C7C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034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5692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AC-G2-FR-014-01；AC-G2-FR-014-02；AC-G2-FR-014-03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959C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事件核实与响应启动：POST /api/v1/incidents/{incidentId}/verify；POST /api/v1/incidents/{incidentId}/start-response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855E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CT-014；集成/验收用例 TC-G2-FR-014-01—03</w:t>
            </w:r>
          </w:p>
        </w:tc>
      </w:tr>
      <w:tr w14:paraId="697D035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B4D2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87D8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AC-G2-FR-015-01；AC-G2-FR-015-02；AC-G2-FR-015-03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1F878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任务处置与催办：GET /api/v1/tasks；POST /api/v1/tasks；POST /api/v1/tasks/{taskId}/acknowledge；POST /api/v1/tasks/{taskId}/feedback；POST /api/v1/tasks/{taskId}/complete；POST /api/v1/tasks/{taskId}/reassign；POST /api/v1/tasks/{taskId}/remind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8C294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CT-015；集成/验收用例 TC-G2-FR-015-01—03</w:t>
            </w:r>
          </w:p>
        </w:tc>
      </w:tr>
      <w:tr w14:paraId="2EC50F5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771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4CAE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AC-G2-FR-016-01；AC-G2-FR-016-02；AC-G2-FR-016-03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4C00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事件关闭、调查与知识沉淀：POST /api/v1/incidents/{incidentId}/close；POST /api/v1/incidents/{incidentId}/reopen；GET /api/v1/knowledge-items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2918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CT-016；集成/验收用例 TC-G2-FR-016-01—03</w:t>
            </w:r>
          </w:p>
        </w:tc>
      </w:tr>
      <w:tr w14:paraId="1094E0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6325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E4F4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AC-G2-FR-017-01；AC-G2-FR-017-02；AC-G2-FR-017-03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6A8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值班与打卡规则：POST /api/v1/duty-schedules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17A6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CT-017；集成/验收用例 TC-G2-FR-017-01—03</w:t>
            </w:r>
          </w:p>
        </w:tc>
      </w:tr>
      <w:tr w14:paraId="353E724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F9AA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BF20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AC-G2-FR-018-01；AC-G2-FR-018-02；AC-G2-FR-018-03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2B24F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打卡点位与二维码：POST /api/v1/check-points；POST /api/v1/attendance/check-ins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0196A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CT-018；集成/验收用例 TC-G2-FR-018-01—03</w:t>
            </w:r>
          </w:p>
        </w:tc>
      </w:tr>
      <w:tr w14:paraId="1DE7D2C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052E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API-TR-019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G2-FR-019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A7CB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AC-G2-FR-019-01；AC-G2-FR-019-02；AC-G2-FR-019-03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5CCA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考勤统计与导出：GET /api/v1/attendance/records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338D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CT-019；集成/验收用例 TC-G2-FR-019-01—03</w:t>
            </w:r>
          </w:p>
        </w:tc>
      </w:tr>
      <w:tr w14:paraId="592E99D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04BF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B4391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AC-G2-FR-020-01；AC-G2-FR-020-02；AC-G2-FR-020-03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6CD1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缺卡告警与消息通知：GET /api/v1/attendance/alerts；POST /integration/v1/message-receipts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E94E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CT-020；集成/验收用例 TC-G2-FR-020-01—03</w:t>
            </w:r>
          </w:p>
        </w:tc>
      </w:tr>
      <w:tr w14:paraId="03F4B60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BDB9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BBB7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AC-G2-FR-021-01；AC-G2-FR-021-02；AC-G2-FR-021-03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DF41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事件上报与个人记录：GET /api/v1/incidents；POST /api/v1/incidents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C3F7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CT-021；集成/验收用例 TC-G2-FR-021-01—03</w:t>
            </w:r>
          </w:p>
        </w:tc>
      </w:tr>
      <w:tr w14:paraId="38C84D2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1E33C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D38DF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AC-G2-FR-022-01；AC-G2-FR-022-02；AC-G2-FR-022-03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F1D3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任务接收与反馈：GET /api/v1/tasks；POST /api/v1/tasks/{taskId}/acknowledge；POST /api/v1/tasks/{taskId}/feedback；POST /api/v1/tasks/{taskId}/complete；POST /api/v1/tasks/{taskId}/reassign；POST /integration/v1/message-receipts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E82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CT-022；集成/验收用例 TC-G2-FR-022-01—03</w:t>
            </w:r>
          </w:p>
        </w:tc>
      </w:tr>
      <w:tr w14:paraId="5BDA2C7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A5E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432B6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AC-G2-FR-023-01；AC-G2-FR-023-02；AC-G2-FR-023-03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E754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演练执行：POST /api/v1/drill-executions/{executionId}/submit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422E6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CT-023；集成/验收用例 TC-G2-FR-023-01—03</w:t>
            </w:r>
          </w:p>
        </w:tc>
      </w:tr>
      <w:tr w14:paraId="2B66E33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E898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9133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AC-G2-FR-024-01；AC-G2-FR-024-02；AC-G2-FR-024-03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A243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扫码打卡：POST /api/v1/attendance/check-ins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7E19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CT-024；集成/验收用例 TC-G2-FR-024-01—03</w:t>
            </w:r>
          </w:p>
        </w:tc>
      </w:tr>
      <w:tr w14:paraId="4EEB651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DDBC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8DA5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AC-G2-FR-025-01；AC-G2-FR-025-02；AC-G2-FR-025-03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D909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物资盘点：POST /api/v1/inventory-plans/{planId}/records；POST /api/v1/inventory-plans/{planId}/review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CD3DE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CT-025；集成/验收用例 TC-G2-FR-025-01—03</w:t>
            </w:r>
          </w:p>
        </w:tc>
      </w:tr>
      <w:tr w14:paraId="2A1118C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4902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2A40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AC-G2-FR-026-01；AC-G2-FR-026-02；AC-G2-FR-026-03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632AC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综合安防态势：GET /api/v1/statistics/emergency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3DAB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CT-026；集成/验收用例 TC-G2-FR-026-01—03</w:t>
            </w:r>
          </w:p>
        </w:tc>
      </w:tr>
      <w:tr w14:paraId="6DBD3D2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E249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EC91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AC-G2-FR-027-01；AC-G2-FR-027-02；AC-G2-FR-027-03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D419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外部告警接入：POST /api/v1/incidents；POST /integration/v1/alerts/{source}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710C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CT-027；集成/验收用例 TC-G2-FR-027-01—03</w:t>
            </w:r>
          </w:p>
        </w:tc>
      </w:tr>
      <w:tr w14:paraId="2B727DC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2FD52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2BF3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AC-G2-FR-028-01；AC-G2-FR-028-02；AC-G2-FR-028-03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CF57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统一中台能力适配：GET /api/v1/platform/context；POST /api/v1/platform/files/presign；POST /integration/v1/message-receipts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A8AD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CT-028；集成/验收用例 TC-G2-FR-028-01—03</w:t>
            </w:r>
          </w:p>
        </w:tc>
      </w:tr>
      <w:tr w14:paraId="43EE2D2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B6B2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API-TR-029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G2-FR-029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E5CB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AC-G2-FR-029-01；AC-G2-FR-029-02；AC-G2-FR-029-03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B984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视频回放与授权门禁联动：POST /api/v1/incidents/{incidentId}/videos/query；POST /api/v1/incidents/{incidentId}/access-control-commands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ADF8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CT-029；集成/验收用例 TC-G2-FR-029-01—03</w:t>
            </w:r>
          </w:p>
        </w:tc>
      </w:tr>
      <w:tr w14:paraId="2ABDF99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C99F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G2-FR-030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非★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9774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AC-G2-FR-030-01；AC-G2-FR-030-02；AC-G2-FR-030-03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69EB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预案附件与版本：GET /api/v1/plans；GET /api/v1/plans/{planId}；POST /api/v1/plans/{planId}/versions；POST /api/v1/plan-versions/{versionId}/publish；POST /api/v1/plan-versions/{versionId}/attachments；POST /api/v1/platform/files/presign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7884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CT-030；集成/验收用例 TC-G2-FR-030-01—03</w:t>
            </w:r>
          </w:p>
        </w:tc>
      </w:tr>
      <w:tr w14:paraId="5C293F8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7725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G2-FR-031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5963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AC-G2-FR-031-01；AC-G2-FR-031-02；AC-G2-FR-031-03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46AE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应急人员与小组：GET /api/v1/persons；GET /api/v1/groups；POST /api/v1/groups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8B0F6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CT-031；集成/验收用例 TC-G2-FR-031-01—03</w:t>
            </w:r>
          </w:p>
        </w:tc>
      </w:tr>
      <w:tr w14:paraId="42F6511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0004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G2-FR-032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非★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C92B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AC-G2-FR-032-01；AC-G2-FR-032-02；AC-G2-FR-032-03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94B7F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值班计划维护：POST /api/v1/duty-schedules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6CCE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CT-032；集成/验收用例 TC-G2-FR-032-01—03</w:t>
            </w:r>
          </w:p>
        </w:tc>
      </w:tr>
      <w:tr w14:paraId="6FC4150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788D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G2-FR-033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非★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6AB01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AC-G2-FR-033-01；AC-G2-FR-033-02；AC-G2-FR-033-03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45716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预案类型维护：GET /api/v1/plan-types；POST /api/v1/plan-types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460C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CT-033；集成/验收用例 TC-G2-FR-033-01—03</w:t>
            </w:r>
          </w:p>
        </w:tc>
      </w:tr>
      <w:tr w14:paraId="4C7CD56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6BA8A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G2-FR-034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0BBB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AC-G2-FR-034-01；AC-G2-FR-034-02；AC-G2-FR-034-03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B258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事件类型维护：GET /api/v1/incident-types；POST /api/v1/incident-types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586A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CT-034；集成/验收用例 TC-G2-FR-034-01—03</w:t>
            </w:r>
          </w:p>
        </w:tc>
      </w:tr>
      <w:tr w14:paraId="671849A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00B9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G2-FR-035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FF94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AC-G2-FR-035-01；AC-G2-FR-035-02；AC-G2-FR-035-03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6311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物资站点空间配置：GET /api/v1/situation/resource-map；GET /api/v1/material-sites；POST /api/v1/material-sites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3602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CT-035；集成/验收用例 TC-G2-FR-035-01—03</w:t>
            </w:r>
          </w:p>
        </w:tc>
      </w:tr>
      <w:tr w14:paraId="47943FC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64082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G2-FR-036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1A509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AC-G2-FR-036-01；AC-G2-FR-036-02；AC-G2-FR-036-03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A43C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评估模板维护：POST /api/v1/drill-executions/{executionId}/evaluate；POST /api/v1/evaluation-templates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9124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CT-036；集成/验收用例 TC-G2-FR-036-01—03</w:t>
            </w:r>
          </w:p>
        </w:tc>
      </w:tr>
      <w:tr w14:paraId="0DBBDE7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21381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G2-FR-037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A960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AC-G2-FR-037-01；AC-G2-FR-037-02；AC-G2-FR-037-03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641D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核实流程配置：POST /api/v1/incidents/{incidentId}/verify；POST /api/v1/verification-configs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1FEC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CT-037；集成/验收用例 TC-G2-FR-037-01—03</w:t>
            </w:r>
          </w:p>
        </w:tc>
      </w:tr>
      <w:tr w14:paraId="4F8801E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DB209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G2-FR-038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非★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B57608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AC-G2-FR-038-01；AC-G2-FR-038-02；AC-G2-FR-038-03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EE0E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知识库：GET /api/v1/knowledge-items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9325D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CT-038；集成/验收用例 TC-G2-FR-038-01—03</w:t>
            </w:r>
          </w:p>
        </w:tc>
      </w:tr>
      <w:tr w14:paraId="574DECC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B088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API-TR-039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G2-FR-039</w:t>
            </w:r>
            <w:r>
              <w:rPr>
                <w:rFonts w:eastAsia="宋体"/>
                <w:color w:val="000000"/>
                <w:sz w:val="22"/>
                <w:szCs w:val="22"/>
              </w:rPr>
              <w:br w:type="textWrapping"/>
            </w:r>
            <w:r>
              <w:rPr>
                <w:rFonts w:eastAsia="宋体"/>
                <w:color w:val="000000"/>
                <w:sz w:val="22"/>
                <w:szCs w:val="22"/>
              </w:rPr>
              <w:t>★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C72D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AC-G2-FR-039-01；AC-G2-FR-039-02；AC-G2-FR-039-03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515D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应急信息统计：GET /api/v1/statistics/emergency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4ADA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契约测试 CT-039；集成/验收用例 TC-G2-FR-039-01—03</w:t>
            </w:r>
          </w:p>
        </w:tc>
      </w:tr>
    </w:tbl>
    <w:p w14:paraId="19FD45E9">
      <w:pPr>
        <w:pStyle w:val="3"/>
        <w:spacing w:before="240" w:after="160"/>
      </w:pPr>
      <w:bookmarkStart w:id="24" w:name="_Toc29708"/>
      <w:r>
        <w:rPr>
          <w:rFonts w:eastAsia="黑体"/>
          <w:b/>
          <w:bCs/>
          <w:sz w:val="28"/>
          <w:szCs w:val="28"/>
        </w:rPr>
        <w:t>7.2 关键数字验证挂接</w:t>
      </w:r>
      <w:bookmarkEnd w:id="24"/>
    </w:p>
    <w:p w14:paraId="195FF4C1">
      <w:pPr>
        <w:keepNext/>
        <w:jc w:val="center"/>
      </w:pPr>
      <w:r>
        <w:rPr>
          <w:rFonts w:eastAsia="黑体"/>
          <w:b/>
          <w:color w:val="000000"/>
          <w:sz w:val="18"/>
        </w:rPr>
        <w:t>表 7-2 关键数字验证挂接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3"/>
        <w:gridCol w:w="2375"/>
        <w:gridCol w:w="2433"/>
        <w:gridCol w:w="2611"/>
      </w:tblGrid>
      <w:tr w14:paraId="3031DF4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F34F7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指标</w:t>
            </w:r>
          </w:p>
        </w:tc>
        <w:tc>
          <w:tcPr>
            <w:tcW w:w="2268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BE9FB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接口挂接</w:t>
            </w:r>
          </w:p>
        </w:tc>
        <w:tc>
          <w:tcPr>
            <w:tcW w:w="23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F1843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验证方法</w:t>
            </w:r>
          </w:p>
        </w:tc>
        <w:tc>
          <w:tcPr>
            <w:tcW w:w="249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199B3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当前结论</w:t>
            </w:r>
          </w:p>
        </w:tc>
      </w:tr>
      <w:tr w14:paraId="4678AE8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1D91A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预案启动≤3秒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9322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incidentsStartResponse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40C98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目标环境从请求受理到任务和 Outbox 提交计时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2D90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待实现/待测</w:t>
            </w:r>
          </w:p>
        </w:tc>
      </w:tr>
      <w:tr w14:paraId="16016F0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8D34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告警、定位刷新≤2秒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5265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告警入站、positionsLatest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9EE9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注入带源时间数据，测接收与可见时间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734D2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待联调/待测</w:t>
            </w:r>
          </w:p>
        </w:tc>
      </w:tr>
      <w:tr w14:paraId="1F63272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F864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视频首帧≤3秒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B935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incidentVideosQuery / VideoPort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85C7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目标网络与账号下从调阅到首帧计时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B022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ISSUE-G3-01-001 阻断</w:t>
            </w:r>
          </w:p>
        </w:tc>
      </w:tr>
      <w:tr w14:paraId="115825E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DCE43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消息≥20路、到达率≥99%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DC1D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MessagePort、回执入站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A2A4E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正常验收通道并发发送并按终态回执统计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6A0B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ISSUE-G3-01-001 阻断</w:t>
            </w:r>
          </w:p>
        </w:tc>
      </w:tr>
      <w:tr w14:paraId="52A3C47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EC1C5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打卡≤1秒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3C4B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attendanceCheckIn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FFB6A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身份、二维码、时空校验到事务提交计时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B2FA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待实现/待测</w:t>
            </w:r>
          </w:p>
        </w:tc>
      </w:tr>
      <w:tr w14:paraId="35AD799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1262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设备态势≤30秒、统计≤60秒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6FDE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态势与统计查询</w:t>
            </w:r>
          </w:p>
        </w:tc>
        <w:tc>
          <w:tcPr>
            <w:tcW w:w="2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54B36C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对照源时间和投影可见时间</w:t>
            </w:r>
          </w:p>
        </w:tc>
        <w:tc>
          <w:tcPr>
            <w:tcW w:w="249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A0B4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待联调/待测</w:t>
            </w:r>
          </w:p>
        </w:tc>
      </w:tr>
    </w:tbl>
    <w:p w14:paraId="330D5C6E">
      <w:pPr>
        <w:pStyle w:val="2"/>
        <w:spacing w:before="240" w:after="160"/>
      </w:pPr>
      <w:bookmarkStart w:id="25" w:name="_Toc8819"/>
      <w:r>
        <w:rPr>
          <w:rFonts w:eastAsia="黑体"/>
          <w:b/>
          <w:bCs/>
        </w:rPr>
        <w:t>8 验证、未决事项与准出</w:t>
      </w:r>
      <w:bookmarkEnd w:id="25"/>
    </w:p>
    <w:p w14:paraId="480A3306">
      <w:pPr>
        <w:pStyle w:val="3"/>
        <w:spacing w:before="240" w:after="160"/>
      </w:pPr>
      <w:bookmarkStart w:id="26" w:name="_Toc9719"/>
      <w:r>
        <w:rPr>
          <w:rFonts w:eastAsia="黑体"/>
          <w:b/>
          <w:bCs/>
          <w:sz w:val="28"/>
          <w:szCs w:val="28"/>
        </w:rPr>
        <w:t>8.1 契约验证</w:t>
      </w:r>
      <w:bookmarkEnd w:id="26"/>
    </w:p>
    <w:p w14:paraId="2900AD77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 xml:space="preserve">OpenAPI 必须通过 YAML 解析、OpenAPI 版本、路径、operationId 唯一、局部 </w:t>
      </w:r>
      <w:r>
        <w:rPr>
          <w:rFonts w:ascii="Consolas" w:hAnsi="Consolas" w:eastAsia="宋体"/>
          <w:color w:val="000000"/>
          <w:sz w:val="18"/>
          <w:szCs w:val="24"/>
        </w:rPr>
        <w:t>$ref</w:t>
      </w:r>
      <w:r>
        <w:rPr>
          <w:rFonts w:eastAsia="宋体"/>
          <w:color w:val="000000"/>
          <w:sz w:val="24"/>
          <w:szCs w:val="24"/>
        </w:rPr>
        <w:t xml:space="preserve"> 可解析、写接口幂等头、统一错误响应、安全方案和 39 FR/117 AC 引用检查。实现阶段采用契约优先：先更新契约和失败测试，再修改实现直至通过。外部适配器使用桩验证映射、超时、重复、乱序、迟到、断连补传和未知载荷。</w:t>
      </w:r>
    </w:p>
    <w:p w14:paraId="10382758">
      <w:pPr>
        <w:pStyle w:val="3"/>
        <w:spacing w:before="240" w:after="160"/>
      </w:pPr>
      <w:bookmarkStart w:id="27" w:name="_Toc28979"/>
      <w:r>
        <w:rPr>
          <w:rFonts w:eastAsia="黑体"/>
          <w:b/>
          <w:bCs/>
          <w:sz w:val="28"/>
          <w:szCs w:val="28"/>
        </w:rPr>
        <w:t>8.2 未决事项</w:t>
      </w:r>
      <w:bookmarkEnd w:id="27"/>
    </w:p>
    <w:p w14:paraId="79D25808">
      <w:pPr>
        <w:keepNext/>
        <w:jc w:val="center"/>
      </w:pPr>
      <w:r>
        <w:rPr>
          <w:rFonts w:eastAsia="黑体"/>
          <w:b/>
          <w:color w:val="000000"/>
          <w:sz w:val="18"/>
        </w:rPr>
        <w:t>表 8-1 未决事项</w:t>
      </w:r>
    </w:p>
    <w:tbl>
      <w:tblPr>
        <w:tblStyle w:val="15"/>
        <w:tblW w:w="5000" w:type="pct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7"/>
        <w:gridCol w:w="3007"/>
        <w:gridCol w:w="3008"/>
      </w:tblGrid>
      <w:tr w14:paraId="4B866FE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6A9F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项目</w:t>
            </w:r>
          </w:p>
        </w:tc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3A847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当前处理</w:t>
            </w:r>
          </w:p>
        </w:tc>
        <w:tc>
          <w:tcPr>
            <w:tcW w:w="2872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71BA8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阻断关系</w:t>
            </w:r>
          </w:p>
        </w:tc>
      </w:tr>
      <w:tr w14:paraId="694DF93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019F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ISSUE-G3-01-001 视频/消息真实资料与证据缺失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94D44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内部 Schema 已定义；外部 Schema、认证、回执和性能标记待确认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BB3E0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阻断视频/消息外部契约冻结、G3-06 最终冻结和 M3 最终冻结</w:t>
            </w:r>
          </w:p>
        </w:tc>
      </w:tr>
      <w:tr w14:paraId="39278AB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73B2F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地图坐标系、楼层编码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01FC6A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接口保留 coordinateReference、floorCode、源精度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41A86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阻断空间字段最终枚举与现场联调</w:t>
            </w:r>
          </w:p>
        </w:tc>
      </w:tr>
      <w:tr w14:paraId="7F02B22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B9212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宿主 APP 版本矩阵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D0D7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H5 使用 Web 契约并保留宿主上下文边界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BCA9D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阻断兼容性最终验收，不阻断接口评审</w:t>
            </w:r>
          </w:p>
        </w:tc>
      </w:tr>
      <w:tr w14:paraId="04F588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C0C0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真实部署域名、证书、限流和密钥托管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9C1DB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OpenAPI 使用相对/示例服务器，不写生产凭据</w:t>
            </w:r>
          </w:p>
        </w:tc>
        <w:tc>
          <w:tcPr>
            <w:tcW w:w="2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EEFF1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待 G3-07 ADR 与甲方环境确认</w:t>
            </w:r>
          </w:p>
        </w:tc>
      </w:tr>
    </w:tbl>
    <w:p w14:paraId="7B686995">
      <w:pPr>
        <w:pStyle w:val="3"/>
        <w:spacing w:before="240" w:after="160"/>
      </w:pPr>
      <w:bookmarkStart w:id="28" w:name="_Toc18518"/>
      <w:r>
        <w:rPr>
          <w:rFonts w:eastAsia="黑体"/>
          <w:b/>
          <w:bCs/>
          <w:sz w:val="28"/>
          <w:szCs w:val="28"/>
        </w:rPr>
        <w:t>8.3 自检结论</w:t>
      </w:r>
      <w:bookmarkEnd w:id="28"/>
    </w:p>
    <w:p w14:paraId="1B73D729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本稿已形成业务 REST 契约、八类外部端口边界、版本/安全/幂等/错误约定、39 FR 与 117 AC 的接口挂接和关键数字验证入口。接口稿可进入 A/C REVIEW；</w:t>
      </w:r>
      <w:r>
        <w:rPr>
          <w:rFonts w:ascii="Consolas" w:hAnsi="Consolas" w:eastAsia="宋体"/>
          <w:color w:val="000000"/>
          <w:sz w:val="18"/>
          <w:szCs w:val="24"/>
        </w:rPr>
        <w:t>ISSUE-G3-01-001</w:t>
      </w:r>
      <w:r>
        <w:rPr>
          <w:rFonts w:eastAsia="宋体"/>
          <w:color w:val="000000"/>
          <w:sz w:val="24"/>
          <w:szCs w:val="24"/>
        </w:rPr>
        <w:t xml:space="preserve"> 未关闭前不得把视频和消息的外部契约、性能或连通性标为冻结/通过。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8975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AD5"/>
    <w:rsid w:val="002E215B"/>
    <w:rsid w:val="00A55C53"/>
    <w:rsid w:val="00B06A6D"/>
    <w:rsid w:val="00E83D15"/>
    <w:rsid w:val="00F67AD5"/>
    <w:rsid w:val="664F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qFormat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  <w:style w:type="paragraph" w:customStyle="1" w:styleId="26">
    <w:name w:val="TOC Heading"/>
    <w:basedOn w:val="2"/>
    <w:next w:val="1"/>
    <w:unhideWhenUsed/>
    <w:qFormat/>
    <w:uiPriority w:val="39"/>
    <w:pPr>
      <w:keepNext/>
      <w:keepLines/>
      <w:spacing w:before="240" w:line="259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827</Words>
  <Characters>4718</Characters>
  <Lines>39</Lines>
  <Paragraphs>11</Paragraphs>
  <TotalTime>0</TotalTime>
  <ScaleCrop>false</ScaleCrop>
  <LinksUpToDate>false</LinksUpToDate>
  <CharactersWithSpaces>5534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2026-08-29T14:22:00Z</dcterms:created>
  <dc:creator>020202项目组</dc:creator>
  <cp:lastModifiedBy>严宇</cp:lastModifiedBy>
  <dcterms:modified xsi:type="dcterms:W3CDTF">2026-09-18T06:29:24Z</dcterms:modified>
  <dc:subject>某自然博物馆智能运营中心建设项目——应急管理子系统 G3-06</dc:subject>
  <dc:title>接口设计说明书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CE97AC924F0147B7BA9D6A9E7691BDE2_12</vt:lpwstr>
  </property>
</Properties>
</file>