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F4AA6F">
      <w:pPr>
        <w:jc w:val="right"/>
        <w:spacing w:after="80"/>
      </w:pPr>
      <w:bookmarkStart w:id="0" w:name="_GoBack"/>
      <w:bookmarkEnd w:id="0"/>
      <w:r>
        <w:rPr>
          <w:b w:val="0"/>
          <w:rFonts w:eastAsia="宋体"/>
          <w:sz w:val="24"/>
          <w:color w:val="000000"/>
        </w:rPr>
        <w:t>文档编号：03-G1-12　　　　　　版本号：V1.2</w:t>
      </w:r>
    </w:p>
    <w:p w14:paraId="6F903E69">
      <w:pPr>
        <w:jc w:val="right"/>
        <w:spacing w:before="1200" w:after="360"/>
      </w:pPr>
      <w:r>
        <w:rPr>
          <w:b w:val="0"/>
          <w:rFonts w:eastAsia="宋体"/>
          <w:sz w:val="24"/>
          <w:color w:val="000000"/>
        </w:rPr>
        <w:t>密　　级：内部·教学用</w:t>
      </w:r>
    </w:p>
    <w:p w14:paraId="596F61C8">
      <w:pPr>
        <w:jc w:val="center"/>
        <w:spacing w:before="2000" w:after="480"/>
      </w:pPr>
    </w:p>
    <w:p w14:paraId="45358F09">
      <w:pPr>
        <w:jc w:val="center"/>
        <w:spacing w:before="240" w:after="360"/>
      </w:pPr>
      <w:r>
        <w:rPr>
          <w:b w:val="0"/>
          <w:rFonts w:eastAsia="黑体"/>
          <w:sz w:val="44"/>
          <w:color w:val="000000"/>
        </w:rPr>
        <w:t>某自然博物馆智能运营中心建设项目</w:t>
      </w:r>
    </w:p>
    <w:p w14:paraId="1BA44D9F">
      <w:pPr>
        <w:jc w:val="center"/>
        <w:spacing w:before="240" w:after="360"/>
      </w:pPr>
      <w:r>
        <w:rPr>
          <w:b w:val="0"/>
          <w:rFonts w:eastAsia="黑体"/>
          <w:sz w:val="44"/>
          <w:color w:val="000000"/>
        </w:rPr>
        <w:t>应急管理子系统</w:t>
      </w:r>
    </w:p>
    <w:p w14:paraId="020B0800">
      <w:pPr>
        <w:jc w:val="center"/>
        <w:spacing w:before="520" w:after="200"/>
      </w:pPr>
      <w:r>
        <w:rPr>
          <w:b w:val="0"/>
          <w:rFonts w:eastAsia="黑体"/>
          <w:sz w:val="56"/>
          <w:color w:val="000000"/>
        </w:rPr>
        <w:t>述标答辩讲稿与策略</w:t>
      </w:r>
    </w:p>
    <w:p w14:paraId="1625F3BB">
      <w:pPr>
        <w:jc w:val="center"/>
        <w:spacing w:after="80"/>
      </w:pPr>
      <w:r>
        <w:rPr>
          <w:b w:val="0"/>
          <w:rFonts w:eastAsia="楷体"/>
          <w:sz w:val="28"/>
          <w:color w:val="000000"/>
        </w:rPr>
        <w:t>课程模拟</w:t>
      </w:r>
    </w:p>
    <w:p w14:paraId="59A005D7">
      <w:pPr>
        <w:jc w:val="center"/>
        <w:spacing w:before="1600" w:after="80"/>
      </w:pPr>
    </w:p>
    <w:p w14:paraId="1307E6DD">
      <w:pPr>
        <w:jc w:val="left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编制单位：项目组【待人工确认】</w:t>
      </w:r>
    </w:p>
    <w:p w14:paraId="6E20CCFD">
      <w:pPr>
        <w:jc w:val="left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编　　制：何思源（项目经理 PM）</w:t>
      </w:r>
    </w:p>
    <w:p w14:paraId="6153ED41">
      <w:pPr>
        <w:jc w:val="left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审　　核：任俊强（合规与数字）</w:t>
      </w:r>
    </w:p>
    <w:p w14:paraId="7A41AEE1">
      <w:pPr>
        <w:jc w:val="left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批　　准：【待人工确认】</w:t>
      </w:r>
    </w:p>
    <w:p w14:paraId="7B141AD5">
      <w:pPr>
        <w:spacing w:after="60" w:line="300" w:lineRule="auto"/>
      </w:pPr>
      <w:r>
        <w:br w:type="page"/>
      </w:r>
    </w:p>
    <w:p w14:paraId="243B98F9">
      <w:pPr>
        <w:spacing w:after="60" w:line="300" w:lineRule="auto"/>
      </w:pPr>
    </w:p>
    <w:p w14:paraId="56205E52">
      <w:pPr>
        <w:spacing w:after="60" w:line="300" w:lineRule="auto"/>
      </w:pPr>
    </w:p>
    <w:p w14:paraId="2EBC317E">
      <w:pPr>
        <w:spacing w:after="60" w:line="300" w:lineRule="auto"/>
      </w:pPr>
    </w:p>
    <w:p w14:paraId="7F9DF7C5">
      <w:pPr>
        <w:spacing w:after="60" w:line="300" w:lineRule="auto"/>
      </w:pPr>
    </w:p>
    <w:p w14:paraId="06D5688A">
      <w:pPr>
        <w:spacing w:after="60" w:line="300" w:lineRule="auto"/>
      </w:pPr>
    </w:p>
    <w:p w14:paraId="70939F42">
      <w:pPr>
        <w:spacing w:after="60" w:line="300" w:lineRule="auto"/>
      </w:pPr>
    </w:p>
    <w:p w14:paraId="4DC36357">
      <w:pPr>
        <w:spacing w:after="60" w:line="300" w:lineRule="auto"/>
      </w:pPr>
    </w:p>
    <w:p w14:paraId="113CEC8B">
      <w:pPr>
        <w:spacing w:after="60" w:line="300" w:lineRule="auto"/>
      </w:pPr>
    </w:p>
    <w:p w14:paraId="4127A841">
      <w:pPr>
        <w:jc w:val="center"/>
        <w:ind w:leftChars="1276" w:left="2552"/>
        <w:spacing w:after="200"/>
      </w:pPr>
      <w:r>
        <w:rPr>
          <w:b w:val="0"/>
          <w:rFonts w:eastAsia="仿宋"/>
          <w:sz w:val="32"/>
          <w:color w:val="000000"/>
        </w:rPr>
        <w:t>编制日期</w:t>
      </w:r>
    </w:p>
    <w:p w14:paraId="38E2FDDE">
      <w:pPr>
        <w:jc w:val="center"/>
        <w:ind w:leftChars="1276" w:left="2552"/>
        <w:spacing w:before="200" w:after="80"/>
      </w:pPr>
      <w:r>
        <w:rPr>
          <w:b w:val="0"/>
          <w:rFonts w:eastAsia="仿宋"/>
          <w:sz w:val="32"/>
          <w:color w:val="000000"/>
        </w:rPr>
        <w:t>2026 年 9 月 13 日</w:t>
      </w:r>
    </w:p>
    <w:p w14:paraId="458C938C">
      <w:pPr>
        <w:jc w:val="center"/>
        <w:ind w:leftChars="1276" w:left="2552"/>
        <w:spacing w:before="200" w:after="80"/>
      </w:pPr>
      <w:r>
        <w:rPr>
          <w:b w:val="0"/>
          <w:rFonts w:eastAsia="仿宋"/>
          <w:sz w:val="32"/>
          <w:color w:val="000000"/>
        </w:rPr>
        <w:t>适用阶段：第一关立项竞标最终返工</w:t>
      </w:r>
    </w:p>
    <w:p w14:paraId="11A07DC2">
      <w:pPr>
        <w:spacing w:after="60" w:line="300" w:lineRule="auto"/>
      </w:pPr>
      <w:r>
        <w:br w:type="page"/>
      </w:r>
    </w:p>
    <w:p w14:paraId="4F1F2D13">
      <w:pPr>
        <w:pStyle w:val="2"/>
        <w:jc w:val="center"/>
        <w:spacing w:before="120" w:after="120"/>
      </w:pPr>
      <w:r>
        <w:rPr>
          <w:rFonts w:eastAsia="黑体"/>
          <w:sz w:val="24"/>
          <w:color w:val="000000"/>
        </w:rPr>
        <w:t>修订记录</w:t>
      </w:r>
    </w:p>
    <w:tbl>
      <w:tr w14:paraId="7D7AE1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093B55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版本</w:t>
            </w:r>
          </w:p>
          <w:tcPr>
            <w:tcW w:w="1020" w:type="dxa"/>
            <w:shd w:val="clear" w:color="auto" w:fill="D9E2EC"/>
          </w:tcPr>
        </w:tc>
        <w:tc>
          <w:p w14:paraId="48F68D36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日期</w:t>
            </w:r>
          </w:p>
          <w:tcPr>
            <w:tcW w:w="1474" w:type="dxa"/>
            <w:shd w:val="clear" w:color="auto" w:fill="D9E2EC"/>
          </w:tcPr>
        </w:tc>
        <w:tc>
          <w:p w14:paraId="3D908401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修订章节</w:t>
            </w:r>
          </w:p>
          <w:tcPr>
            <w:tcW w:w="1814" w:type="dxa"/>
            <w:shd w:val="clear" w:color="auto" w:fill="D9E2EC"/>
          </w:tcPr>
        </w:tc>
        <w:tc>
          <w:p w14:paraId="5E3B68F1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修订说明</w:t>
            </w:r>
          </w:p>
          <w:tcPr>
            <w:tcW w:w="3628" w:type="dxa"/>
            <w:shd w:val="clear" w:color="auto" w:fill="D9E2EC"/>
          </w:tcPr>
        </w:tc>
        <w:tc>
          <w:p w14:paraId="24D02032">
            <w:pPr>
              <w:jc w:val="center"/>
            </w:pPr>
            <w:r>
              <w:rPr>
                <w:b/>
                <w:rFonts w:eastAsia="黑体"/>
                <w:sz w:val="21"/>
                <w:color w:val="000000"/>
              </w:rPr>
              <w:t>编制/修订人</w:t>
            </w:r>
          </w:p>
          <w:tcPr>
            <w:tcW w:w="1587" w:type="dxa"/>
            <w:shd w:val="clear" w:color="auto" w:fill="D9E2EC"/>
          </w:tcPr>
        </w:tc>
        <w:trPr>
          <w:jc w:val="center"/>
        </w:trPr>
      </w:tr>
      <w:tr w14:paraId="4E623E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CF7F3E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V0.1</w:t>
            </w:r>
          </w:p>
          <w:tcPr>
            <w:tcW w:w="1020" w:type="dxa"/>
          </w:tcPr>
        </w:tc>
        <w:tc>
          <w:p w14:paraId="79C11646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2026-09-12</w:t>
            </w:r>
          </w:p>
          <w:tcPr>
            <w:tcW w:w="1474" w:type="dxa"/>
          </w:tcPr>
        </w:tc>
        <w:tc>
          <w:p w14:paraId="7F8F65FE">
            <w:pPr/>
            <w:r>
              <w:rPr>
                <w:b w:val="0"/>
                <w:rFonts w:eastAsia="宋体"/>
                <w:sz w:val="21"/>
                <w:color w:val="000000"/>
              </w:rPr>
              <w:t>全文</w:t>
            </w:r>
          </w:p>
          <w:tcPr>
            <w:tcW w:w="1814" w:type="dxa"/>
          </w:tcPr>
        </w:tc>
        <w:tc>
          <w:p w14:paraId="7B7CE15B">
            <w:pPr/>
            <w:r>
              <w:rPr>
                <w:b w:val="0"/>
                <w:rFonts w:eastAsia="宋体"/>
                <w:sz w:val="21"/>
                <w:color w:val="000000"/>
              </w:rPr>
              <w:t>形成课程模拟述标稿与质询策略初稿。</w:t>
            </w:r>
          </w:p>
          <w:tcPr>
            <w:tcW w:w="3628" w:type="dxa"/>
          </w:tcPr>
        </w:tc>
        <w:tc>
          <w:p w14:paraId="1315F125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何思源</w:t>
            </w:r>
          </w:p>
          <w:tcPr>
            <w:tcW w:w="1587" w:type="dxa"/>
          </w:tcPr>
        </w:tc>
        <w:trPr>
          <w:jc w:val="center"/>
        </w:trPr>
      </w:tr>
      <w:tr w14:paraId="4184BE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0D6C1E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V1.0</w:t>
            </w:r>
          </w:p>
          <w:tcPr>
            <w:tcW w:w="1020" w:type="dxa"/>
          </w:tcPr>
        </w:tc>
        <w:tc>
          <w:p w14:paraId="35B50526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2026-09-12</w:t>
            </w:r>
          </w:p>
          <w:tcPr>
            <w:tcW w:w="1474" w:type="dxa"/>
          </w:tcPr>
        </w:tc>
        <w:tc>
          <w:p w14:paraId="47F6B38D">
            <w:pPr/>
            <w:r>
              <w:rPr>
                <w:b w:val="0"/>
                <w:rFonts w:eastAsia="宋体"/>
                <w:sz w:val="21"/>
                <w:color w:val="000000"/>
              </w:rPr>
              <w:t>全文</w:t>
            </w:r>
          </w:p>
          <w:tcPr>
            <w:tcW w:w="1814" w:type="dxa"/>
          </w:tcPr>
        </w:tc>
        <w:tc>
          <w:p w14:paraId="7C2AD736">
            <w:pPr/>
            <w:r>
              <w:rPr>
                <w:b w:val="0"/>
                <w:rFonts w:eastAsia="宋体"/>
                <w:sz w:val="21"/>
                <w:color w:val="000000"/>
              </w:rPr>
              <w:t>通过严宇技术复核与任俊强合规复核，纳入第一关冻结。</w:t>
            </w:r>
          </w:p>
          <w:tcPr>
            <w:tcW w:w="3628" w:type="dxa"/>
          </w:tcPr>
        </w:tc>
        <w:tc>
          <w:p w14:paraId="76436B45">
            <w:pPr>
              <w:jc w:val="center"/>
            </w:pPr>
            <w:r>
              <w:rPr>
                <w:b w:val="0"/>
                <w:rFonts w:eastAsia="宋体"/>
                <w:sz w:val="21"/>
                <w:color w:val="000000"/>
              </w:rPr>
              <w:t>何思源</w:t>
            </w:r>
          </w:p>
          <w:tcPr>
            <w:tcW w:w="1587" w:type="dxa"/>
          </w:tcPr>
        </w:tc>
        <w:trPr>
          <w:jc w:val="center"/>
        </w:trPr>
      </w:tr>
      <w:tr w14:paraId="2AB879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61263B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V1.1</w:t>
            </w:r>
          </w:p>
          <w:tcPr>
            <w:tcW w:w="1805" w:type="dxa"/>
          </w:tcPr>
        </w:tc>
        <w:tc>
          <w:p w14:paraId="5B3A3C66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2026-09-13</w:t>
            </w:r>
          </w:p>
          <w:tcPr>
            <w:tcW w:w="1805" w:type="dxa"/>
          </w:tcPr>
        </w:tc>
        <w:tc>
          <w:p w14:paraId="5690B90B">
            <w:pPr/>
            <w:r>
              <w:rPr>
                <w:b w:val="0"/>
                <w:sz w:val="21"/>
                <w:color w:val="000000"/>
              </w:rPr>
              <w:t>封面及署名</w:t>
            </w:r>
          </w:p>
          <w:tcPr>
            <w:tcW w:w="1805" w:type="dxa"/>
          </w:tcPr>
        </w:tc>
        <w:tc>
          <w:p w14:paraId="2458BF0B">
            <w:pPr/>
            <w:r>
              <w:rPr>
                <w:b w:val="0"/>
                <w:sz w:val="21"/>
                <w:color w:val="000000"/>
              </w:rPr>
              <w:t>完成正式交付物实名化和首轮格式规范化。</w:t>
            </w:r>
          </w:p>
          <w:tcPr>
            <w:tcW w:w="1805" w:type="dxa"/>
          </w:tcPr>
        </w:tc>
        <w:tc>
          <w:p w14:paraId="34EBA5A3">
            <w:pPr>
              <w:jc w:val="center"/>
            </w:pPr>
            <w:r>
              <w:rPr>
                <w:b w:val="0"/>
                <w:sz w:val="21"/>
                <w:color w:val="000000"/>
              </w:rPr>
              <w:t>何思源</w:t>
            </w:r>
          </w:p>
          <w:tcPr>
            <w:tcW w:w="1805" w:type="dxa"/>
          </w:tcPr>
        </w:tc>
        <w:trPr>
          <w:jc w:val="center"/>
        </w:trPr>
      </w:tr>
      <w:tr w14:paraId="163459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B2552D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V1.2</w:t>
            </w:r>
          </w:p>
          <w:tcPr>
            <w:tcW w:w="1805" w:type="dxa"/>
          </w:tcPr>
        </w:tc>
        <w:tc>
          <w:p w14:paraId="1F3CEFF0"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2026-09-13</w:t>
            </w:r>
          </w:p>
          <w:tcPr>
            <w:tcW w:w="1805" w:type="dxa"/>
          </w:tcPr>
        </w:tc>
        <w:tc>
          <w:p w14:paraId="2F6DEC99">
            <w:pPr/>
            <w:r>
              <w:rPr>
                <w:b w:val="0"/>
                <w:sz w:val="21"/>
                <w:color w:val="000000"/>
              </w:rPr>
              <w:t>前置页、图 1-1、修订记录</w:t>
            </w:r>
          </w:p>
          <w:tcPr>
            <w:tcW w:w="1805" w:type="dxa"/>
          </w:tcPr>
        </w:tc>
        <w:tc>
          <w:p w14:paraId="3BF047A3">
            <w:pPr/>
            <w:r>
              <w:rPr>
                <w:b w:val="0"/>
                <w:sz w:val="21"/>
                <w:color w:val="000000"/>
              </w:rPr>
              <w:t>按教学样例重建独立日期页和修订记录页，补充可编辑时间分配图。</w:t>
            </w:r>
          </w:p>
          <w:tcPr>
            <w:tcW w:w="1805" w:type="dxa"/>
          </w:tcPr>
        </w:tc>
        <w:tc>
          <w:p w14:paraId="096F5571">
            <w:pPr>
              <w:jc w:val="center"/>
            </w:pPr>
            <w:r>
              <w:rPr>
                <w:b w:val="0"/>
                <w:sz w:val="21"/>
                <w:color w:val="000000"/>
              </w:rPr>
              <w:t>何思源</w:t>
            </w:r>
          </w:p>
          <w:tcPr>
            <w:tcW w:w="1805" w:type="dxa"/>
          </w:tcPr>
        </w:tc>
        <w:trPr>
          <w:jc w:val="center"/>
        </w:trPr>
      </w:tr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8"/>
        <w:gridCol w:w="1534"/>
        <w:gridCol w:w="1483"/>
        <w:gridCol w:w="3005"/>
        <w:gridCol w:w="1476"/>
      </w:tblGrid>
    </w:tbl>
    <w:p w14:paraId="54D834C0">
      <w:pPr>
        <w:jc w:val="left"/>
        <w:spacing w:before="160" w:after="120"/>
      </w:pPr>
      <w:r>
        <w:rPr>
          <w:b w:val="0"/>
          <w:rFonts w:eastAsia="宋体"/>
          <w:sz w:val="18"/>
          <w:color w:val="000000"/>
        </w:rPr>
        <w:t>注：V0.1 对应初稿提交；V1.0 对应 2026-09-12 技术与合规复核通过并纳入 BASELINE-V1.0；V1.1 对应 2026-09-13 实名化与首轮格式收口；V1.2 为本次有证据的格式返工。</w:t>
      </w:r>
    </w:p>
    <w:p w14:paraId="21AA3192">
      <w:pPr>
        <w:spacing w:after="60" w:line="300" w:lineRule="auto"/>
      </w:pPr>
      <w:r>
        <w:br w:type="page"/>
      </w:r>
    </w:p>
    <w:p w14:paraId="72ACDAAF">
      <w:pPr>
        <w:pStyle w:val="2"/>
        <w:keepNext/>
        <w:widowControl/>
      </w:pPr>
      <w:r>
        <w:t>第一部分 述标讲稿（约 8 分钟）</w:t>
      </w:r>
    </w:p>
    <w:p w14:paraId="0CA30C2F">
      <w:pPr>
        <w:keepNext/>
        <w:spacing w:after="60" w:line="300" w:lineRule="auto"/>
        <w:jc w:val="center"/>
      </w:pPr>
      <w:r>
        <w:drawing>
          <wp:inline distT="0" distB="0" distL="114300" distR="114300">
            <wp:extent cx="5580000" cy="1227075"/>
            <wp:effectExtent l="0" t="0" r="381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BF5B8">
      <w:pPr>
        <w:jc w:val="center"/>
      </w:pPr>
      <w:r>
        <w:rPr>
          <w:b w:val="0"/>
          <w:rFonts w:eastAsia="宋体"/>
          <w:sz w:val="18"/>
          <w:color w:val="000000"/>
        </w:rPr>
        <w:t>图 1-1 述标 8 分钟时间分配总览</w:t>
      </w:r>
    </w:p>
    <w:p w14:paraId="2FADEBBD">
      <w:pPr>
        <w:pStyle w:val="3"/>
        <w:keepNext/>
        <w:widowControl/>
      </w:pPr>
      <w:r>
        <w:t>0:00—0:35 开场：一句话理解项目</w:t>
      </w:r>
    </w:p>
    <w:p w14:paraId="138DF33C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各位评委好。我们对本项目的理解是：以数字化应急预案为核心，以应急指挥中心为枢纽，以 H5 移动处置为延伸，把准备、预警、处置和改进连成可追溯闭环。我们不把它做成孤立平台，而是在不重复建设既有安防、视频、定位和中台能力的前提下，交付可验证的软件能力、接口适配和联动证据。</w:t>
      </w:r>
    </w:p>
    <w:p w14:paraId="1BA638DB">
      <w:pPr>
        <w:pStyle w:val="3"/>
        <w:keepNext/>
        <w:widowControl/>
      </w:pPr>
      <w:r>
        <w:t>0:35—1:55 需求理解：覆盖全流程，但不越界</w:t>
      </w:r>
    </w:p>
    <w:p w14:paraId="7E3A15F6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项目覆盖应急预案、指挥、资源、演练、事件、值班、基础管理、H5、应急信息视图、综合安防视图和数据接口共 11 个功能域，39 条功能需求中有 34 条★条款。我们把“响应”落实为设计、测试、联调和验收的双向追踪，不把方案描述当作现场已验收。</w:t>
      </w:r>
    </w:p>
    <w:p w14:paraId="660C326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边界同样重要：既有视频、定位、门禁、消防、物联网、中台、地图和宿主 APP 由甲方提供相应基础能力、资料、账号、环境与协调窗口；我方负责应急业务适配、字段映射、容错、降级、联调、验证和留痕。H5 嵌入甲方现有智慧管理 APP，不另建原生 Android 或 iOS APP。课程模拟澄清只用于解释歧义，不能覆盖原始需求书的明确强制要求。</w:t>
      </w:r>
    </w:p>
    <w:p w14:paraId="3D901DD6">
      <w:pPr>
        <w:pStyle w:val="3"/>
        <w:keepNext/>
        <w:widowControl/>
      </w:pPr>
      <w:r>
        <w:t>1:55—3:25 总体方案：一套闭环，三类协同</w:t>
      </w:r>
    </w:p>
    <w:p w14:paraId="29AC469E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总体方案采用分层解耦架构：上层是 Web 指挥与管理端、嵌入式 H5；中层是预案、事件、任务、演练、值班和资源等业务服务；下层通过标准 REST API、OpenAPI 文档和适配器接入视频、定位、消息、门禁、地图、物联网和中台。外部调用统一具备版本、鉴权、追踪标识、幂等、超时、熔断和降级机制。</w:t>
      </w:r>
    </w:p>
    <w:p w14:paraId="51A1BBC3">
      <w:pPr>
        <w:ind w:firstLine="475"/>
        <w:keepLines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我们用三类协同保证应急现场不断链：一是预案启动形成版本快照、任务台账和待发送消息，避免处置中被后续配置改写；二是事件、任务、消息和接口调用以 trace_id 与业务幂等键关联，回执乱序或恢复后可对账；三是地图或外部系统不可用时，界面明确标识异常，切换到列表、最后有效数据或人工处置，而不伪造实时状态。</w:t>
      </w:r>
    </w:p>
    <w:p w14:paraId="02C0C9B4">
      <w:pPr>
        <w:pStyle w:val="3"/>
        <w:keepNext/>
        <w:widowControl/>
      </w:pPr>
      <w:r>
        <w:t>3:25—5:20 关键技术：每项都有边界和验证</w:t>
      </w:r>
    </w:p>
    <w:p w14:paraId="6D6F2661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第一，视频能力。FR-02.3 整体保持★；其中历史回放子句为“宜支持”，但原始需求书第 8.1(1) 和 FR-11.3 对录像检索、历史回放提出强制接口响应。因此我们完成 GB/T 28181 接入、实时调阅、录像检索、历史回放、首帧和异常验证；不新建录像存储。视频调阅首帧对应 PE-06，要求不超过 3 秒。</w:t>
      </w:r>
    </w:p>
    <w:p w14:paraId="52AA9079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第二，定位与地图。甲方提供亚米级源数据和基础设施，我方保证接口、人员关联、楼层坐标映射、展示和不超过 2 秒的刷新，不降低源精度。系统把位置标识为新鲜、过期、不可用三态；过期或不可用位置不能自动生成邻近调派结论，必须人工核实。地图常规操作对应 PE-08，不超过 2 秒。</w:t>
      </w:r>
    </w:p>
    <w:p w14:paraId="3C784795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第三，消息与门禁。正常验收通道下，PE-04 要求不少于 20 路并行、到达率不低于 99%。我们区分平台受理、通道发送、到达和确认，失败按可重放和人工确认边界处理。门禁只在授权人员二次确认且既有安全联锁允许时下发；失败即告警并转人工处置，绝不绕过安全机制。</w:t>
      </w:r>
    </w:p>
    <w:p w14:paraId="14887EC3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第四，性能与演练。PE-01 至 PE-12 已逐项建立阈值、验证要点和内部台账映射，包括预案启动任务下发不超过 3 秒、告警输入响应不超过 2 秒、事件确认至任务下达不超过 3 分钟、峰值在线不少于 100 人等。演练管理支持月、季、年周期；对适用每半年至少一次的对象，以滚动六个月窗口判定，临近提醒、逾期标识、补演或整改、达标统计、豁免说明和报告均可追溯。</w:t>
      </w:r>
    </w:p>
    <w:p w14:paraId="455006D1">
      <w:pPr>
        <w:pStyle w:val="3"/>
        <w:keepNext/>
        <w:widowControl/>
      </w:pPr>
      <w:r>
        <w:t>5:20—6:35 实施与质量：以 M1—M5 和证据驱动</w:t>
      </w:r>
    </w:p>
    <w:p w14:paraId="0C0D7B43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项目按 M1 需求确认、M2 设计评审、M3 初验、M4 试运行、M5 竣工验收推进。视频和统一消息通道在 M2 前完成真实连通验证；若环境、账号、接口版本或数据条件不满足，按问题台账和风险登记处理，不把假定可用写成通过。M3 完成单元、集成、系统、性能、兼容与安全验证，M4 以试运行与演练记录检查运行准备度，M5 按文审、用例、性能、联动、安全和部署组织验收。</w:t>
      </w:r>
    </w:p>
    <w:p w14:paraId="4E5AE6AB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质量方面，我们以需求—设计—用例—结果—证据双向追踪。关键链路压测同时观察分位数、错误率、队列积压和资源水位；安全侧落实 SCA、漏洞扫描、Web 渗透复测和高危清零；风险侧重点管理外部接口、定位质量、消息通道、门禁联锁、容量与环境依赖。未具备现场条件的验证证据明确留待相应里程碑形成。</w:t>
      </w:r>
    </w:p>
    <w:p w14:paraId="21D52804">
      <w:pPr>
        <w:pStyle w:val="3"/>
        <w:keepNext/>
        <w:widowControl/>
      </w:pPr>
      <w:r>
        <w:t>6:35—7:25 AI 辅助开发策略：AI 提效，人工负责</w:t>
      </w:r>
    </w:p>
    <w:p w14:paraId="2F88746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AI 只作为分析、编制、测试设计和一致性检查的辅助工具，不替代需求确认、架构决策、代码合并、测试准出和对外承诺。每一项数字、★条款和范围边界均回指需求书、冻结基线或受控台账；AI 产生的代码与文档进入人工评审、构建、单元测试、静态检查、SCA 和可追溯留痕。发现幻觉、无来源指标或冲突时，以原始需求书为准，进入 Issue 或变更流程，而不是临场解释或静默修改。</w:t>
      </w:r>
    </w:p>
    <w:p w14:paraId="42F51448">
      <w:pPr>
        <w:pStyle w:val="3"/>
        <w:keepNext/>
        <w:widowControl/>
      </w:pPr>
      <w:r>
        <w:t>7:25—8:00 总结</w:t>
      </w:r>
    </w:p>
    <w:p w14:paraId="18B8B45F">
      <w:pPr>
        <w:ind w:firstLine="475"/>
        <w:spacing w:after="100" w:line="360" w:lineRule="auto"/>
      </w:pPr>
      <w:r>
        <w:rPr>
          <w:b w:val="0"/>
          <w:rFonts w:eastAsia="宋体"/>
          <w:sz w:val="24"/>
          <w:szCs w:val="24"/>
          <w:color w:val="000000"/>
        </w:rPr>
        <w:t>我们用三句话收束：第一，方案完整覆盖 11 个功能域和实质性条款，但不扩大既有系统建设责任；第二，视频、定位、消息、门禁、H5 和中台均有清晰的接口边界、降级机制和验证路径；第三，实施、质量与 AI 使用都以里程碑、人工门禁和证据为准。我们将以可审查、可验证、可追溯的方式交付本项目。谢谢各位评委。</w:t>
      </w:r>
    </w:p>
    <w:p w14:paraId="2695A5AB">
      <w:pPr>
        <w:pStyle w:val="2"/>
        <w:keepNext/>
        <w:widowControl/>
      </w:pPr>
      <w:r>
        <w:t>第二部分 模拟质询清单与标准回答</w:t>
      </w:r>
    </w:p>
    <w:tbl>
      <w:tr w14:paraId="0F68B8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AD4B60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编号</w:t>
            </w:r>
          </w:p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07973A5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模拟质询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60EF2A8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标准口述回答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C43EE18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不能承诺的红线</w:t>
            </w:r>
          </w:p>
          <w:tcPr>
            <w:tcW w:w="2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rPr>
          <w:tblHeader/>
        </w:trPr>
      </w:tr>
      <w:tr w14:paraId="1140CB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63A54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Q-01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1669D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为什么不新建视频、定位、门禁和中台？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0D5FBD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本项目定位为应急管理软件与接口联动。既有系统由甲方提供基础能力，我方负责适配、联调、容错、验证和留痕；既有系统本体建设范围外不等于接口责任范围外。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D0D73B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不承诺新购硬件、改造既有系统或代替甲方提供接口环境。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2B80CA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B55E3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Q-02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5BD718D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12 项澄清能否替代原始需求？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715658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不能。它们是课程模拟甲方/招标人解释，用于消除歧义；原始需求书的明确强制要求优先，现实责任边界须再经教师/模拟甲方确认。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3CC46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不把课程模拟澄清说成现实合同、签章或法律文件。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56B3AE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C5AEB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Q-03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346B3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FR-02.3 与历史回放到底如何响应？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C5756C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FR-02.3 整体是★；历史回放子句为“宜支持”，但第 8.1(1) 与 FR-11.3 对回放接口提出强制响应。我们交付检索、回放和验证，不新建录像存储。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817165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 FR-02.3 整体降级，也不把既有录像存储静默转成我方新建责任。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25A7B3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F35DD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Q-04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F101C69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如何证明定位不会误导调派？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C8CF7E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我们保留来源时间和新鲜、过期、不可用三态。过期或不可用时不能自动产生邻近调派结论，必须人工核实。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951A5F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不承诺自建定位基站或超出甲方源数据精度的定位能力。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EDEA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1233D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Q-05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EE9FEF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消息的 20 路和 99% 如何验证？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08D146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在甲方提供的正常可用验收通道内，以 PE-04 的发送、回执和到达记录统计；失败有重试、留痕和人工降级。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34C59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不在未知通道配额、签名或网络条件下承诺无条件到达率。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634D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70599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Q-06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A44025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门禁远程开启如何保证安全？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9C0008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必须经授权人员确认，遵守既有安全联锁；记录操作人、时间和结果。无回执或联锁拒绝时立即告警并人工处置。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F01B8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不绕过门禁联锁，不自动重放高风险控制动作。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EF825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88721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Q-07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709C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H5 能否覆盖现场处置？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6F40CA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H5 覆盖事件上报、任务反馈、知识查询、演练、扫码打卡和物资盘点，并嵌入既有智慧管理 APP；兼容和桥接能力在 M2 按宿主和目标终端矩阵确认。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C60FEE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不承诺新建原生 Android/iOS APP 或假定宿主能力已具备。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F4EDD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30DE2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Q-08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2534D8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PE-01—PE-12 如何避免只写指标？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BE82DC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每项 PE 都有阈值、测试方法和证据索引。压测不只看平均响应，还看分位数、错误率、队列积压和资源水位。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57E6EF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不把投标阶段设计目标说成已完成现场性能验收。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B2274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86E31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Q-09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E0A0B1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半年演练频次如何落地？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93B91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系统支持月、季、年计划，用滚动六个月窗口核验适用对象；临近提醒、逾期、补演/整改、统计和报告全部留痕。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8A75E97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不新增原始需求之外的监管频率或替代甲方业务决策。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31EDB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38A3D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Q-10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31DBD5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工期和 M2 的关键门禁是什么？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975A49D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按 M1—M5 推进，M2 前必须完成视频和统一消息真实连通验证；资料、账号、环境或版本未齐备时进入问题和风险闭环。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1AEECB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不把甲方前置条件缺失时的风险转化为无条件工期承诺。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99F5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4F016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Q-11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0B0DAD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安全和验收如何保证？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AB417E1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应用侧落实等保二级相关控制、SCA、扫描、Web 渗透复测和高危清零；验收按文审、用例、性能、联动、安全和部署组织。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F2991B7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不替甲方承担最终定级、备案、基础设施合规或第三方测评采购。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37B1B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640B3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Q-12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9DBE99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AI 辅助开发如何防止幻觉和质量问题？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59061921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AI 输出先回指受控事实，再经人工评审、构建、测试、静态检查和 SCA；数字、★条款与范围边界由责任人确认并留痕。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F3CE9C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 AI 自主决策、免人工测试或以 AI 输出替代验收证据。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3"/>
        <w:gridCol w:w="2706"/>
        <w:gridCol w:w="2706"/>
        <w:gridCol w:w="2105"/>
      </w:tblGrid>
    </w:tbl>
    <w:p w14:paraId="27969743">
      <w:pPr>
        <w:pStyle w:val="2"/>
        <w:keepNext/>
        <w:pageBreakBefore/>
        <w:widowControl/>
      </w:pPr>
      <w:r>
        <w:t>第三部分 答辩组织与策略</w:t>
      </w:r>
    </w:p>
    <w:tbl>
      <w:tr w14:paraId="5A7BB0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8F39A6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环节</w:t>
            </w:r>
          </w:p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371A8CB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主述标人动作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8BB3A4C">
            <w:pPr>
              <w:spacing w:line="300" w:lineRule="auto"/>
            </w:pPr>
            <w:r>
              <w:rPr>
                <w:b/>
                <w:rFonts w:eastAsia="宋体" w:hint="eastAsia"/>
                <w:sz w:val="24"/>
                <w:szCs w:val="24"/>
                <w:color w:val="000000"/>
              </w:rPr>
              <w:t>支撑材料</w:t>
            </w:r>
          </w:p>
          <w:tcPr>
            <w:tcW w:w="2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D008337">
            <w:pPr>
              <w:spacing w:line="300" w:lineRule="auto"/>
            </w:pPr>
            <w:r>
              <w:rPr>
                <w:b/>
                <w:rFonts w:eastAsia="宋体"/>
                <w:sz w:val="24"/>
                <w:szCs w:val="24"/>
                <w:color w:val="000000"/>
              </w:rPr>
              <w:t>风险控制</w:t>
            </w:r>
          </w:p>
          <w:tcPr>
            <w:tcW w:w="2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rPr>
          <w:tblHeader/>
        </w:trPr>
      </w:tr>
      <w:tr w14:paraId="30CDB9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973DF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开场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650B59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先给出项目定位和边界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33D2F7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讲稿第 0:00—1:55 节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0180A65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不用口号替代范围说明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7D322C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E0CEBF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架构与技术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FAC019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用“闭环、边界、验证”解释方案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03662A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技术标第三至第五章、PE 表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AB44BBC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被追问时回到接口、降级和证据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3F483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B983B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实施与质量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0745121A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说明 M1—M5 和证据形成时点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AC9A344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项目计划、风险登记、技术标第八至第九章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38DA439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不将待验证事项表述为已完成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162A25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6A8059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模拟质询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66E23C7E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先回答事实，再说明验证或确认门槛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7B750668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本稿 Q-01—Q-12、澄清记录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51A74A2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不新增功能、数字或责任承诺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r w14:paraId="474A9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973F20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收尾</w:t>
            </w:r>
          </w:p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11BBEEE6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重申可验证交付与责任边界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40F0AC13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总结段</w:t>
            </w:r>
          </w:p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  <w:tc>
          <w:p w14:paraId="29406CBB">
            <w:pPr>
              <w:spacing w:line="300" w:lineRule="auto"/>
            </w:pPr>
            <w:r>
              <w:rPr>
                <w:b w:val="0"/>
                <w:rFonts w:eastAsia="宋体"/>
                <w:sz w:val="24"/>
                <w:szCs w:val="24"/>
                <w:color w:val="000000"/>
              </w:rPr>
              <w:t>不承诺超出招标范围的结果</w:t>
            </w:r>
          </w:p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</w:tc>
      </w:tr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3"/>
        <w:gridCol w:w="2706"/>
        <w:gridCol w:w="2706"/>
        <w:gridCol w:w="2105"/>
      </w:tblGrid>
    </w:tbl>
    <w:p w14:paraId="6C34374B">
      <w:pPr>
        <w:pStyle w:val="4"/>
        <w:keepNext/>
        <w:widowControl/>
      </w:pPr>
      <w:r>
        <w:t>排练与红线</w:t>
      </w:r>
    </w:p>
    <w:p w14:paraId="11C76511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正文按约 8 分钟设计；首次排练以 7 分 40 秒至 7 分 55 秒为目标，为停顿和追问预留时间。</w:t>
      </w:r>
    </w:p>
    <w:p w14:paraId="6EA03268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每个回答先给结论，再给依据；不确定的现场事实统一表述为“在 M2/M3/M4/M5 按受控计划和证据确认”。</w:t>
      </w:r>
    </w:p>
    <w:p w14:paraId="33BFD5FF">
      <w:pPr>
        <w:pStyle w:val="19"/>
        <w:spacing w:after="60" w:line="360" w:lineRule="auto"/>
      </w:pPr>
      <w:r>
        <w:rPr>
          <w:b w:val="0"/>
          <w:rFonts w:eastAsia="宋体"/>
          <w:sz w:val="24"/>
          <w:szCs w:val="24"/>
        </w:rPr>
        <w:t>不承诺标外功能、未冻结技术选型、未经验证的性能、既有系统改造、硬件采购、原生 APP 或现实法律效力。</w:t>
      </w:r>
    </w:p>
    <w:sectPr>
      <w:footerReference r:id="rId3" w:type="default"/>
      <w:docGrid w:linePitch="360" w:charSpace="0"/>
      <w:pgSz w:w="11906" w:h="16838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9CCD44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267"/>
    <w:rsid w:val="00016A52"/>
    <w:rsid w:val="000231C1"/>
    <w:rsid w:val="00310267"/>
    <w:rsid w:val="00855282"/>
    <w:rsid w:val="00E95834"/>
    <w:rsid w:val="3BCF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</w:style>
  <w:style w:type="paragraph" w:styleId="2">
    <w:name w:val="heading 1"/>
    <w:qFormat/>
    <w:uiPriority w:val="9"/>
    <w:pPr>
      <w:outlineLvl w:val="0"/>
    </w:pPr>
    <w:rPr>
      <w:color w:val="000000"/>
      <w:sz w:val="32"/>
      <w:szCs w:val="32"/>
    </w:rPr>
  </w:style>
  <w:style w:type="paragraph" w:styleId="3">
    <w:name w:val="heading 2"/>
    <w:link w:val="24"/>
    <w:unhideWhenUsed/>
    <w:qFormat/>
    <w:uiPriority w:val="9"/>
    <w:pPr>
      <w:outlineLvl w:val="1"/>
    </w:pPr>
    <w:rPr>
      <w:color w:val="000000"/>
      <w:sz w:val="26"/>
      <w:szCs w:val="26"/>
    </w:rPr>
  </w:style>
  <w:style w:type="paragraph" w:styleId="4">
    <w:name w:val="heading 3"/>
    <w:semiHidden/>
    <w:unhideWhenUsed/>
    <w:qFormat/>
    <w:uiPriority w:val="9"/>
    <w:pPr>
      <w:outlineLvl w:val="2"/>
    </w:pPr>
    <w:rPr>
      <w:color w:val="000000"/>
      <w:sz w:val="24"/>
      <w:szCs w:val="24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qFormat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footnote text"/>
    <w:link w:val="20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2">
    <w:name w:val="Title"/>
    <w:qFormat/>
    <w:uiPriority w:val="10"/>
    <w:rPr>
      <w:color w:val="000000"/>
      <w:sz w:val="56"/>
      <w:szCs w:val="56"/>
    </w:rPr>
  </w:style>
  <w:style w:type="character" w:styleId="15">
    <w:name w:val="endnote reference"/>
    <w:semiHidden/>
    <w:unhideWhenUsed/>
    <w:qFormat/>
    <w:uiPriority w:val="99"/>
    <w:rPr>
      <w:color w:val="000000"/>
      <w:vertAlign w:val="superscript"/>
    </w:rPr>
  </w:style>
  <w:style w:type="character" w:styleId="16">
    <w:name w:val="Hyperlink"/>
    <w:unhideWhenUsed/>
    <w:qFormat/>
    <w:uiPriority w:val="99"/>
    <w:rPr>
      <w:color w:val="000000"/>
      <w:u w:val="single"/>
    </w:rPr>
  </w:style>
  <w:style w:type="character" w:styleId="17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18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19">
    <w:name w:val="List Paragraph"/>
    <w:qFormat/>
    <w:uiPriority w:val="0"/>
    <w:rPr>
      <w:color w:val="000000"/>
    </w:rPr>
  </w:style>
  <w:style w:type="character" w:customStyle="1" w:styleId="20">
    <w:name w:val="脚注文本 字符"/>
    <w:link w:val="11"/>
    <w:semiHidden/>
    <w:unhideWhenUsed/>
    <w:qFormat/>
    <w:uiPriority w:val="99"/>
    <w:rPr>
      <w:color w:val="000000"/>
      <w:sz w:val="20"/>
      <w:szCs w:val="20"/>
    </w:rPr>
  </w:style>
  <w:style w:type="character" w:customStyle="1" w:styleId="21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2">
    <w:name w:val="页眉 字符"/>
    <w:basedOn w:val="14"/>
    <w:link w:val="10"/>
    <w:qFormat/>
    <w:uiPriority w:val="99"/>
    <w:rPr>
      <w:sz w:val="18"/>
      <w:szCs w:val="18"/>
    </w:rPr>
  </w:style>
  <w:style w:type="character" w:customStyle="1" w:styleId="23">
    <w:name w:val="页脚 字符"/>
    <w:basedOn w:val="14"/>
    <w:link w:val="9"/>
    <w:qFormat/>
    <w:uiPriority w:val="99"/>
    <w:rPr>
      <w:sz w:val="18"/>
      <w:szCs w:val="18"/>
    </w:rPr>
  </w:style>
  <w:style w:type="character" w:customStyle="1" w:styleId="24">
    <w:name w:val="标题 2 字符"/>
    <w:basedOn w:val="14"/>
    <w:link w:val="3"/>
    <w:qFormat/>
    <w:uiPriority w:val="9"/>
    <w:rPr>
      <w:color w:val="00000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331</Words>
  <Characters>1889</Characters>
  <Lines>15</Lines>
  <Paragraphs>4</Paragraphs>
  <TotalTime>6</TotalTime>
  <ScaleCrop>false</ScaleCrop>
  <LinksUpToDate>false</LinksUpToDate>
  <CharactersWithSpaces>2216</CharactersWithSpaces>
  <Application>WPS Office_12.1.0.22130_F1E327BC-269C-435d-A152-05C5408002CA</Application>
  <DocSecurity>0</DocSecurity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2026-08-14T14:45:00Z</ns1:created>
  <dc:creator>何思源</dc:creator>
  <ns0:lastModifiedBy>何思源</ns0:lastModifiedBy>
  <ns1:modified xsi:type="dcterms:W3CDTF">2026-09-12T17:37:36Z</ns1:modified>
  <dc:title>某自然博物馆智能运营中心建设项目——应急管理子系统述标答辩讲稿与策略</dc:title>
  <ns0:revision>2</ns0:revision>
  <dc:subject>述标讲稿、时间分配与答辩策略</dc:subject>
  <dc:description>第一关正式交付文档；业务内容沿用已审核口径。</dc:description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2052-12.1.0.22130</vt:lpwstr>
  </property>
  <property fmtid="{D5CDD505-2E9C-101B-9397-08002B2CF9AE}" pid="3" name="ICV">
    <vt:lpwstr>5D1C8097F15C4154A5E3DED64A6E4F39_13</vt:lpwstr>
  </property>
</Properties>
</file>