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before="400" ns0:after="0"/>
        <ns0:jc ns0:val="left"/>
      </ns0:pPr>
      <ns0:r>
        <ns0:t>文档编号：G1-05-BL-001        版本号：V1.2</ns0:t>
      </ns0:r>
    </ns0:p>
    <ns0:p>
      <ns0:pPr>
        <ns0:spacing ns0:before="640" ns0:after="0"/>
        <ns0:jc ns0:val="right"/>
      </ns0:pPr>
      <ns0:r>
        <ns0:rPr>
          <ns0:rFonts ns0:ascii="宋体" ns0:hAnsi="宋体" ns0:eastAsia="宋体"/>
          <ns0:b ns0:val="0"/>
          <ns0:sz ns0:val="22"/>
        </ns0:rPr>
        <ns0:t>密    级：课程模拟 · 补录</ns0:t>
      </ns0:r>
    </ns0:p>
    <ns0:p>
      <ns0:pPr>
        <ns0:spacing ns0:before="2100" ns0:after="160"/>
        <ns0:jc ns0:val="center"/>
        <ns0:pBdr>
          <ns0:bottom ns0:val="single" ns0:sz="12" ns0:space="1" ns0:color="000000"/>
        </ns0:pBdr>
      </ns0:pPr>
      <ns0:r>
        <ns0:rPr>
          <ns0:rFonts ns0:ascii="宋体" ns0:hAnsi="宋体" ns0:eastAsia="宋体"/>
          <ns0:b/>
          <ns0:sz ns0:val="42"/>
        </ns0:rPr>
        <ns0:t>某自然博物馆智能运营中心建设项目——应急管理子系统</ns0:t>
      </ns0:r>
    </ns0:p>
    <ns0:p>
      <ns0:pPr>
        <ns0:spacing ns0:before="720" ns0:after="240"/>
        <ns0:jc ns0:val="center"/>
      </ns0:pPr>
      <ns0:r>
        <ns0:rPr>
          <ns0:rFonts ns0:ascii="宋体" ns0:hAnsi="宋体" ns0:eastAsia="宋体"/>
          <ns0:b/>
          <ns0:sz ns0:val="50"/>
        </ns0:rPr>
        <ns0:t>澄清与质询记录</ns0:t>
      </ns0:r>
    </ns0:p>
    <ns0:p>
      <ns0:pPr>
        <ns0:spacing ns0:before="0" ns0:after="0"/>
        <ns0:jc ns0:val="center"/>
      </ns0:pPr>
      <ns0:r>
        <ns0:rPr>
          <ns0:rFonts ns0:ascii="宋体" ns0:hAnsi="宋体" ns0:eastAsia="宋体"/>
          <ns0:b ns0:val="0"/>
          <ns0:sz ns0:val="26"/>
        </ns0:rPr>
        <ns0:t>（课程模拟/补录）</ns0:t>
      </ns0:r>
    </ns0:p>
    <ns0:p>
      <ns0:pPr>
        <ns0:spacing ns0:before="24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编制单位：项目组【待人工确认】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编    制：何思源（补录）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审    核：严宇（技术确认/复核）【待人工确认】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核    验：任俊强（合规核验）【待人工确认】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补录日期：2026 年 9 月 12 日</ns0:t>
      </ns0:r>
    </ns0:p>
    <ns0:p>
      <ns0:r>
        <ns0:br ns0:type="page"/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修订记录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  <ns0:tblBorders>
          <ns0:top ns0:val="single" ns0:sz="6" ns0:space="0" ns0:color="7F8C8D"/>
          <ns0:left ns0:val="single" ns0:sz="6" ns0:space="0" ns0:color="7F8C8D"/>
          <ns0:bottom ns0:val="single" ns0:sz="6" ns0:space="0" ns0:color="7F8C8D"/>
          <ns0:right ns0:val="single" ns0:sz="6" ns0:space="0" ns0:color="7F8C8D"/>
          <ns0:insideH ns0:val="single" ns0:sz="6" ns0:space="0" ns0:color="7F8C8D"/>
          <ns0:insideV ns0:val="single" ns0:sz="6" ns0:space="0" ns0:color="7F8C8D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rPr>
          <ns0:trHeight ns0:hRule="atLeast" ns0:val="442"/>
          <ns0:tblHeader ns0:val="true"/>
          <ns0:tblHeader ns0:val="true"/>
          <ns0:tblHeader ns0:val="true"/>
          <ns0:tblHeader ns0:val="true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sz ns0:val="18"/>
              </ns0:rPr>
              <ns0:t>版本</ns0:t>
            </ns0:r>
          </ns0:p>
        </ns0:tc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sz ns0:val="18"/>
              </ns0:rPr>
              <ns0:t>日期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sz ns0:val="18"/>
              </ns0:rPr>
              <ns0:t>修订章节</ns0:t>
            </ns0:r>
          </ns0:p>
        </ns0:tc>
        <ns0:tc>
          <ns0:tcPr>
            <ns0:tcW ns0:type="dxa" ns0:w="4535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after="0" ns0:line="240" ns0:lineRule="auto" ns0:before="0"/>
              <ns0:jc ns0:val="left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sz ns0:val="18"/>
              </ns0:rPr>
              <ns0:t>修订说明</ns0:t>
            </ns0:r>
          </ns0:p>
        </ns0:tc>
        <ns0:tc>
          <ns0:tcPr>
            <ns0:tcW ns0:type="dxa" ns0:w="153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5F3"/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/>
                <ns0:sz ns0:val="18"/>
              </ns0:rPr>
            </ns0:r>
            <ns0:r>
              <ns0:rPr>
                <ns0:rFonts ns0:ascii="宋体" ns0:hAnsi="宋体" ns0:eastAsia="宋体"/>
                <ns0:b/>
                <ns0:sz ns0:val="18"/>
              </ns0:rPr>
              <ns0:t>编制/修订人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sz ns0:val="18"/>
              </ns0:rPr>
              <ns0:t>V1.0</ns0:t>
            </ns0:r>
          </ns0:p>
        </ns0:tc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sz ns0:val="18"/>
              </ns0:rPr>
              <ns0:t>2026-09-12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sz ns0:val="18"/>
              </ns0:rPr>
              <ns0:t>全文</ns0:t>
            </ns0:r>
          </ns0:p>
        </ns0:tc>
        <ns0:tc>
          <ns0:tcPr>
            <ns0:tcW ns0:type="dxa" ns0:w="4535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40" ns0:lineRule="auto" ns0:before="0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sz ns0:val="18"/>
              </ns0:rPr>
              <ns0:t>【补录】依据已归档的课程模拟书面裁决及冻结 Baseline，补齐缺失的正式候选交付物；不回溯虚构会议、签署或现场发言。</ns0:t>
            </ns0:r>
          </ns0:p>
        </ns0:tc>
        <ns0:tc>
          <ns0:tcPr>
            <ns0:tcW ns0:type="dxa" ns0:w="153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40" ns0:lineRule="auto" ns0:before="0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</ns0:r>
            <ns0:r>
              <ns0:rPr>
                <ns0:rFonts ns0:ascii="宋体" ns0:hAnsi="宋体" ns0:eastAsia="宋体"/>
                <ns0:b ns0:val="0"/>
                <ns0:sz ns0:val="18"/>
              </ns0:rPr>
              <ns0:t>何思源（补录）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封面及署名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完成正式交付物实名化和首轮格式规范化。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  <ns0:tr>
        <ns0:trPr>
          <ns0:trHeight ns0:hRule="atLeast" ns0:val="442"/>
        </ns0:trPr>
        <ns0:tc>
          <ns0:tcPr>
            <ns0:tcW ns0:type="dxa" ns0:w="964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type="dxa" ns0:w="124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type="dxa" ns0:w="1417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版式、图 1-1、修订记录</ns0:t>
            </ns0:r>
          </ns0:p>
        </ns0:tc>
        <ns0:tc>
          <ns0:tcPr>
            <ns0:tcW ns0:type="dxa" ns0:w="4535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按教学样例复核版式并以可编辑工程图替换流程占位表。</ns0:t>
            </ns0:r>
          </ns0:p>
        </ns0:tc>
        <ns0:tc>
          <ns0:tcPr>
            <ns0:tcW ns0:type="dxa" ns0:w="1531"/>
            <ns0:tcMar>
              <ns0:top ns0:w="80" ns0:type="dxa"/>
              <ns0:start ns0:w="80" ns0:type="dxa"/>
              <ns0:bottom ns0:w="80" ns0:type="dxa"/>
              <ns0:end ns0:w="80" ns0:type="dxa"/>
            </ns0:tcMar>
            <ns0:vAlign ns0:val="cente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</ns0:tr>
    </ns0:tbl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注：本文件补录的是课程项目的澄清与质询候选记录。表内“甲方/招标人（课程模拟）书面裁决”是当前 Baseline 的解释依据，不冒充现实单位签章、正式函件或法律文件。</ns0:t>
      </ns0:r>
    </ns0:p>
    <ns0:p>
      <ns0:r>
        <ns0:br ns0:type="page"/>
      </ns0:r>
    </ns0:p>
    <ns0:p>
      <ns0:pPr>
        <ns0:pStyle ns0:val="1"/>
      </ns0:pPr>
      <ns0:r>
        <ns0:t>1 说明</ns0:t>
      </ns0:r>
    </ns0:p>
    <ns0:p>
      <ns0:pPr>
        <ns0:spacing ns0:line="360" ns0:lineRule="auto" ns0:after="120"/>
        <ns0:ind ns0:firstLine="420"/>
      </ns0:pPr>
      <ns0:r>
        <ns0:rPr>
          <ns0:rFonts ns0:ascii="宋体" ns0:hAnsi="宋体" ns0:eastAsia="宋体"/>
          <ns0:sz ns0:val="21"/>
        </ns0:rPr>
        <ns0:t>本记录包括两部分：第一部分为课程模拟甲方/招标人书面裁决的补录归档；第二部分为依据已冻结方案形成的评委会质询问答（课程模拟/补录）。其用途是明确课程项目投标响应边界、责任分工和后续验证前提，供编制、复核与归档使用。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补录依据为已归档的课程模拟澄清记录、问题台账、冻结 Baseline、变更记录及 G1-04、G1-06、G1-07、技术标等工作成果。历史材料未提供完整的真实现场质询纪要，因此第3章不作为现实会议记录，也不附会议信息、真实人员、签字或现场发言。</ns0:t>
      </ns0:r>
    </ns0:p>
    <ns0:p>
      <ns0:pPr>
        <ns0:jc ns0:val="center"/>
      </ns0:pPr>
      <ns0:r>
        <ns0:rPr>
          <ns0:rFonts ns0:ascii="宋体" ns0:hAnsi="宋体" ns0:eastAsia="宋体"/>
          <ns0:b/>
          <ns0:sz ns0:val="21"/>
        </ns0:rPr>
        <ns0:t>澄清与质询闭环：事实可追溯、责任可核验</ns0:t>
      </ns0:r>
    </ns0:p>
    <ns0:p>
      <ns0:pPr>
        <ns0:jc ns0:val="center"/>
      </ns0:pPr>
      <ns0:r>
        <ns0:rPr>
          <ns0:rFonts ns0:ascii="宋体" ns0:hAnsi="宋体" ns0:eastAsia="宋体"/>
          <ns0:color ns0:val="A65700"/>
          <ns0:sz ns0:val="17"/>
        </ns0:rPr>
        <ns0:t>说明：本流程为补录文件的证据闭环，不表示存在真实现场会议、签署或甲方公文。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图1-1-澄清与质询闭环流程.png"/>
                    <pic:cNvPicPr/>
                  </pic:nvPicPr>
                  <pic:blipFill>
                    <a:blip ns2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图 1-1  澄清与质询闭环流程（课程模拟/补录）</ns0:t>
      </ns0:r>
    </ns0:p>
    <ns0:p>
      <ns0:pPr>
        <ns0:pStyle ns0:val="1"/>
      </ns0:pPr>
      <ns0:r>
        <ns0:t>2 书面澄清记录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以下12项均为【课程模拟甲方/招标人书面裁决】，用于解决课程项目需求歧义并构成当前 Baseline 的解释依据。</ns0:t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表 2-1  书面澄清记录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</ns0:tblPr>
      <ns0:tblGrid>
        <ns0:gridCol ns0:w="2256"/>
        <ns0:gridCol ns0:w="2256"/>
        <ns0:gridCol ns0:w="2256"/>
        <ns0:gridCol ns0:w="2256"/>
      </ns0:tblGrid>
      <ns0:tr>
        <ns0:trPr>
          <ns0:tblHeader ns0:val="true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编号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澄清问题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甲方/招标人（课程模拟）书面裁决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对投标方案的影响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CLR-001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历史录像回放及不少于30天保存责任如何划分？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历史录像回放按强制要求处理；既有视频系统负责录像存储及不少于30天保存。本项目负责 GB/T 28181 接入、实时调阅、历史回放和验证；既有系统不满足保存条件时，不转化为本项目新建录像存储责任。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方案保留视频接入、调阅、回放和验证；不将既有录像存储或改造扩入范围。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CLR-002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亚米级定位与≤2秒刷新由谁提供和保障？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甲方提供既有定位基础设施、接口及验收环境中的亚米级源数据；乙方负责接口适配、人员关联、楼层/坐标映射和≤2秒刷新展示，且不得降低源精度。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方案以既有定位源为输入，增加源/展示时间戳、坐标映射和刷新验证设计。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CLR-003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疏散门禁联动如何满足安全控制要求？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疏散门禁联动按强制“应支持”处理；仅由授权人员确认后下发，服从既有门禁安全联锁；完整记录操作人、时间和结果；失败时告警并人工降级，不绕过安全机制。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方案采用授权确认、幂等下发、回执审计、失败告警与人工处置衔接。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CLR-004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消息通道、并行发送和到达率的责任如何划分？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甲方提供既有统一消息/APP/SMS通道、账号、签名、配额及联调条件；乙方负责业务编排、≥20路并行、重试、回执、留痕和降级；≥99%到达率在正常甲方通道下验证。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方案保留消息编排、重试、回执和留痕；验收以正常既有通道为前提。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CLR-005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统一中台能力与本项目建设边界是什么？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甲方提供统一身份、组织/用户、权限、消息、工作流、文件、门户和数据汇聚等通用能力；乙方只做应急业务适配，不重复建设中台通用服务。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方案仅建设应急业务适配、映射、容错和降级，不重复建设通用中台。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CLR-006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地图资料、三维场景与测绘建模的责任如何划分？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甲方提供合法可用的二维/楼层地图及验收需要的既有三维地图、场景、地图服务和楼层/坐标关系；乙方负责加载、展示、标绘、拾取和业务叠加。新增测绘、从零三维建模及底图版权采购不在范围内。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方案落实地图加载、标绘、拾取和业务图层；不承诺测绘、建模或版权采购。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CLR-007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移动端采用何种交付形态，发布责任归谁？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移动端冻结为 H5 嵌入甲方现有智慧管理 APP；不单独建设原生 Android/iOS APP。乙方交付 H5、接口和集成说明，甲方负责宿主 APP、签名和发布。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方案按 Web+H5 实施，验收覆盖宿主内登录、消息、定位、扫码、拍照和上传。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CLR-008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离线部署的基础环境和软件部署责任如何划分？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甲方提供机房、服务器、网络、域名/证书、备份介质及后备电源等基础设施；乙方提供最低配置、端口/网络要求、容器化部署、初始化和恢复方案。不得据此虚构未确认的具体硬件配置。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方案提供环境前置清单、容器化部署和恢复设计；不虚构硬件规格。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CLR-009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初始化数据的真实性、处理和确认责任如何划分？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甲方提供真实业务源数据并负责业务正确性确认；乙方负责模板、映射、清洗、导入、技术校验和示例初始化；不得自行编造缺失业务数据，最终初始化结果双方确认。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方案增加模板、映射、清洗日志、导入校验和双方确认机制。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CLR-010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既有外部系统接口资料、环境和联调责任如何划分？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甲方负责协调视频、信息发布、入侵、门禁、消防、物联网、中台、消息等既有系统，提供文档、版本、账号、权限、测试环境和协调窗口；乙方负责适配、异常处理、联调和验证。视频与消息须在 M2 前完成真实连通验证。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计划将外部前置纳入接口台账；视频、消息在 M2 前形成连通验证证据。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CLR-011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等保相关应用控制、测试和第三方测评责任如何划分？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本项目按不低于等保二级相关应用控制要求设计；乙方负责应用侧安全控制、SCA、漏洞扫描和 Web 渗透复测，高危漏洞清零。正式定级备案、基础设施合规及正式第三方等保测评由甲方组织，第三方测评采购默认不在本项目范围。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方案保留应用安全控制和复测证据；不将定级、基础设施合规或第三方采购扩入范围。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CLR-012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项目和招标人应使用何种正式称谓？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统一采用匿名名称：“某自然博物馆智能运营中心建设项目——应急管理子系统”；招标人/甲方统一写“某自然博物馆”，不得虚构真实单位名称。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封面、正文和交付物统一采用匿名名称，删除或避免任何现实主体推断。</ns0:t>
            </ns0:r>
          </ns0:p>
        </ns0:tc>
      </ns0:tr>
    </ns0:tbl>
    <ns0:p>
      <ns0:pPr>
        <ns0:pStyle ns0:val="1"/>
      </ns0:pPr>
      <ns0:r>
        <ns0:t>3 评委会质询问答（课程模拟/补录）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本章系基于冻结 Baseline 和现有方案的课程模拟质询，不是现实评标现场的原始问答。回答仅说明设计边界、验证路径和证据要求；未形成的接口、环境、性能或现场证据仍须在实施阶段取得。</ns0:t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表 3-1  评委会质询问答（课程模拟/补录）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</ns0:tblPr>
      <ns0:tblGrid>
        <ns0:gridCol ns0:w="2256"/>
        <ns0:gridCol ns0:w="2256"/>
        <ns0:gridCol ns0:w="2256"/>
        <ns0:gridCol ns0:w="2256"/>
      </ns0:tblGrid>
      <ns0:tr>
        <ns0:trPr>
          <ns0:tblHeader ns0:val="true"/>
        </ns0:trP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编号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质询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答复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依据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Q-01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为什么不新建视频、定位、门禁等系统，如何保证联动成功？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这些均为甲方既有系统能力或基础设施。本项目承担接口适配、业务编排、授权控制、异常处置和联调验证，不替代既有系统建设。以接口契约、账号权限、测试环境和联调窗口为前置，按逐接口正常、异常、回执和人工降级用例形成证据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CLR-001/002/003/010；G1-04 技术方案接口与联动设计；G1-07 外部依赖风险。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Q-02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预案启动≤3秒、消息≥20路且到达率≥99%如何验证？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预案启动以服务端关键路径、状态写入、审计和结果回执为对象进行性能测试；消息以甲方提供的正常验收通道为前提，执行不少于20路并行发送、回执关联、失败重试和到达率统计。测试数据、时间戳、通道回执和异常记录形成验证证据，不能以模拟口头结论替代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关键数字与 CLR-004/010；G1-04 性能与消息设计；G1-06 M2 联调安排。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Q-03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亚米级定位并非乙方建设，如何证明系统没有降低精度？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验收环境中的亚米级源数据，乙方不对源定位设施作替代承诺。验证时比对源数据与展示数据的人员关联、楼层/坐标映射、时间戳和刷新间隔，确认展示链路≤2秒且无不合理精度截断、坐标偏移或错误转换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CLR-002；G1-04 定位与地图设计；G1-07 数据质量与外部依赖风险。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Q-04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视频回放与不少于30天保存的责任如何划分？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历史回放为强制响应；既有视频系统负责录像存储及不少于30天保存，本项目负责 GB/T 28181 接入、实时调阅、历史检索、回放和验证。验收中验证目录、鉴权、检索和跨30天回放能力；既有系统不满足保存前提不构成本项目新建存储责任。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CLR-001；G1-04 视频接入与验证设计；G1-06 接口联调计划。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Q-05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门禁远程开启如何避免形成安全风险？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系统只在授权人员确认后请求既有门禁执行，服从既有门禁安全联锁，不绕过现场安全机制。全过程记录操作人、时间、指令和结果；超时或失败立即告警，并转人工处置。验证覆盖权限、二次确认、幂等、回执、联锁和失败降级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CLR-003；G1-04 门禁联动与安全设计；G1-07 联动风险。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Q-06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外部系统或消息通道故障时，应急处置是否还能继续？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核心事件、预案、任务和处置状态在本项目边界内保持可追踪；外部调用采用超时、重试、幂等、回执和失败告警。消息或外部联动不可用时，系统保留待处理状态、提示人工联系或现场处置，不伪造已送达或已执行结果；恢复后按记录进行补偿或复核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CLR-003/004/005/010；G1-04 异常与降级设计；G1-07 风险登记。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Q-07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H5 而非原生 APP 是否满足 Android/iOS 和现场处置需求？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冻结交付形态是嵌入甲方现有智慧管理 APP 的 H5，不另建原生 APP。乙方交付 H5、业务接口和集成说明，甲方负责宿主、签名和发布；以甲方提供的宿主版本和终端矩阵验证登录、消息、定位、扫码、拍照、上传等现场流程。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CLR-007；G1-04 H5 方案；G1-06 联调与试运行计划。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Q-08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AI 辅助生成代码和文档，如何防止幻觉、错误承诺和质量问题？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课程项目中的 AI 辅助仅用于提高分析和编制效率，不替代需求、范围、关键数字和验收结论的人工核验。方案以冻结 Baseline 为约束，关键内容需回指需求、澄清或控制文件；未确认事实保留待确认标识，实施阶段仍以代码审查、测试、扫描和验收证据判定质量。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的变更与证据规则；G1-04 安全/验证设计；G1-06 质量活动；G1-07 风险控制。</ns0:t>
            </ns0:r>
          </ns0:p>
        </ns0:tc>
      </ns0:tr>
    </ns0:tbl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记录人：＿＿＿＿＿＿（【待人工确认】）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投标人代表确认：＿＿＿＿＿＿（【待人工确认】）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评委会代表确认：＿＿＿＿＿＿（【待人工确认】）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日期：＿＿＿＿＿＿（如有正式确认文件后补充；本补录不虚构日期）</ns0:t>
      </ns0:r>
    </ns0:p>
    <ns0:sectPr ns0:rsidR="00DF22D2">
      <ns0:footerReference ns0:type="default" ns2:id="rId8"/>
      <ns0:pgSz ns0:w="11906" ns0:h="16838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471A73FB" ns2:textId="77777777" ns0:rsidR="00E1578C" ns0:rsidRDefault="00E1578C">
      <ns0:r>
        <ns0:separator/>
      </ns0:r>
    </ns0:p>
  </ns0:endnote>
  <ns0:endnote ns0:type="continuationSeparator" ns0:id="0">
    <ns0:p ns2:paraId="21426328" ns2:textId="77777777" ns0:rsidR="00E1578C" ns0:rsidRDefault="00E1578C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BC19A13" ns2:textId="77777777" ns0:rsidR="00DF22D2" ns0:rsidRDefault="00C77AF5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5A6A8B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5DD9D99D" ns2:textId="77777777" ns0:rsidR="00E1578C" ns0:rsidRDefault="00E1578C">
      <ns0:r>
        <ns0:separator/>
      </ns0:r>
    </ns0:p>
  </ns0:footnote>
  <ns0:footnote ns0:type="continuationSeparator" ns0:id="0">
    <ns0:p ns2:paraId="4D2A1E6A" ns2:textId="77777777" ns0:rsidR="00E1578C" ns0:rsidRDefault="00E1578C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6ADE163B"/>
    <ns0:multiLevelType ns0:val="hybridMultilevel"/>
    <ns0:tmpl ns0:val="05B0820C"/>
    <ns0:lvl ns0:ilvl="0" ns0:tplc="8F1A50C0">
      <ns0:start ns0:val="1"/>
      <ns0:numFmt ns0:val="bullet"/>
      <ns0:lvlText ns0:val="●"/>
      <ns0:lvlJc ns0:val="left"/>
      <ns0:pPr>
        <ns0:ind ns0:left="720" ns0:hanging="360"/>
      </ns0:pPr>
    </ns0:lvl>
    <ns0:lvl ns0:ilvl="1" ns0:tplc="3C90CAC8">
      <ns0:start ns0:val="1"/>
      <ns0:numFmt ns0:val="bullet"/>
      <ns0:lvlText ns0:val="○"/>
      <ns0:lvlJc ns0:val="left"/>
      <ns0:pPr>
        <ns0:ind ns0:left="1440" ns0:hanging="360"/>
      </ns0:pPr>
    </ns0:lvl>
    <ns0:lvl ns0:ilvl="2" ns0:tplc="156635D2">
      <ns0:start ns0:val="1"/>
      <ns0:numFmt ns0:val="bullet"/>
      <ns0:lvlText ns0:val="■"/>
      <ns0:lvlJc ns0:val="left"/>
      <ns0:pPr>
        <ns0:ind ns0:left="2160" ns0:hanging="360"/>
      </ns0:pPr>
    </ns0:lvl>
    <ns0:lvl ns0:ilvl="3" ns0:tplc="2CEA8000">
      <ns0:start ns0:val="1"/>
      <ns0:numFmt ns0:val="bullet"/>
      <ns0:lvlText ns0:val="●"/>
      <ns0:lvlJc ns0:val="left"/>
      <ns0:pPr>
        <ns0:ind ns0:left="2880" ns0:hanging="360"/>
      </ns0:pPr>
    </ns0:lvl>
    <ns0:lvl ns0:ilvl="4" ns0:tplc="21E226BE">
      <ns0:start ns0:val="1"/>
      <ns0:numFmt ns0:val="bullet"/>
      <ns0:lvlText ns0:val="○"/>
      <ns0:lvlJc ns0:val="left"/>
      <ns0:pPr>
        <ns0:ind ns0:left="3600" ns0:hanging="360"/>
      </ns0:pPr>
    </ns0:lvl>
    <ns0:lvl ns0:ilvl="5" ns0:tplc="9D7C4C44">
      <ns0:start ns0:val="1"/>
      <ns0:numFmt ns0:val="bullet"/>
      <ns0:lvlText ns0:val="■"/>
      <ns0:lvlJc ns0:val="left"/>
      <ns0:pPr>
        <ns0:ind ns0:left="4320" ns0:hanging="360"/>
      </ns0:pPr>
    </ns0:lvl>
    <ns0:lvl ns0:ilvl="6" ns0:tplc="3982C2B4">
      <ns0:start ns0:val="1"/>
      <ns0:numFmt ns0:val="bullet"/>
      <ns0:lvlText ns0:val="●"/>
      <ns0:lvlJc ns0:val="left"/>
      <ns0:pPr>
        <ns0:ind ns0:left="5040" ns0:hanging="360"/>
      </ns0:pPr>
    </ns0:lvl>
    <ns0:lvl ns0:ilvl="7" ns0:tplc="2F063DE2">
      <ns0:start ns0:val="1"/>
      <ns0:numFmt ns0:val="bullet"/>
      <ns0:lvlText ns0:val="●"/>
      <ns0:lvlJc ns0:val="left"/>
      <ns0:pPr>
        <ns0:ind ns0:left="5760" ns0:hanging="360"/>
      </ns0:pPr>
    </ns0:lvl>
    <ns0:lvl ns0:ilvl="8" ns0:tplc="85E292AA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DF22D2"/>
    <ns0:rsid ns0:val="00427A7B"/>
    <ns0:rsid ns0:val="005A6A8B"/>
    <ns0:rsid ns0:val="00C77AF5"/>
    <ns0:rsid ns0:val="00DF22D2"/>
    <ns0:rsid ns0:val="00E1578C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2AE9B6CC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rPr>
      <ns0:color ns0:val="000000"/>
      <ns0:sz ns0:val="32"/>
      <ns0:szCs ns0:val="32"/>
    </ns0:rPr>
    <ns0:pPr>
      <ns0:outlineLvl ns0:val="0"/>
    </ns0:pPr>
  </ns0:style>
  <ns0:style ns0:type="paragraph" ns0:styleId="2">
    <ns0:name ns0:val="heading 2"/>
    <ns0:uiPriority ns0:val="9"/>
    <ns0:semiHidden/>
    <ns0:unhideWhenUsed/>
    <ns0:qFormat/>
    <ns0:rPr>
      <ns0:color ns0:val="000000"/>
      <ns0:sz ns0:val="26"/>
      <ns0:szCs ns0:val="26"/>
    </ns0:rPr>
    <ns0:pPr>
      <ns0:outlineLvl ns0:val="1"/>
    </ns0:pPr>
  </ns0:style>
  <ns0:style ns0:type="paragraph" ns0:styleId="3">
    <ns0:name ns0:val="heading 3"/>
    <ns0:uiPriority ns0:val="9"/>
    <ns0:semiHidden/>
    <ns0:unhideWhenUsed/>
    <ns0:qFormat/>
    <ns0:rPr>
      <ns0:color ns0:val="000000"/>
      <ns0:sz ns0:val="24"/>
      <ns0:szCs ns0:val="24"/>
    </ns0:rPr>
    <ns0:pPr>
      <ns0:outlineLvl ns0:val="2"/>
    </ns0:p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5A6A8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5A6A8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5A6A8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5A6A8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某自然博物馆智能运营中心建设项目——应急管理子系统澄清与质询记录</dc:title>
  <dc:creator>任俊强</dc:creator>
  <ns0:lastModifiedBy>何思源</ns0:lastModifiedBy>
  <ns0:revision>2</ns0:revision>
  <ns2:created xsi:type="dcterms:W3CDTF">2026-08-14T14:45:00Z</ns2:created>
  <ns2:modified xsi:type="dcterms:W3CDTF">2026-09-06T14:23:00Z</ns2:modified>
  <dc:subject>需求澄清与质询闭环记录</dc:subject>
  <dc:description>第一关正式交付文档；业务内容沿用已审核口径。</dc:description>
</ns0:coreProperties>
</file>