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15 w16se w16cid w16 w16cex w16sdtdh wp14">
  <ns0:body>
    <ns0:p>
      <ns0:pPr>
        <ns0:spacing ns0:before="0" ns0:after="60" ns0:line="300" ns0:lineRule="auto"/>
        <ns0:jc ns0:val="right"/>
      </ns0:pPr>
      <ns0:r>
        <ns0:t>文档编号：【待人工确认】　　版本号：V1.3</ns0:t>
      </ns0:r>
    </ns0:p>
    <ns0:p>
      <ns0:pPr>
        <ns0:spacing ns0:before="0" ns0:after="900" ns0:line="300" ns0:lineRule="auto"/>
        <ns0:jc ns0:val="right"/>
      </ns0:pPr>
      <ns0:r>
        <ns0:rPr>
          <ns0:rFonts ns0:ascii="宋体" ns0:hAnsi="宋体" ns0:eastAsia="宋体"/>
          <ns0:b ns0:val="0"/>
          <ns0:color ns0:val="000000"/>
          <ns0:sz ns0:val="24"/>
        </ns0:rPr>
        <ns0:t>密　　级：内部</ns0:t>
      </ns0:r>
    </ns0:p>
    <ns0:p>
      <ns0:pPr>
        <ns0:spacing ns0:before="0" ns0:after="20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44"/>
        </ns0:rPr>
        <ns0:t>某自然博物馆智能运营中心建设项目</ns0:t>
      </ns0:r>
    </ns0:p>
    <ns0:p>
      <ns0:pPr>
        <ns0:spacing ns0:before="0" ns0:after="36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44"/>
        </ns0:rPr>
        <ns0:t>应急管理子系统</ns0:t>
      </ns0:r>
    </ns0:p>
    <ns0:p>
      <ns0:pPr>
        <ns0:spacing ns0:before="0" ns0:after="104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56"/>
        </ns0:rPr>
        <ns0:t>风险登记册（v1）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编制单位：项目组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　　制：何思源（项目经理 PM / 总编）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审　　核：任俊强（计划完整性与一致性复核）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批　　准：【待人工确认】</ns0:t>
      </ns0:r>
    </ns0:p>
    <ns0:p>
      <ns0:pPr>
        <ns0:spacing ns0:before="0" ns0:after="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编制日期：2026 年 9 月 11 日</ns0:t>
      </ns0:r>
    </ns0:p>
    <ns0:p>
      <ns0:r>
        <ns0:br ns0:type="page"/>
      </ns0:r>
    </ns0:p>
    <ns0:p>
      <ns0:pPr>
        <ns0:spacing ns0:before="0" ns0:after="8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24"/>
        </ns0:rPr>
        <ns0:t>修订记录</ns0:t>
      </ns0:r>
    </ns0:p>
    <ns0:p>
      <ns0:pPr>
        <ns0:spacing ns0:before="0" ns0:after="100" ns0:line="240" ns0:lineRule="auto"/>
        <ns0:jc ns0:val="left"/>
      </ns0:pPr>
      <ns0:r>
        <ns0:rPr>
          <ns0:rFonts ns0:ascii="宋体" ns0:hAnsi="宋体" ns0:eastAsia="宋体"/>
          <ns0:b ns0:val="0"/>
          <ns0:color ns0:val="000000"/>
          <ns0:sz ns0:val="18"/>
        </ns0:rPr>
        <ns0:t>注：本表记录自初稿以来的全部版本沿革；风险状态、措施和关联证据的后续变化在本登记册版本中保留。</ns0:t>
      </ns0:r>
    </ns0:p>
    <ns0:tbl>
      <ns0:tblPr>
        <ns0:tblW ns0:type="dxa" ns0:w="9009"/>
        <ns0:tblLayout ns0:type="fixed"/>
        <ns0:tblLook ns0:firstColumn="1" ns0:firstRow="1" ns0:lastColumn="0" ns0:lastRow="0" ns0:noHBand="0" ns0:noVBand="1" ns0:val="04A0"/>
        <ns0:tblInd ns0:type="dxa" ns0:w="120"/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</ns0:tblPr>
      <ns0:tblGrid>
        <ns0:gridCol ns0:w="1514"/>
        <ns0:gridCol ns0:w="1531"/>
        <ns0:gridCol ns0:w="1480"/>
        <ns0:gridCol ns0:w="3010"/>
        <ns0:gridCol ns0:w="1474"/>
      </ns0:tblGrid>
      <ns0:tr>
        <ns0:trPr>
          <ns0:trHeight ns0:hRule="atLeast" ns0:val="442"/>
          <ns0:tblHeader ns0:val="true"/>
          <ns0:tblHeader ns0:val="true"/>
          <ns0:tblHeader ns0:val="true"/>
          <ns0:tblHeader ns0:val="true"/>
          <ns0:tblHeader ns0:val="true"/>
        </ns0:trPr>
        <ns0:tc>
          <ns0:tcPr>
            <ns0:tcW ns0:type="dxa" ns0:w="964"/>
            <ns0:vAlign ns0:val="center"/>
            <ns0:shd ns0:fill="D9E5F3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版本</ns0:t>
            </ns0:r>
          </ns0:p>
        </ns0:tc>
        <ns0:tc>
          <ns0:tcPr>
            <ns0:tcW ns0:type="dxa" ns0:w="1247"/>
            <ns0:vAlign ns0:val="center"/>
            <ns0:shd ns0:fill="D9E5F3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日期</ns0:t>
            </ns0:r>
          </ns0:p>
        </ns0:tc>
        <ns0:tc>
          <ns0:tcPr>
            <ns0:tcW ns0:type="dxa" ns0:w="1417"/>
            <ns0:vAlign ns0:val="center"/>
            <ns0:shd ns0:fill="D9E5F3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修订章节</ns0:t>
            </ns0:r>
          </ns0:p>
        </ns0:tc>
        <ns0:tc>
          <ns0:tcPr>
            <ns0:tcW ns0:type="dxa" ns0:w="4535"/>
            <ns0:vAlign ns0:val="center"/>
            <ns0:shd ns0:fill="D9E5F3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修订说明</ns0:t>
            </ns0:r>
          </ns0:p>
        </ns0:tc>
        <ns0:tc>
          <ns0:tcPr>
            <ns0:tcW ns0:type="dxa" ns0:w="1531"/>
            <ns0:vAlign ns0:val="center"/>
            <ns0:shd ns0:fill="D9E5F3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color ns0:val="000000"/>
                <ns0:sz ns0:val="18"/>
              </ns0:rPr>
              <ns0:t>编制/修订人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V1.0</ns0:t>
            </ns0:r>
          </ns0:p>
        </ns0:tc>
        <ns0:tc>
          <ns0:tcPr>
            <ns0:tcW ns0:type="dxa" ns0:w="1247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2026-09-11</ns0:t>
            </ns0:r>
          </ns0:p>
        </ns0:tc>
        <ns0:tc>
          <ns0:tcPr>
            <ns0:tcW ns0:type="dxa" ns0:w="1417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全文</ns0:t>
            </ns0:r>
          </ns0:p>
        </ns0:tc>
        <ns0:tc>
          <ns0:tcPr>
            <ns0:tcW ns0:type="dxa" ns0:w="45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基于冻结 Baseline、用户需求书、项目建议书、技术方案及待复核计划建立风险登记册 v1，提交 任俊强 复核。</ns0:t>
            </ns0:r>
          </ns0:p>
        </ns0:tc>
        <ns0:tc>
          <ns0:tcPr>
            <ns0:tcW ns0:type="dxa" ns0:w="1531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2026-09-11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风险关联与跟踪机制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按复核意见补齐计划联动、触发条件和关闭证据口径。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封面及署名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完成正式交付物实名化和首轮格式规范化。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V1.3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版式与修订记录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按教学样例逐项复核页面、表格与风险矩阵呈现。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</ns0:tbl>
    <ns0:p>
      <ns0:r>
        <ns0:br ns0:type="page"/>
      </ns0:r>
    </ns0:p>
    <ns0:p>
      <ns0:pPr>
        <ns0:pStyle ns0:val="1"/>
        <ns0:spacing ns0:before="240" ns0:after="120"/>
      </ns0:pPr>
      <ns0:r>
        <ns0:rPr>
          <ns0:rFonts ns0:ascii="黑体" ns0:hAnsi="黑体" ns0:eastAsia="黑体"/>
          <ns0:b/>
          <ns0:color ns0:val="000000"/>
          <ns0:sz ns0:val="30"/>
        </ns0:rPr>
        <ns0:t>1 风险清单</ns0:t>
      </ns0:r>
    </ns0:p>
    <ns0:p>
      <ns0:pPr>
        <ns0:spacing ns0:before="0"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ns0:t>
      </ns0:r>
    </ns0:p>
    <ns0:p>
      <ns0:pPr>
        <ns0:spacing ns0:before="0"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评分口径：概率与影响均采用 1 至 5 级；评分为概率乘以影响，1—4 为低、5—9 为中、10—16 为高、17—25 为极高。该分级服务于管理优先级，不替代验收结论。</ns0:t>
      </ns0:r>
    </ns0:p>
    <ns0:p>
      <ns0:pPr>
        <ns0:keepNext/>
        <ns0:jc ns0:val="center"/>
      </ns0:pPr>
      <ns0:r>
        <ns0:drawing>
          <ns2:inline>
            <ns2:extent cx="4855464" cy="3630168"/>
            <ns2:docPr id="1" name="图1-1 项目风险矩阵" title="图1-1 项目风险矩阵" descr="图1-1 项目风险矩阵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isk-matrix-4x3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4855464" cy="3630168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keepNext/>
        <ns0:spacing ns0:before="60" ns0:after="80" ns0:line="240" ns0:lineRule="auto"/>
        <ns0:jc ns0:val="center"/>
      </ns0:pPr>
      <ns0:r>
        <ns0:rPr>
          <ns0:rFonts ns0:ascii="宋体" ns0:hAnsi="宋体" ns0:eastAsia="宋体"/>
          <ns0:b/>
          <ns0:color ns0:val="000000"/>
          <ns0:sz ns0:val="18"/>
        </ns0:rPr>
        <ns0:t>图 1-1 风险矩阵（16 项风险的概率 × 影响分布）</ns0:t>
      </ns0:r>
    </ns0:p>
    <ns0:p>
      <ns0:pPr>
        <ns0:keepNext/>
        <ns0:spacing ns0:before="120" ns0:after="80" ns0:line="240" ns0:lineRule="auto"/>
        <ns0:jc ns0:val="center"/>
      </ns0:pPr>
      <ns0:r>
        <ns0:rPr>
          <ns0:rFonts ns0:ascii="黑体" ns0:hAnsi="黑体" ns0:eastAsia="黑体"/>
          <ns0:b/>
          <ns0:color ns0:val="000000"/>
          <ns0:sz ns0:val="18"/>
        </ns0:rPr>
        <ns0:t>表 1-1　风险登记与评估表</ns0:t>
      </ns0:r>
    </ns0:p>
    <ns0:tbl>
      <ns0:tblPr>
        <ns0:tblW ns0:type="dxa" ns0:w="9026"/>
        <ns0:tblLayout ns0:type="fixed"/>
        <ns0:tblLook ns0:firstColumn="1" ns0:firstRow="1" ns0:lastColumn="0" ns0:lastRow="0" ns0:noHBand="0" ns0:noVBand="1" ns0:val="04A0"/>
        <ns0:tblInd ns0:type="dxa" ns0:w="120"/>
      </ns0:tblPr>
      <ns0:tblGrid>
        <ns0:gridCol ns0:w="669"/>
        <ns0:gridCol ns0:w="2228"/>
        <ns0:gridCol ns0:w="765"/>
        <ns0:gridCol ns0:w="590"/>
        <ns0:gridCol ns0:w="590"/>
        <ns0:gridCol ns0:w="658"/>
        <ns0:gridCol ns0:w="2103"/>
        <ns0:gridCol ns0:w="765"/>
        <ns0:gridCol ns0:w="658"/>
      </ns0:tblGrid>
      <ns0:tr>
        <ns0:trPr>
          <ns0:tblHeader ns0:val="true"/>
        </ns0:trPr>
        <ns0:tc>
          <ns0:tcPr>
            <ns0:tcW ns0:type="dxa" ns0:w="669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编号</ns0:t>
            </ns0:r>
          </ns0:p>
        </ns0:tc>
        <ns0:tc>
          <ns0:tcPr>
            <ns0:tcW ns0:type="dxa" ns0:w="2228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风险描述</ns0:t>
            </ns0:r>
          </ns0:p>
        </ns0:tc>
        <ns0:tc>
          <ns0:tcPr>
            <ns0:tcW ns0:type="dxa" ns0:w="765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类别</ns0:t>
            </ns0:r>
          </ns0:p>
        </ns0:tc>
        <ns0:tc>
          <ns0:tcPr>
            <ns0:tcW ns0:type="dxa" ns0:w="590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概率</ns0:t>
            </ns0:r>
          </ns0:p>
        </ns0:tc>
        <ns0:tc>
          <ns0:tcPr>
            <ns0:tcW ns0:type="dxa" ns0:w="590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影响</ns0:t>
            </ns0:r>
          </ns0:p>
        </ns0:tc>
        <ns0:tc>
          <ns0:tcPr>
            <ns0:tcW ns0:type="dxa" ns0:w="658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等级</ns0:t>
            </ns0:r>
          </ns0:p>
        </ns0:tc>
        <ns0:tc>
          <ns0:tcPr>
            <ns0:tcW ns0:type="dxa" ns0:w="2103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应对措施</ns0:t>
            </ns0:r>
          </ns0:p>
        </ns0:tc>
        <ns0:tc>
          <ns0:tcPr>
            <ns0:tcW ns0:type="dxa" ns0:w="765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责任人</ns0:t>
            </ns0:r>
          </ns0:p>
        </ns0:tc>
        <ns0:tc>
          <ns0:tcPr>
            <ns0:tcW ns0:type="dxa" ns0:w="658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状态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RR-01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外部接口条件未按约具备，适配与联动验证延后。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逐接口清单、契约验证、模拟服务与书面升级。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RR-02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接口字段或状态语义不一致，事件与统计转换错误。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版本契约、模式校验、转换日志与人工核验。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RR-03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消息通道限流或回执不完整，通知到达率无法证明。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消息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16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真实通道验证、台账、幂等重试、补发与人工联系。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RR-04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视频目录、取流或回放不稳定，指挥端调阅受限。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视频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 前连通验证、适配封装、熔断与人工调阅。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RR-05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定位数据错配或漂移，一张图与打卡判断失真。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定位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现场标定、质量字段、最后位置与异常复核。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RR-06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基础数据或地图质量不足，初始化和空间叠加失败。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数据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16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模板、试导入、对账、隔离错误数据和人工复核。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任俊强/严宇/何思源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RR-07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宿主桥接或终端兼容不足，H5 移动业务中断。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H5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桥接与终端矩阵验证、能力检测、人工录入降级。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RR-08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峰值负载下链路排队或超时，性能指标不达标。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性能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容量测试、监测、优化、限流并保护核心链路。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RR-09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扫描或渗透测试发现高危漏洞或越权问题。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安全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最小权限、SCA、扫描、修复复测与发布冻结。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RR-10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隔离环境依赖或配置不兼容，部署和移植验收失败。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部署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离线制品、校验清单、干净环境验证和回滚。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RR-11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备份、网络或后备电源条件不足，恢复目标受影响。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连续性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恢复方案、健康检查、备份校验与恢复演练。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RR-12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未书面确认的需求或范围变化导致返工和承诺漂移。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范围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Baseline、RTM、书面变更及影响分析控制。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RR-13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关键路径或阻断项未关闭，正式里程碑可能受影响。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进度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完成证据周跟踪、偏差升级与变更控制。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RR-14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成员不可用或复核积压，交付与门禁失效。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人员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主责复核分离、交接、复核窗口与证据清单。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RR-15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AI 输出未经核验，产生错误实现、幻觉或证据链失真。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AI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来源回溯、人工复核、测试验证和不可信输出隔离。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何思源/严宇/任俊强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RR-16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需求、设计、测试和制品版本不一致，验收无法证明。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验收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双向追踪、配置审计、证据位置与交付包核对。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何思源/任俊强/严宇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</ns0:tbl>
    <ns0:p>
      <ns0:pPr>
        <ns0:sectPr>
          <ns0:footerReference ns0:type="default" ns5:id="rId8"/>
          <ns0:pgSz ns0:w="11906" ns0:h="16838"/>
          <ns0:pgMar ns0:top="1440" ns0:right="1440" ns0:bottom="1440" ns0:left="1440" ns0:header="708" ns0:footer="708" ns0:gutter="0"/>
          <ns0:cols ns0:space="720"/>
          <ns0:docGrid ns0:linePitch="360"/>
        </ns0:sectPr>
      </ns0:pPr>
    </ns0:p>
    <ns0:p>
      <ns0:pPr>
        <ns0:keepNext/>
        <ns0:spacing ns0:before="120" ns0:after="80" ns0:line="240" ns0:lineRule="auto"/>
        <ns0:jc ns0:val="center"/>
      </ns0:pPr>
      <ns0:r>
        <ns0:rPr>
          <ns0:rFonts ns0:ascii="黑体" ns0:hAnsi="黑体" ns0:eastAsia="黑体"/>
          <ns0:b/>
          <ns0:color ns0:val="000000"/>
          <ns0:sz ns0:val="18"/>
        </ns0:rPr>
        <ns0:t>表 1-2　风险触发、应对与关联表</ns0:t>
      </ns0:r>
    </ns0:p>
    <ns0:tbl>
      <ns0:tblPr>
        <ns0:tblW ns0:type="dxa" ns0:w="13889"/>
        <ns0:tblLayout ns0:type="fixed"/>
        <ns0:tblLook ns0:firstColumn="1" ns0:firstRow="1" ns0:lastColumn="0" ns0:lastRow="0" ns0:noHBand="0" ns0:noVBand="1" ns0:val="04A0"/>
        <ns0:tblInd ns0:type="dxa" ns0:w="120"/>
      </ns0:tblPr>
      <ns0:tblGrid>
        <ns0:gridCol ns0:w="624"/>
        <ns0:gridCol ns0:w="2324"/>
        <ns0:gridCol ns0:w="2324"/>
        <ns0:gridCol ns0:w="2494"/>
        <ns0:gridCol ns0:w="2494"/>
        <ns0:gridCol ns0:w="2835"/>
        <ns0:gridCol ns0:w="794"/>
      </ns0:tblGrid>
      <ns0:tr>
        <ns0:trPr>
          <ns0:tblHeader ns0:val="true"/>
        </ns0:trPr>
        <ns0:tc>
          <ns0:tcPr>
            <ns0:tcW ns0:type="dxa" ns0:w="62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编号</ns0:t>
            </ns0:r>
          </ns0:p>
        </ns0:tc>
        <ns0:tc>
          <ns0:tcPr>
            <ns0:tcW ns0:type="dxa" ns0:w="232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触发条件</ns0:t>
            </ns0:r>
          </ns0:p>
        </ns0:tc>
        <ns0:tc>
          <ns0:tcPr>
            <ns0:tcW ns0:type="dxa" ns0:w="232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可能后果</ns0:t>
            </ns0:r>
          </ns0:p>
        </ns0:tc>
        <ns0:tc>
          <ns0:tcPr>
            <ns0:tcW ns0:type="dxa" ns0:w="249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预防措施</ns0:t>
            </ns0:r>
          </ns0:p>
        </ns0:tc>
        <ns0:tc>
          <ns0:tcPr>
            <ns0:tcW ns0:type="dxa" ns0:w="249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应急措施</ns0:t>
            </ns0:r>
          </ns0:p>
        </ns0:tc>
        <ns0:tc>
          <ns0:tcPr>
            <ns0:tcW ns0:type="dxa" ns0:w="2835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WBS/里程碑/Issue 关联</ns0:t>
            </ns0:r>
          </ns0:p>
        </ns0:tc>
        <ns0:tc>
          <ns0:tcPr>
            <ns0:tcW ns0:type="dxa" ns0:w="79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状态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RR-01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资料、账号、授权、环境或窗口缺失。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 输入不完整、联调和验收延期。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接口清单、版本/权限/窗口确认、样例契约验证。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模拟服务推进；调整联调顺序；人工入口与书面升级。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3.3、3.7、3.8、4.9、4.10；M2、M5；历史 Issue 005、010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RR-02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字段、编码、时间戳或枚举变更；异常报文出现。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告警转事件、组织同步或统计错误。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版本化契约、模式校验、映射与转换日志。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隔离异常数据；兼容映射；人工核验队列。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3.3、4.9、4.10、5.1；M2、M3；历史 Issue 005、010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RR-03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回执缺失、限流、失败码不明或配额异常。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并行和到达率证据不足，关键通知延迟。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真实通道验证、台账、幂等键、重试与回执汇聚。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切换可用通道；补发；显示未送达对象并人工联系。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3.8、4.1、4.5、5.3；M2、M3；KN-006/007；历史 Issue 004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RR-04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目录不一致、取流失败、录像缺失或首帧异常。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无法及时调阅实时/历史录像，研判受限。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 前验证目录、取流、检索、回放与鉴权。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熔断故障通道；显示失败原因；人工调阅。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3.7、4.6、5.3；M2、M5；KN-010/060；历史 Issue 001、010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RR-05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坐标漂移、楼层错配、刷新抖动、离线比例升高。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人员位置错误、打卡争议、地图联动失败。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质量字段、控制点、现场标定和楼层映射验证。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显示新鲜度；降级最后位置/人员列表；异常复核。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3.2、4.3、4.6、5.3；M3；KN-008/009；历史 Issue 002、006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RR-06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真实源数据迟到、重复或缺关键字段/坐标；地图不兼容。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导入失败、统计错误、点位错位、验收数据不可确认。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模板、映射、试导入、技术对账和甲方业务确认。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错误清单分批修复；隔离不合格数据；人工补录复核。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3.2、4.12、5.2；M3、M5；历史 Issue 006、009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RR-07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宿主 API 缺失、权限受限、终端差异或弱网异常。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六类移动业务不能走通，现场反馈受阻。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桥接 API 与终端矩阵验证；能力检测与权限引导。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降级可用浏览器能力或人工录入；保留异常证据。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4.7、5.3；M3、M5；KN-015/036；历史 Issue 007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RR-08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队列积压、慢查询、地图卡顿或接口超时上升。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关键性能要求不达标，应急主链路受损。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按链路监测；容量/故障测试；优化索引、缓存和异步处理。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限制非关键刷新/图层；优先事件、任务、消息；复测。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4.11、5.3；M3、M5；KN-003、028、034—037。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RR-09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SCA、扫描或渗透测试发现高危、越权、注入或上传问题。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安全验收阻断，敏感数据或联动指令风险上升。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威胁建模、最小权限、服务端鉴权、输入校验和持续扫描。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冻结发布；修复复测；组件隔离缓解并登记。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3.4、5.4；M3、M5；KN-042/043/030；历史 Issue 011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RR-10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镜像导入失败、端口不通、证书/时间/组件版本不兼容。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容器化部署或可移植性验收失败。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离线制品、版本锁定、校验清单、等效干净环境验证。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使用已验证组合；差异记录和修复包；按方案回滚。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3.4、4.13、5.4；M3、M5；KN-005/065；历史 Issue 008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RR-11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后备电源、网络、备份介质未满足；恢复超时或数据不一致。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可用率/恢复目标不达标，运行记录可能缺失。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边界确认、健康检查、备份校验和恢复演练。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优先恢复事件、任务、消息和值班；人工处置补录。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3.4、4.11、6.5；M4、M5；KN-040/041；历史 Issue 008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RR-12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口头新增需求、范围外责任转移或验收条件临时增加。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返工、承诺漂移和追溯失效。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Baseline、SRS、RTM 和书面变更单；先做影响分析。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暂停受影响承诺；登记 Issue/Change；书面确认后升版。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1.4、2.1—2.5、5.2；M1—M5。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RR-13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关键路径完成判据未满足，输入迟到或阻断项未关闭。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M2、M3 或后续正式里程碑受影响。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周跟踪完成证据和偏差；关键前置检查；24 小时升级。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调整内部顺序并保护强制范围；正式里程碑变化走变更。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1.2、1.3、3.7、3.8、4.13、5.5、6.6、6.7；M2—M5。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RR-14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主责或复核人不可用，职责冲突或评审积压。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交付和独立复核延迟，门禁失效。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主责复核分离、优先级、交接和关闭证据清单。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重排并行项；增加书面交接和复核窗口；不复核不准出。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1.2、1.3；M1—M5。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RR-15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AI 输出无来源、与需求不一致或自动检查被误报为人工结论。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错误实现、幻觉、虚假证据或敏感数据泄露。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来源回溯、人工复核、测试验证、提示与证据受控。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隔离不可信输出；回滚受影响制品；更正证据并重新验证。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1.3、1.4、5.1—5.4；M1—M5；治理文件。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RR-16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RTM 缺项、文档制品版本不一致或测试证据不完整。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初验/竣工验收复验，交付包不可证明。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双向追踪、里程碑配置审计、版本与证据位置核对。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停止不完整提交；补齐追踪、测试和审计；重新验证。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1.3、1.4、2.4、5.1—5.5、6.6、6.7；M1—M5。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</ns0:tbl>
    <ns0:p>
      <ns0:pPr>
        <ns0:sectPr>
          <ns0:pgSz ns0:w="16838" ns0:h="11906" ns0:orient="landscape"/>
          <ns0:pgMar ns0:top="1440" ns0:right="1440" ns0:bottom="1440" ns0:left="1440" ns0:header="708" ns0:footer="708" ns0:gutter="0"/>
          <ns0:cols ns0:space="720"/>
          <ns0:docGrid ns0:linePitch="360"/>
        </ns0:sectPr>
      </ns0:pPr>
    </ns0:p>
    <ns0:p>
      <ns0:pPr>
        <ns0:pStyle ns0:val="1"/>
        <ns0:spacing ns0:before="240" ns0:after="120"/>
      </ns0:pPr>
      <ns0:r>
        <ns0:rPr>
          <ns0:rFonts ns0:ascii="黑体" ns0:hAnsi="黑体" ns0:eastAsia="黑体"/>
          <ns0:b/>
          <ns0:color ns0:val="000000"/>
          <ns0:sz ns0:val="30"/>
        </ns0:rPr>
        <ns0:t>2 跟踪机制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何思源 每周依据周报、接口前置条件、测试记录、数据对账、部署和运行证据更新风险状态、触发条件、责任人和措施有效性；重大风险在识别后 24 小时内书面报告甲方。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RR-01、RR-08、RR-10、RR-13 为极高风险，按周形成专项跟踪记录；触发后先保护事件、任务、消息和审计等核心链路，再评估对正式里程碑的影响。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视频、消息和接口风险在设计评审前必须形成真实连通性验证记录；模拟服务或自动检查结果不得写成真实连通结论。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数据、部署、安全、性能和验收风险分别以数据对账、干净环境部署、安全复测、性能实测和需求追踪证据作为关闭依据。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历史 Issue 的关闭仅表示需求解释已裁决。出现新的接口、环境、数据或验证问题时新建 Issue 或变更记录，不覆盖历史。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项目计划 v1 完成 任俊强 的 Review 前，所有标有“待计划 Review 后复核”的 WBS、阶段和资源关联由 何思源 与 任俊强 复核；本登记册不修改项目计划。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风险关闭必须同时具备触发条件解除或受控、措施执行证据、残余影响评估以及可回溯关联记录，并由相应责任人和复核人确认。</ns0:t>
      </ns0:r>
    </ns0:p>
    <ns0:sectPr ns0:rsidR="004979D7">
      <ns0:pgSz ns0:w="11906" ns0:h="16838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CF91AA1" ns2:textId="77777777" ns0:rsidR="00756839" ns0:rsidRDefault="00756839">
      <ns0:r>
        <ns0:separator/>
      </ns0:r>
    </ns0:p>
  </ns0:endnote>
  <ns0:endnote ns0:type="continuationSeparator" ns0:id="0">
    <ns0:p ns2:paraId="694800B5" ns2:textId="77777777" ns0:rsidR="00756839" ns0:rsidRDefault="00756839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0ED81D52" ns2:textId="77777777" ns0:rsidR="004979D7" ns0:rsidRDefault="00692DA2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8D06D0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13805DE6" ns2:textId="77777777" ns0:rsidR="00756839" ns0:rsidRDefault="00756839">
      <ns0:r>
        <ns0:separator/>
      </ns0:r>
    </ns0:p>
  </ns0:footnote>
  <ns0:footnote ns0:type="continuationSeparator" ns0:id="0">
    <ns0:p ns2:paraId="76464312" ns2:textId="77777777" ns0:rsidR="00756839" ns0:rsidRDefault="00756839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32732DB7"/>
    <ns0:multiLevelType ns0:val="hybridMultilevel"/>
    <ns0:tmpl ns0:val="095A071A"/>
    <ns0:lvl ns0:ilvl="0" ns0:tplc="C3FE71CE">
      <ns0:start ns0:val="1"/>
      <ns0:numFmt ns0:val="bullet"/>
      <ns0:lvlText ns0:val="●"/>
      <ns0:lvlJc ns0:val="left"/>
      <ns0:pPr>
        <ns0:ind ns0:left="720" ns0:hanging="360"/>
      </ns0:pPr>
    </ns0:lvl>
    <ns0:lvl ns0:ilvl="1" ns0:tplc="69D48304">
      <ns0:start ns0:val="1"/>
      <ns0:numFmt ns0:val="bullet"/>
      <ns0:lvlText ns0:val="○"/>
      <ns0:lvlJc ns0:val="left"/>
      <ns0:pPr>
        <ns0:ind ns0:left="1440" ns0:hanging="360"/>
      </ns0:pPr>
    </ns0:lvl>
    <ns0:lvl ns0:ilvl="2" ns0:tplc="B5808C2E">
      <ns0:start ns0:val="1"/>
      <ns0:numFmt ns0:val="bullet"/>
      <ns0:lvlText ns0:val="■"/>
      <ns0:lvlJc ns0:val="left"/>
      <ns0:pPr>
        <ns0:ind ns0:left="2160" ns0:hanging="360"/>
      </ns0:pPr>
    </ns0:lvl>
    <ns0:lvl ns0:ilvl="3" ns0:tplc="4CEEC7E6">
      <ns0:start ns0:val="1"/>
      <ns0:numFmt ns0:val="bullet"/>
      <ns0:lvlText ns0:val="●"/>
      <ns0:lvlJc ns0:val="left"/>
      <ns0:pPr>
        <ns0:ind ns0:left="2880" ns0:hanging="360"/>
      </ns0:pPr>
    </ns0:lvl>
    <ns0:lvl ns0:ilvl="4" ns0:tplc="470AA362">
      <ns0:start ns0:val="1"/>
      <ns0:numFmt ns0:val="bullet"/>
      <ns0:lvlText ns0:val="○"/>
      <ns0:lvlJc ns0:val="left"/>
      <ns0:pPr>
        <ns0:ind ns0:left="3600" ns0:hanging="360"/>
      </ns0:pPr>
    </ns0:lvl>
    <ns0:lvl ns0:ilvl="5" ns0:tplc="89D09948">
      <ns0:start ns0:val="1"/>
      <ns0:numFmt ns0:val="bullet"/>
      <ns0:lvlText ns0:val="■"/>
      <ns0:lvlJc ns0:val="left"/>
      <ns0:pPr>
        <ns0:ind ns0:left="4320" ns0:hanging="360"/>
      </ns0:pPr>
    </ns0:lvl>
    <ns0:lvl ns0:ilvl="6" ns0:tplc="E4901B32">
      <ns0:start ns0:val="1"/>
      <ns0:numFmt ns0:val="bullet"/>
      <ns0:lvlText ns0:val="●"/>
      <ns0:lvlJc ns0:val="left"/>
      <ns0:pPr>
        <ns0:ind ns0:left="5040" ns0:hanging="360"/>
      </ns0:pPr>
    </ns0:lvl>
    <ns0:lvl ns0:ilvl="7" ns0:tplc="94B4534E">
      <ns0:start ns0:val="1"/>
      <ns0:numFmt ns0:val="bullet"/>
      <ns0:lvlText ns0:val="●"/>
      <ns0:lvlJc ns0:val="left"/>
      <ns0:pPr>
        <ns0:ind ns0:left="5760" ns0:hanging="360"/>
      </ns0:pPr>
    </ns0:lvl>
    <ns0:lvl ns0:ilvl="8" ns0:tplc="368C2B84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4979D7"/>
    <ns0:rsid ns0:val="004979D7"/>
    <ns0:rsid ns0:val="00692DA2"/>
    <ns0:rsid ns0:val="00756839"/>
    <ns0:rsid ns0:val="008D06D0"/>
    <ns0:rsid ns0:val="00FC2F25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1B98F3B0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rPr>
      <ns0:color ns0:val="000000"/>
      <ns0:sz ns0:val="32"/>
      <ns0:szCs ns0:val="32"/>
    </ns0:rPr>
    <ns0:pPr>
      <ns0:outlineLvl ns0:val="0"/>
    </ns0:pPr>
  </ns0:style>
  <ns0:style ns0:type="paragraph" ns0:styleId="2">
    <ns0:name ns0:val="heading 2"/>
    <ns0:uiPriority ns0:val="9"/>
    <ns0:semiHidden/>
    <ns0:unhideWhenUsed/>
    <ns0:qFormat/>
    <ns0:rPr>
      <ns0:color ns0:val="000000"/>
      <ns0:sz ns0:val="26"/>
      <ns0:szCs ns0:val="26"/>
    </ns0:rPr>
    <ns0:pPr>
      <ns0:outlineLvl ns0:val="1"/>
    </ns0:pPr>
  </ns0:style>
  <ns0:style ns0:type="paragraph" ns0:styleId="3">
    <ns0:name ns0:val="heading 3"/>
    <ns0:uiPriority ns0:val="9"/>
    <ns0:semiHidden/>
    <ns0:unhideWhenUsed/>
    <ns0:qFormat/>
    <ns0:rPr>
      <ns0:color ns0:val="000000"/>
      <ns0:sz ns0:val="24"/>
      <ns0:szCs ns0:val="24"/>
    </ns0:rPr>
    <ns0:pPr>
      <ns0:outlineLvl ns0:val="2"/>
    </ns0:p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8D06D0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8D06D0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8D06D0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8D06D0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某自然博物馆智能运营中心建设项目——应急管理子系统风险登记册 v1</dc:title>
  <dc:creator>何思源</dc:creator>
  <ns0:lastModifiedBy>何思源</ns0:lastModifiedBy>
  <ns0:revision>2</ns0:revision>
  <ns2:created xsi:type="dcterms:W3CDTF">2026-08-14T14:45:00Z</ns2:created>
  <ns2:modified xsi:type="dcterms:W3CDTF">2026-09-06T14:24:00Z</ns2:modified>
  <dc:subject>第一关风险识别、评估与应对记录</dc:subject>
  <dc:description>第一关正式交付文档；业务内容沿用已审核口径。</dc:description>
</ns0:coreProperties>
</file>