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4AA6F">
      <w:pPr>
        <w:spacing w:after="60" w:line="300" w:lineRule="auto"/>
        <w:jc w:val="center"/>
      </w:pPr>
      <w:bookmarkStart w:id="0" w:name="_GoBack"/>
      <w:bookmarkEnd w:id="0"/>
      <w:r>
        <w:rPr>
          <w:rFonts w:ascii="Times New Roman" w:hAnsi="Times New Roman" w:eastAsia="宋体"/>
          <w:b w:val="0"/>
          <w:sz w:val="21"/>
        </w:rPr>
        <w:t>文档编号：03-G1-12　　　　　　版本号：V1.2</w:t>
      </w:r>
    </w:p>
    <w:p w14:paraId="6F903E69">
      <w:pPr>
        <w:spacing w:after="60" w:line="300" w:lineRule="auto"/>
        <w:jc w:val="right"/>
      </w:pPr>
      <w:r>
        <w:rPr>
          <w:rFonts w:ascii="Times New Roman" w:hAnsi="Times New Roman" w:eastAsia="宋体"/>
          <w:b w:val="0"/>
          <w:sz w:val="21"/>
        </w:rPr>
        <w:t>密　　级：内部·教学用</w:t>
      </w:r>
    </w:p>
    <w:p w14:paraId="596F61C8">
      <w:pPr>
        <w:spacing w:after="60" w:line="300" w:lineRule="auto"/>
      </w:pPr>
    </w:p>
    <w:p w14:paraId="45358F09">
      <w:pPr>
        <w:spacing w:after="6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某自然博物馆智能运营中心建设项目</w:t>
      </w:r>
    </w:p>
    <w:p w14:paraId="1BA44D9F">
      <w:pPr>
        <w:spacing w:after="6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应急管理子系统</w:t>
      </w:r>
    </w:p>
    <w:p w14:paraId="020B0800">
      <w:pPr>
        <w:spacing w:after="6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述标答辩讲稿与策略</w:t>
      </w:r>
    </w:p>
    <w:p w14:paraId="1625F3BB">
      <w:pPr>
        <w:spacing w:after="6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课程模拟</w:t>
      </w:r>
    </w:p>
    <w:p w14:paraId="59A005D7">
      <w:pPr>
        <w:spacing w:after="60" w:line="300" w:lineRule="auto"/>
      </w:pPr>
    </w:p>
    <w:p w14:paraId="1307E6DD">
      <w:pPr>
        <w:spacing w:after="6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编制单位：项目组【待人工确认】</w:t>
      </w:r>
    </w:p>
    <w:p w14:paraId="6E20CCFD">
      <w:pPr>
        <w:spacing w:after="6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编　　制：何思源（项目经理 PM）</w:t>
      </w:r>
    </w:p>
    <w:p w14:paraId="6153ED41">
      <w:pPr>
        <w:spacing w:after="6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审　　核：任俊强（合规与数字）</w:t>
      </w:r>
    </w:p>
    <w:p w14:paraId="7A41AEE1">
      <w:pPr>
        <w:spacing w:after="6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批　　准：【待人工确认】</w:t>
      </w:r>
    </w:p>
    <w:p w14:paraId="7B141AD5">
      <w:pPr>
        <w:spacing w:after="60" w:line="300" w:lineRule="auto"/>
      </w:pPr>
      <w:r>
        <w:br w:type="page"/>
      </w:r>
    </w:p>
    <w:p w14:paraId="243B98F9">
      <w:pPr>
        <w:spacing w:after="60" w:line="300" w:lineRule="auto"/>
      </w:pPr>
    </w:p>
    <w:p w14:paraId="56205E52">
      <w:pPr>
        <w:spacing w:after="60" w:line="300" w:lineRule="auto"/>
      </w:pPr>
    </w:p>
    <w:p w14:paraId="2EBC317E">
      <w:pPr>
        <w:spacing w:after="60" w:line="300" w:lineRule="auto"/>
      </w:pPr>
    </w:p>
    <w:p w14:paraId="7F9DF7C5">
      <w:pPr>
        <w:spacing w:after="60" w:line="300" w:lineRule="auto"/>
      </w:pPr>
    </w:p>
    <w:p w14:paraId="06D5688A">
      <w:pPr>
        <w:spacing w:after="60" w:line="300" w:lineRule="auto"/>
      </w:pPr>
    </w:p>
    <w:p w14:paraId="70939F42">
      <w:pPr>
        <w:spacing w:after="60" w:line="300" w:lineRule="auto"/>
      </w:pPr>
    </w:p>
    <w:p w14:paraId="4DC36357">
      <w:pPr>
        <w:spacing w:after="60" w:line="300" w:lineRule="auto"/>
      </w:pPr>
    </w:p>
    <w:p w14:paraId="113CEC8B">
      <w:pPr>
        <w:spacing w:after="60" w:line="300" w:lineRule="auto"/>
      </w:pPr>
    </w:p>
    <w:p w14:paraId="4127A841">
      <w:pPr>
        <w:spacing w:after="6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编制日期</w:t>
      </w:r>
    </w:p>
    <w:p w14:paraId="38E2FDDE">
      <w:pPr>
        <w:spacing w:before="400" w:after="6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2026 年 9 月 13 日</w:t>
      </w:r>
    </w:p>
    <w:p w14:paraId="458C938C">
      <w:pPr>
        <w:spacing w:before="720" w:after="6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适用阶段：第一关立项竞标最终返工</w:t>
      </w:r>
    </w:p>
    <w:p w14:paraId="11A07DC2">
      <w:pPr>
        <w:spacing w:after="60" w:line="300" w:lineRule="auto"/>
      </w:pPr>
      <w:r>
        <w:br w:type="page"/>
      </w:r>
    </w:p>
    <w:p w14:paraId="4F1F2D13">
      <w:pPr>
        <w:pStyle w:val="2"/>
        <w:keepNext/>
        <w:widowControl/>
        <w:jc w:val="center"/>
      </w:pPr>
      <w:r>
        <w:t>修订记录</w:t>
      </w:r>
    </w:p>
    <w:tbl>
      <w:tblPr>
        <w:tblStyle w:val="1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1805"/>
        <w:gridCol w:w="1805"/>
        <w:gridCol w:w="1805"/>
        <w:gridCol w:w="1805"/>
      </w:tblGrid>
      <w:tr w14:paraId="7D7AE1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4" w:type="dxa"/>
            <w:shd w:val="clear" w:color="auto" w:fill="D9E2F3"/>
            <w:vAlign w:val="center"/>
          </w:tcPr>
          <w:p w14:paraId="23093B5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版本</w:t>
            </w:r>
          </w:p>
        </w:tc>
        <w:tc>
          <w:tcPr>
            <w:tcW w:w="1361" w:type="dxa"/>
            <w:shd w:val="clear" w:color="auto" w:fill="D9E2F3"/>
            <w:vAlign w:val="center"/>
          </w:tcPr>
          <w:p w14:paraId="48F68D3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日期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3D90840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修订章节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5E3B68F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修订说明</w:t>
            </w:r>
          </w:p>
        </w:tc>
        <w:tc>
          <w:tcPr>
            <w:tcW w:w="1247" w:type="dxa"/>
            <w:shd w:val="clear" w:color="auto" w:fill="D9E2F3"/>
            <w:vAlign w:val="center"/>
          </w:tcPr>
          <w:p w14:paraId="24D0203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编制/修订人</w:t>
            </w:r>
          </w:p>
        </w:tc>
      </w:tr>
      <w:tr w14:paraId="4E623E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43CF7F3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V0.1</w:t>
            </w:r>
          </w:p>
        </w:tc>
        <w:tc>
          <w:tcPr>
            <w:tcW w:w="1361" w:type="dxa"/>
            <w:vAlign w:val="center"/>
          </w:tcPr>
          <w:p w14:paraId="79C1164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2026-09-12</w:t>
            </w:r>
          </w:p>
        </w:tc>
        <w:tc>
          <w:tcPr>
            <w:tcW w:w="1701" w:type="dxa"/>
            <w:vAlign w:val="center"/>
          </w:tcPr>
          <w:p w14:paraId="7F8F65F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全文</w:t>
            </w:r>
          </w:p>
        </w:tc>
        <w:tc>
          <w:tcPr>
            <w:tcW w:w="4535" w:type="dxa"/>
            <w:vAlign w:val="center"/>
          </w:tcPr>
          <w:p w14:paraId="7B7CE15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形成课程模拟述标稿与质询策略初稿。</w:t>
            </w:r>
          </w:p>
        </w:tc>
        <w:tc>
          <w:tcPr>
            <w:tcW w:w="1247" w:type="dxa"/>
            <w:vAlign w:val="center"/>
          </w:tcPr>
          <w:p w14:paraId="1315F12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何思源</w:t>
            </w:r>
          </w:p>
        </w:tc>
      </w:tr>
      <w:tr w14:paraId="4184B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1A0D6C1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V1.0</w:t>
            </w:r>
          </w:p>
        </w:tc>
        <w:tc>
          <w:tcPr>
            <w:tcW w:w="1361" w:type="dxa"/>
            <w:vAlign w:val="center"/>
          </w:tcPr>
          <w:p w14:paraId="35B5052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2026-09-12</w:t>
            </w:r>
          </w:p>
        </w:tc>
        <w:tc>
          <w:tcPr>
            <w:tcW w:w="1701" w:type="dxa"/>
            <w:vAlign w:val="center"/>
          </w:tcPr>
          <w:p w14:paraId="47F6B38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全文</w:t>
            </w:r>
          </w:p>
        </w:tc>
        <w:tc>
          <w:tcPr>
            <w:tcW w:w="4535" w:type="dxa"/>
            <w:vAlign w:val="center"/>
          </w:tcPr>
          <w:p w14:paraId="7C2AD73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通过严宇技术复核与任俊强合规复核，纳入第一关冻结。</w:t>
            </w:r>
          </w:p>
        </w:tc>
        <w:tc>
          <w:tcPr>
            <w:tcW w:w="1247" w:type="dxa"/>
            <w:vAlign w:val="center"/>
          </w:tcPr>
          <w:p w14:paraId="76436B4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何思源</w:t>
            </w:r>
          </w:p>
        </w:tc>
      </w:tr>
      <w:tr w14:paraId="2AB87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2C61263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V1.1</w:t>
            </w:r>
          </w:p>
        </w:tc>
        <w:tc>
          <w:tcPr>
            <w:tcW w:w="1361" w:type="dxa"/>
            <w:vAlign w:val="center"/>
          </w:tcPr>
          <w:p w14:paraId="5B3A3C6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2026-09-13</w:t>
            </w:r>
          </w:p>
        </w:tc>
        <w:tc>
          <w:tcPr>
            <w:tcW w:w="1701" w:type="dxa"/>
            <w:vAlign w:val="center"/>
          </w:tcPr>
          <w:p w14:paraId="5690B90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封面及署名</w:t>
            </w:r>
          </w:p>
        </w:tc>
        <w:tc>
          <w:tcPr>
            <w:tcW w:w="4535" w:type="dxa"/>
            <w:vAlign w:val="center"/>
          </w:tcPr>
          <w:p w14:paraId="2458BF0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完成正式交付物实名化和首轮格式规范化。</w:t>
            </w:r>
          </w:p>
        </w:tc>
        <w:tc>
          <w:tcPr>
            <w:tcW w:w="1247" w:type="dxa"/>
            <w:vAlign w:val="center"/>
          </w:tcPr>
          <w:p w14:paraId="34EBA5A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何思源</w:t>
            </w:r>
          </w:p>
        </w:tc>
      </w:tr>
      <w:tr w14:paraId="163459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50B2552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V1.2</w:t>
            </w:r>
          </w:p>
        </w:tc>
        <w:tc>
          <w:tcPr>
            <w:tcW w:w="1361" w:type="dxa"/>
            <w:vAlign w:val="center"/>
          </w:tcPr>
          <w:p w14:paraId="1F3CEFF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2026-09-13</w:t>
            </w:r>
          </w:p>
        </w:tc>
        <w:tc>
          <w:tcPr>
            <w:tcW w:w="1701" w:type="dxa"/>
            <w:vAlign w:val="center"/>
          </w:tcPr>
          <w:p w14:paraId="2F6DEC9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前置页、图 1-1、修订记录</w:t>
            </w:r>
          </w:p>
        </w:tc>
        <w:tc>
          <w:tcPr>
            <w:tcW w:w="4535" w:type="dxa"/>
            <w:vAlign w:val="center"/>
          </w:tcPr>
          <w:p w14:paraId="3BF047A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按教学样例重建独立日期页和修订记录页，补充可编辑时间分配图。</w:t>
            </w:r>
          </w:p>
        </w:tc>
        <w:tc>
          <w:tcPr>
            <w:tcW w:w="1247" w:type="dxa"/>
            <w:vAlign w:val="center"/>
          </w:tcPr>
          <w:p w14:paraId="096F557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何思源</w:t>
            </w:r>
          </w:p>
        </w:tc>
      </w:tr>
    </w:tbl>
    <w:p w14:paraId="54D834C0">
      <w:pPr>
        <w:spacing w:before="160" w:after="60" w:line="300" w:lineRule="auto"/>
      </w:pPr>
      <w:r>
        <w:rPr>
          <w:rFonts w:ascii="Times New Roman" w:hAnsi="Times New Roman" w:eastAsia="宋体"/>
          <w:b w:val="0"/>
          <w:sz w:val="21"/>
        </w:rPr>
        <w:t>注：V0.1 对应初稿提交；V1.0 对应 2026-09-12 技术与合规复核通过并纳入 BASELINE-V1.0；V1.1 对应 2026-09-13 实名化与首轮格式收口；V1.2 为本次有证据的格式返工。</w:t>
      </w:r>
    </w:p>
    <w:p w14:paraId="21AA3192">
      <w:pPr>
        <w:spacing w:after="60" w:line="300" w:lineRule="auto"/>
      </w:pPr>
      <w:r>
        <w:br w:type="page"/>
      </w:r>
    </w:p>
    <w:p w14:paraId="72ACDAAF">
      <w:pPr>
        <w:pStyle w:val="3"/>
        <w:keepNext/>
        <w:widowControl/>
      </w:pPr>
      <w:r>
        <w:t>第一部分 述标讲稿（约 8 分钟）</w:t>
      </w:r>
    </w:p>
    <w:p w14:paraId="0CA30C2F">
      <w:pPr>
        <w:keepNext/>
        <w:spacing w:after="60" w:line="300" w:lineRule="auto"/>
        <w:jc w:val="center"/>
      </w:pPr>
      <w:r>
        <w:drawing>
          <wp:inline distT="0" distB="0" distL="114300" distR="114300">
            <wp:extent cx="5939790" cy="1306195"/>
            <wp:effectExtent l="0" t="0" r="381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F5B8">
      <w:pPr>
        <w:keepNext/>
        <w:spacing w:after="6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1-1 述标 8 分钟时间分配总览</w:t>
      </w:r>
    </w:p>
    <w:p w14:paraId="2FADEBBD">
      <w:pPr>
        <w:pStyle w:val="4"/>
        <w:keepNext/>
        <w:widowControl/>
      </w:pPr>
      <w:r>
        <w:t>0:00—0:35 开场：一句话理解项目</w:t>
      </w:r>
    </w:p>
    <w:p w14:paraId="138DF33C">
      <w:pPr>
        <w:spacing w:after="60" w:line="300" w:lineRule="auto"/>
      </w:pPr>
      <w:r>
        <w:rPr>
          <w:rFonts w:ascii="Times New Roman" w:hAnsi="Times New Roman" w:eastAsia="宋体"/>
          <w:b w:val="0"/>
          <w:sz w:val="21"/>
        </w:rPr>
        <w:t>各位评委好。我们对本项目的理解是：以数字化应急预案为核心，以应急指挥中心为枢纽，以 H5 移动处置为延伸，把准备、预警、处置和改进连成可追溯闭环。我们不把它做成孤立平台，而是在不重复建设既有安防、视频、定位和中台能力的前提下，交付可验证的软件能力、接口适配和联动证据。</w:t>
      </w:r>
    </w:p>
    <w:p w14:paraId="1BA638DB">
      <w:pPr>
        <w:pStyle w:val="4"/>
        <w:keepNext/>
        <w:widowControl/>
      </w:pPr>
      <w:r>
        <w:t>0:35—1:55 需求理解：覆盖全流程，但不越界</w:t>
      </w:r>
    </w:p>
    <w:p w14:paraId="7E3A15F6">
      <w:pPr>
        <w:spacing w:after="60" w:line="300" w:lineRule="auto"/>
      </w:pPr>
      <w:r>
        <w:rPr>
          <w:rFonts w:ascii="Times New Roman" w:hAnsi="Times New Roman" w:eastAsia="宋体"/>
          <w:b w:val="0"/>
          <w:sz w:val="21"/>
        </w:rPr>
        <w:t>项目覆盖应急预案、指挥、资源、演练、事件、值班、基础管理、H5、应急信息视图、综合安防视图和数据接口共 11 个功能域，39 条功能需求中有 34 条★条款。我们把“响应”落实为设计、测试、联调和验收的双向追踪，不把方案描述当作现场已验收。</w:t>
      </w:r>
    </w:p>
    <w:p w14:paraId="660C326F">
      <w:pPr>
        <w:spacing w:after="60" w:line="300" w:lineRule="auto"/>
      </w:pPr>
      <w:r>
        <w:rPr>
          <w:rFonts w:ascii="Times New Roman" w:hAnsi="Times New Roman" w:eastAsia="宋体"/>
          <w:b w:val="0"/>
          <w:sz w:val="21"/>
        </w:rPr>
        <w:t>边界同样重要：既有视频、定位、门禁、消防、物联网、中台、地图和宿主 APP 由甲方提供相应基础能力、资料、账号、环境与协调窗口；我方负责应急业务适配、字段映射、容错、降级、联调、验证和留痕。H5 嵌入甲方现有智慧管理 APP，不另建原生 Android 或 iOS APP。课程模拟澄清只用于解释歧义，不能覆盖原始需求书的明确强制要求。</w:t>
      </w:r>
    </w:p>
    <w:p w14:paraId="3D901DD6">
      <w:pPr>
        <w:pStyle w:val="4"/>
        <w:keepNext/>
        <w:widowControl/>
      </w:pPr>
      <w:r>
        <w:t>1:55—3:25 总体方案：一套闭环，三类协同</w:t>
      </w:r>
    </w:p>
    <w:p w14:paraId="29AC469E">
      <w:pPr>
        <w:spacing w:after="60" w:line="300" w:lineRule="auto"/>
      </w:pPr>
      <w:r>
        <w:rPr>
          <w:rFonts w:ascii="Times New Roman" w:hAnsi="Times New Roman" w:eastAsia="宋体"/>
          <w:b w:val="0"/>
          <w:sz w:val="21"/>
        </w:rPr>
        <w:t>总体方案采用分层解耦架构：上层是 Web 指挥与管理端、嵌入式 H5；中层是预案、事件、任务、演练、值班和资源等业务服务；下层通过标准 REST API、OpenAPI 文档和适配器接入视频、定位、消息、门禁、地图、物联网和中台。外部调用统一具备版本、鉴权、追踪标识、幂等、超时、熔断和降级机制。</w:t>
      </w:r>
    </w:p>
    <w:p w14:paraId="51A1BBC3">
      <w:pPr>
        <w:spacing w:after="60" w:line="300" w:lineRule="auto"/>
      </w:pPr>
      <w:r>
        <w:rPr>
          <w:rFonts w:ascii="Times New Roman" w:hAnsi="Times New Roman" w:eastAsia="宋体"/>
          <w:b w:val="0"/>
          <w:sz w:val="21"/>
        </w:rPr>
        <w:t>我们用三类协同保证应急现场不断链：一是预案启动形成版本快照、任务台账和待发送消息，避免处置中被后续配置改写；二是事件、任务、消息和接口调用以 trace_id 与业务幂等键关联，回执乱序或恢复后可对账；三是地图或外部系统不可用时，界面明确标识异常，切换到列表、最后有效数据或人工处置，而不伪造实时状态。</w:t>
      </w:r>
    </w:p>
    <w:p w14:paraId="02C0C9B4">
      <w:pPr>
        <w:pStyle w:val="4"/>
        <w:keepNext/>
        <w:widowControl/>
      </w:pPr>
      <w:r>
        <w:t>3:25—5:20 关键技术：每项都有边界和验证</w:t>
      </w:r>
    </w:p>
    <w:p w14:paraId="6D6F2661">
      <w:pPr>
        <w:spacing w:after="60" w:line="300" w:lineRule="auto"/>
      </w:pPr>
      <w:r>
        <w:rPr>
          <w:rFonts w:ascii="Times New Roman" w:hAnsi="Times New Roman" w:eastAsia="宋体"/>
          <w:b w:val="0"/>
          <w:sz w:val="21"/>
        </w:rPr>
        <w:t>第一，视频能力。FR-02.3 整体保持★；其中历史回放子句为“宜支持”，但原始需求书第 8.1(1) 和 FR-11.3 对录像检索、历史回放提出强制接口响应。因此我们完成 GB/T 28181 接入、实时调阅、录像检索、历史回放、首帧和异常验证；不新建录像存储。视频调阅首帧对应 PE-06，要求不超过 3 秒。</w:t>
      </w:r>
    </w:p>
    <w:p w14:paraId="52AA9079">
      <w:pPr>
        <w:spacing w:after="60" w:line="300" w:lineRule="auto"/>
      </w:pPr>
      <w:r>
        <w:rPr>
          <w:rFonts w:ascii="Times New Roman" w:hAnsi="Times New Roman" w:eastAsia="宋体"/>
          <w:b w:val="0"/>
          <w:sz w:val="21"/>
        </w:rPr>
        <w:t>第二，定位与地图。甲方提供亚米级源数据和基础设施，我方保证接口、人员关联、楼层坐标映射、展示和不超过 2 秒的刷新，不降低源精度。系统把位置标识为新鲜、过期、不可用三态；过期或不可用位置不能自动生成邻近调派结论，必须人工核实。地图常规操作对应 PE-08，不超过 2 秒。</w:t>
      </w:r>
    </w:p>
    <w:p w14:paraId="3C784795">
      <w:pPr>
        <w:spacing w:after="60" w:line="300" w:lineRule="auto"/>
      </w:pPr>
      <w:r>
        <w:rPr>
          <w:rFonts w:ascii="Times New Roman" w:hAnsi="Times New Roman" w:eastAsia="宋体"/>
          <w:b w:val="0"/>
          <w:sz w:val="21"/>
        </w:rPr>
        <w:t>第三，消息与门禁。正常验收通道下，PE-04 要求不少于 20 路并行、到达率不低于 99%。我们区分平台受理、通道发送、到达和确认，失败按可重放和人工确认边界处理。门禁只在授权人员二次确认且既有安全联锁允许时下发；失败即告警并转人工处置，绝不绕过安全机制。</w:t>
      </w:r>
    </w:p>
    <w:p w14:paraId="14887EC3">
      <w:pPr>
        <w:spacing w:after="60" w:line="300" w:lineRule="auto"/>
      </w:pPr>
      <w:r>
        <w:rPr>
          <w:rFonts w:ascii="Times New Roman" w:hAnsi="Times New Roman" w:eastAsia="宋体"/>
          <w:b w:val="0"/>
          <w:sz w:val="21"/>
        </w:rPr>
        <w:t>第四，性能与演练。PE-01 至 PE-12 已逐项建立阈值、验证要点和内部台账映射，包括预案启动任务下发不超过 3 秒、告警输入响应不超过 2 秒、事件确认至任务下达不超过 3 分钟、峰值在线不少于 100 人等。演练管理支持月、季、年周期；对适用每半年至少一次的对象，以滚动六个月窗口判定，临近提醒、逾期标识、补演或整改、达标统计、豁免说明和报告均可追溯。</w:t>
      </w:r>
    </w:p>
    <w:p w14:paraId="455006D1">
      <w:pPr>
        <w:pStyle w:val="4"/>
        <w:keepNext/>
        <w:widowControl/>
      </w:pPr>
      <w:r>
        <w:t>5:20—6:35 实施与质量：以 M1—M5 和证据驱动</w:t>
      </w:r>
    </w:p>
    <w:p w14:paraId="0C0D7B43">
      <w:pPr>
        <w:spacing w:after="60" w:line="300" w:lineRule="auto"/>
      </w:pPr>
      <w:r>
        <w:rPr>
          <w:rFonts w:ascii="Times New Roman" w:hAnsi="Times New Roman" w:eastAsia="宋体"/>
          <w:b w:val="0"/>
          <w:sz w:val="21"/>
        </w:rPr>
        <w:t>项目按 M1 需求确认、M2 设计评审、M3 初验、M4 试运行、M5 竣工验收推进。视频和统一消息通道在 M2 前完成真实连通验证；若环境、账号、接口版本或数据条件不满足，按问题台账和风险登记处理，不把假定可用写成通过。M3 完成单元、集成、系统、性能、兼容与安全验证，M4 以试运行与演练记录检查运行准备度，M5 按文审、用例、性能、联动、安全和部署组织验收。</w:t>
      </w:r>
    </w:p>
    <w:p w14:paraId="4E5AE6AB">
      <w:pPr>
        <w:spacing w:after="60" w:line="300" w:lineRule="auto"/>
      </w:pPr>
      <w:r>
        <w:rPr>
          <w:rFonts w:ascii="Times New Roman" w:hAnsi="Times New Roman" w:eastAsia="宋体"/>
          <w:b w:val="0"/>
          <w:sz w:val="21"/>
        </w:rPr>
        <w:t>质量方面，我们以需求—设计—用例—结果—证据双向追踪。关键链路压测同时观察分位数、错误率、队列积压和资源水位；安全侧落实 SCA、漏洞扫描、Web 渗透复测和高危清零；风险侧重点管理外部接口、定位质量、消息通道、门禁联锁、容量与环境依赖。未具备现场条件的验证证据明确留待相应里程碑形成。</w:t>
      </w:r>
    </w:p>
    <w:p w14:paraId="21D52804">
      <w:pPr>
        <w:pStyle w:val="4"/>
        <w:keepNext/>
        <w:widowControl/>
      </w:pPr>
      <w:r>
        <w:t>6:35—7:25 AI 辅助开发策略：AI 提效，人工负责</w:t>
      </w:r>
    </w:p>
    <w:p w14:paraId="2F88746F">
      <w:pPr>
        <w:spacing w:after="60" w:line="300" w:lineRule="auto"/>
      </w:pPr>
      <w:r>
        <w:rPr>
          <w:rFonts w:ascii="Times New Roman" w:hAnsi="Times New Roman" w:eastAsia="宋体"/>
          <w:b w:val="0"/>
          <w:sz w:val="21"/>
        </w:rPr>
        <w:t>AI 只作为分析、编制、测试设计和一致性检查的辅助工具，不替代需求确认、架构决策、代码合并、测试准出和对外承诺。每一项数字、★条款和范围边界均回指需求书、冻结基线或受控台账；AI 产生的代码与文档进入人工评审、构建、单元测试、静态检查、SCA 和可追溯留痕。发现幻觉、无来源指标或冲突时，以原始需求书为准，进入 Issue 或变更流程，而不是临场解释或静默修改。</w:t>
      </w:r>
    </w:p>
    <w:p w14:paraId="42F51448">
      <w:pPr>
        <w:pStyle w:val="4"/>
        <w:keepNext/>
        <w:widowControl/>
      </w:pPr>
      <w:r>
        <w:t>7:25—8:00 总结</w:t>
      </w:r>
    </w:p>
    <w:p w14:paraId="18B8B45F">
      <w:pPr>
        <w:spacing w:after="60" w:line="300" w:lineRule="auto"/>
      </w:pPr>
      <w:r>
        <w:rPr>
          <w:rFonts w:ascii="Times New Roman" w:hAnsi="Times New Roman" w:eastAsia="宋体"/>
          <w:b w:val="0"/>
          <w:sz w:val="21"/>
        </w:rPr>
        <w:t>我们用三句话收束：第一，方案完整覆盖 11 个功能域和实质性条款，但不扩大既有系统建设责任；第二，视频、定位、消息、门禁、H5 和中台均有清晰的接口边界、降级机制和验证路径；第三，实施、质量与 AI 使用都以里程碑、人工门禁和证据为准。我们将以可审查、可验证、可追溯的方式交付本项目。谢谢各位评委。</w:t>
      </w:r>
    </w:p>
    <w:p w14:paraId="2695A5AB">
      <w:pPr>
        <w:pStyle w:val="3"/>
        <w:keepNext/>
        <w:widowControl/>
      </w:pPr>
      <w:r>
        <w:t>第二部分 模拟质询清单与标准回答</w:t>
      </w:r>
    </w:p>
    <w:tbl>
      <w:tblPr>
        <w:tblStyle w:val="1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6"/>
        <w:gridCol w:w="2256"/>
      </w:tblGrid>
      <w:tr w14:paraId="0F68B8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4" w:type="dxa"/>
            <w:shd w:val="clear" w:color="auto" w:fill="D9E2F3"/>
            <w:vAlign w:val="center"/>
          </w:tcPr>
          <w:p w14:paraId="20AD4B6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编号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207973A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模拟质询</w:t>
            </w:r>
          </w:p>
        </w:tc>
        <w:tc>
          <w:tcPr>
            <w:tcW w:w="4649" w:type="dxa"/>
            <w:shd w:val="clear" w:color="auto" w:fill="D9E2F3"/>
            <w:vAlign w:val="center"/>
          </w:tcPr>
          <w:p w14:paraId="260EF2A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标准口述回答</w:t>
            </w:r>
          </w:p>
        </w:tc>
        <w:tc>
          <w:tcPr>
            <w:tcW w:w="1814" w:type="dxa"/>
            <w:shd w:val="clear" w:color="auto" w:fill="D9E2F3"/>
            <w:vAlign w:val="center"/>
          </w:tcPr>
          <w:p w14:paraId="3C43EE1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不能承诺的红线</w:t>
            </w:r>
          </w:p>
        </w:tc>
      </w:tr>
      <w:tr w14:paraId="1140CB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4E63A54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Q-01</w:t>
            </w:r>
          </w:p>
        </w:tc>
        <w:tc>
          <w:tcPr>
            <w:tcW w:w="2268" w:type="dxa"/>
            <w:vAlign w:val="center"/>
          </w:tcPr>
          <w:p w14:paraId="111669D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为什么不新建视频、定位、门禁和中台？</w:t>
            </w:r>
          </w:p>
        </w:tc>
        <w:tc>
          <w:tcPr>
            <w:tcW w:w="4649" w:type="dxa"/>
            <w:vAlign w:val="center"/>
          </w:tcPr>
          <w:p w14:paraId="40D5FBD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本项目定位为应急管理软件与接口联动。既有系统由甲方提供基础能力，我方负责适配、联调、容错、验证和留痕；既有系统本体建设范围外不等于接口责任范围外。</w:t>
            </w:r>
          </w:p>
        </w:tc>
        <w:tc>
          <w:tcPr>
            <w:tcW w:w="1814" w:type="dxa"/>
            <w:vAlign w:val="center"/>
          </w:tcPr>
          <w:p w14:paraId="7D0D73B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不承诺新购硬件、改造既有系统或代替甲方提供接口环境。</w:t>
            </w:r>
          </w:p>
        </w:tc>
      </w:tr>
      <w:tr w14:paraId="2B80CA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17B55E3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Q-02</w:t>
            </w:r>
          </w:p>
        </w:tc>
        <w:tc>
          <w:tcPr>
            <w:tcW w:w="2268" w:type="dxa"/>
            <w:vAlign w:val="center"/>
          </w:tcPr>
          <w:p w14:paraId="75BD718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12 项澄清能否替代原始需求？</w:t>
            </w:r>
          </w:p>
        </w:tc>
        <w:tc>
          <w:tcPr>
            <w:tcW w:w="4649" w:type="dxa"/>
            <w:vAlign w:val="center"/>
          </w:tcPr>
          <w:p w14:paraId="5715658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不能。它们是课程模拟甲方/招标人解释，用于消除歧义；原始需求书的明确强制要求优先，现实责任边界须再经教师/模拟甲方确认。</w:t>
            </w:r>
          </w:p>
        </w:tc>
        <w:tc>
          <w:tcPr>
            <w:tcW w:w="1814" w:type="dxa"/>
            <w:vAlign w:val="center"/>
          </w:tcPr>
          <w:p w14:paraId="303CC46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不把课程模拟澄清说成现实合同、签章或法律文件。</w:t>
            </w:r>
          </w:p>
        </w:tc>
      </w:tr>
      <w:tr w14:paraId="56B3AE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75C5AEB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Q-03</w:t>
            </w:r>
          </w:p>
        </w:tc>
        <w:tc>
          <w:tcPr>
            <w:tcW w:w="2268" w:type="dxa"/>
            <w:vAlign w:val="center"/>
          </w:tcPr>
          <w:p w14:paraId="30346B3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FR-02.3 与历史回放到底如何响应？</w:t>
            </w:r>
          </w:p>
        </w:tc>
        <w:tc>
          <w:tcPr>
            <w:tcW w:w="4649" w:type="dxa"/>
            <w:vAlign w:val="center"/>
          </w:tcPr>
          <w:p w14:paraId="6C5756C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FR-02.3 整体是★；历史回放子句为“宜支持”，但第 8.1(1) 与 FR-11.3 对回放接口提出强制响应。我们交付检索、回放和验证，不新建录像存储。</w:t>
            </w:r>
          </w:p>
        </w:tc>
        <w:tc>
          <w:tcPr>
            <w:tcW w:w="1814" w:type="dxa"/>
            <w:vAlign w:val="center"/>
          </w:tcPr>
          <w:p w14:paraId="0817165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不把 FR-02.3 整体降级，也不把既有录像存储静默转成我方新建责任。</w:t>
            </w:r>
          </w:p>
        </w:tc>
      </w:tr>
      <w:tr w14:paraId="25A7B3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7BF35DD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Q-04</w:t>
            </w:r>
          </w:p>
        </w:tc>
        <w:tc>
          <w:tcPr>
            <w:tcW w:w="2268" w:type="dxa"/>
            <w:vAlign w:val="center"/>
          </w:tcPr>
          <w:p w14:paraId="5F101C6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如何证明定位不会误导调派？</w:t>
            </w:r>
          </w:p>
        </w:tc>
        <w:tc>
          <w:tcPr>
            <w:tcW w:w="4649" w:type="dxa"/>
            <w:vAlign w:val="center"/>
          </w:tcPr>
          <w:p w14:paraId="7C8CF7E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我们保留来源时间和新鲜、过期、不可用三态。过期或不可用时不能自动产生邻近调派结论，必须人工核实。</w:t>
            </w:r>
          </w:p>
        </w:tc>
        <w:tc>
          <w:tcPr>
            <w:tcW w:w="1814" w:type="dxa"/>
            <w:vAlign w:val="center"/>
          </w:tcPr>
          <w:p w14:paraId="4951A5F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不承诺自建定位基站或超出甲方源数据精度的定位能力。</w:t>
            </w:r>
          </w:p>
        </w:tc>
      </w:tr>
      <w:tr w14:paraId="7EDEA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171233D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Q-05</w:t>
            </w:r>
          </w:p>
        </w:tc>
        <w:tc>
          <w:tcPr>
            <w:tcW w:w="2268" w:type="dxa"/>
            <w:vAlign w:val="center"/>
          </w:tcPr>
          <w:p w14:paraId="2EE9FEF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消息的 20 路和 99% 如何验证？</w:t>
            </w:r>
          </w:p>
        </w:tc>
        <w:tc>
          <w:tcPr>
            <w:tcW w:w="4649" w:type="dxa"/>
            <w:vAlign w:val="center"/>
          </w:tcPr>
          <w:p w14:paraId="308D146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在甲方提供的正常可用验收通道内，以 PE-04 的发送、回执和到达记录统计；失败有重试、留痕和人工降级。</w:t>
            </w:r>
          </w:p>
        </w:tc>
        <w:tc>
          <w:tcPr>
            <w:tcW w:w="1814" w:type="dxa"/>
            <w:vAlign w:val="center"/>
          </w:tcPr>
          <w:p w14:paraId="234C599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不在未知通道配额、签名或网络条件下承诺无条件到达率。</w:t>
            </w:r>
          </w:p>
        </w:tc>
      </w:tr>
      <w:tr w14:paraId="634D91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1070599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Q-06</w:t>
            </w:r>
          </w:p>
        </w:tc>
        <w:tc>
          <w:tcPr>
            <w:tcW w:w="2268" w:type="dxa"/>
            <w:vAlign w:val="center"/>
          </w:tcPr>
          <w:p w14:paraId="2A44025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门禁远程开启如何保证安全？</w:t>
            </w:r>
          </w:p>
        </w:tc>
        <w:tc>
          <w:tcPr>
            <w:tcW w:w="4649" w:type="dxa"/>
            <w:vAlign w:val="center"/>
          </w:tcPr>
          <w:p w14:paraId="69C0008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必须经授权人员确认，遵守既有安全联锁；记录操作人、时间和结果。无回执或联锁拒绝时立即告警并人工处置。</w:t>
            </w:r>
          </w:p>
        </w:tc>
        <w:tc>
          <w:tcPr>
            <w:tcW w:w="1814" w:type="dxa"/>
            <w:vAlign w:val="center"/>
          </w:tcPr>
          <w:p w14:paraId="7F01B8B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不绕过门禁联锁，不自动重放高风险控制动作。</w:t>
            </w:r>
          </w:p>
        </w:tc>
      </w:tr>
      <w:tr w14:paraId="4EF825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0588721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Q-07</w:t>
            </w:r>
          </w:p>
        </w:tc>
        <w:tc>
          <w:tcPr>
            <w:tcW w:w="2268" w:type="dxa"/>
            <w:vAlign w:val="center"/>
          </w:tcPr>
          <w:p w14:paraId="11709C9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H5 能否覆盖现场处置？</w:t>
            </w:r>
          </w:p>
        </w:tc>
        <w:tc>
          <w:tcPr>
            <w:tcW w:w="4649" w:type="dxa"/>
            <w:vAlign w:val="center"/>
          </w:tcPr>
          <w:p w14:paraId="56F40CA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H5 覆盖事件上报、任务反馈、知识查询、演练、扫码打卡和物资盘点，并嵌入既有智慧管理 APP；兼容和桥接能力在 M2 按宿主和目标终端矩阵确认。</w:t>
            </w:r>
          </w:p>
        </w:tc>
        <w:tc>
          <w:tcPr>
            <w:tcW w:w="1814" w:type="dxa"/>
            <w:vAlign w:val="center"/>
          </w:tcPr>
          <w:p w14:paraId="4C60FEE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不承诺新建原生 Android/iOS APP 或假定宿主能力已具备。</w:t>
            </w:r>
          </w:p>
        </w:tc>
      </w:tr>
      <w:tr w14:paraId="7F4EDD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1830DE2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Q-08</w:t>
            </w:r>
          </w:p>
        </w:tc>
        <w:tc>
          <w:tcPr>
            <w:tcW w:w="2268" w:type="dxa"/>
            <w:vAlign w:val="center"/>
          </w:tcPr>
          <w:p w14:paraId="42534D8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PE-01—PE-12 如何避免只写指标？</w:t>
            </w:r>
          </w:p>
        </w:tc>
        <w:tc>
          <w:tcPr>
            <w:tcW w:w="4649" w:type="dxa"/>
            <w:vAlign w:val="center"/>
          </w:tcPr>
          <w:p w14:paraId="0BE82DC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每项 PE 都有阈值、测试方法和证据索引。压测不只看平均响应，还看分位数、错误率、队列积压和资源水位。</w:t>
            </w:r>
          </w:p>
        </w:tc>
        <w:tc>
          <w:tcPr>
            <w:tcW w:w="1814" w:type="dxa"/>
            <w:vAlign w:val="center"/>
          </w:tcPr>
          <w:p w14:paraId="557E6EF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不把投标阶段设计目标说成已完成现场性能验收。</w:t>
            </w:r>
          </w:p>
        </w:tc>
      </w:tr>
      <w:tr w14:paraId="1B227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2B86E31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Q-09</w:t>
            </w:r>
          </w:p>
        </w:tc>
        <w:tc>
          <w:tcPr>
            <w:tcW w:w="2268" w:type="dxa"/>
            <w:vAlign w:val="center"/>
          </w:tcPr>
          <w:p w14:paraId="0E0A0B1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半年演练频次如何落地？</w:t>
            </w:r>
          </w:p>
        </w:tc>
        <w:tc>
          <w:tcPr>
            <w:tcW w:w="4649" w:type="dxa"/>
            <w:vAlign w:val="center"/>
          </w:tcPr>
          <w:p w14:paraId="093B91B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系统支持月、季、年计划，用滚动六个月窗口核验适用对象；临近提醒、逾期、补演/整改、统计和报告全部留痕。</w:t>
            </w:r>
          </w:p>
        </w:tc>
        <w:tc>
          <w:tcPr>
            <w:tcW w:w="1814" w:type="dxa"/>
            <w:vAlign w:val="center"/>
          </w:tcPr>
          <w:p w14:paraId="58A75E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不新增原始需求之外的监管频率或替代甲方业务决策。</w:t>
            </w:r>
          </w:p>
        </w:tc>
      </w:tr>
      <w:tr w14:paraId="131EDB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5938A3D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Q-10</w:t>
            </w:r>
          </w:p>
        </w:tc>
        <w:tc>
          <w:tcPr>
            <w:tcW w:w="2268" w:type="dxa"/>
            <w:vAlign w:val="center"/>
          </w:tcPr>
          <w:p w14:paraId="531DBD5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工期和 M2 的关键门禁是什么？</w:t>
            </w:r>
          </w:p>
        </w:tc>
        <w:tc>
          <w:tcPr>
            <w:tcW w:w="4649" w:type="dxa"/>
            <w:vAlign w:val="center"/>
          </w:tcPr>
          <w:p w14:paraId="6975A49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按 M1—M5 推进，M2 前必须完成视频和统一消息真实连通验证；资料、账号、环境或版本未齐备时进入问题和风险闭环。</w:t>
            </w:r>
          </w:p>
        </w:tc>
        <w:tc>
          <w:tcPr>
            <w:tcW w:w="1814" w:type="dxa"/>
            <w:vAlign w:val="center"/>
          </w:tcPr>
          <w:p w14:paraId="01AEECB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不把甲方前置条件缺失时的风险转化为无条件工期承诺。</w:t>
            </w:r>
          </w:p>
        </w:tc>
      </w:tr>
      <w:tr w14:paraId="199F58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224F016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Q-11</w:t>
            </w:r>
          </w:p>
        </w:tc>
        <w:tc>
          <w:tcPr>
            <w:tcW w:w="2268" w:type="dxa"/>
            <w:vAlign w:val="center"/>
          </w:tcPr>
          <w:p w14:paraId="10B0DAD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安全和验收如何保证？</w:t>
            </w:r>
          </w:p>
        </w:tc>
        <w:tc>
          <w:tcPr>
            <w:tcW w:w="4649" w:type="dxa"/>
            <w:vAlign w:val="center"/>
          </w:tcPr>
          <w:p w14:paraId="7AB417E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应用侧落实等保二级相关控制、SCA、扫描、Web 渗透复测和高危清零；验收按文审、用例、性能、联动、安全和部署组织。</w:t>
            </w:r>
          </w:p>
        </w:tc>
        <w:tc>
          <w:tcPr>
            <w:tcW w:w="1814" w:type="dxa"/>
            <w:vAlign w:val="center"/>
          </w:tcPr>
          <w:p w14:paraId="0F2991B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不替甲方承担最终定级、备案、基础设施合规或第三方测评采购。</w:t>
            </w:r>
          </w:p>
        </w:tc>
      </w:tr>
      <w:tr w14:paraId="437B1B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48640B3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Q-12</w:t>
            </w:r>
          </w:p>
        </w:tc>
        <w:tc>
          <w:tcPr>
            <w:tcW w:w="2268" w:type="dxa"/>
            <w:vAlign w:val="center"/>
          </w:tcPr>
          <w:p w14:paraId="79DBE99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AI 辅助开发如何防止幻觉和质量问题？</w:t>
            </w:r>
          </w:p>
        </w:tc>
        <w:tc>
          <w:tcPr>
            <w:tcW w:w="4649" w:type="dxa"/>
            <w:vAlign w:val="center"/>
          </w:tcPr>
          <w:p w14:paraId="5906192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AI 输出先回指受控事实，再经人工评审、构建、测试、静态检查和 SCA；数字、★条款与范围边界由责任人确认并留痕。</w:t>
            </w:r>
          </w:p>
        </w:tc>
        <w:tc>
          <w:tcPr>
            <w:tcW w:w="1814" w:type="dxa"/>
            <w:vAlign w:val="center"/>
          </w:tcPr>
          <w:p w14:paraId="3F3CE9C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不承诺 AI 自主决策、免人工测试或以 AI 输出替代验收证据。</w:t>
            </w:r>
          </w:p>
        </w:tc>
      </w:tr>
    </w:tbl>
    <w:p w14:paraId="27969743">
      <w:pPr>
        <w:pStyle w:val="3"/>
        <w:keepNext/>
        <w:pageBreakBefore/>
        <w:widowControl/>
      </w:pPr>
      <w:r>
        <w:t>第三部分 答辩组织与策略</w:t>
      </w:r>
    </w:p>
    <w:tbl>
      <w:tblPr>
        <w:tblStyle w:val="1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6"/>
        <w:gridCol w:w="2256"/>
      </w:tblGrid>
      <w:tr w14:paraId="5A7BB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4" w:type="dxa"/>
            <w:shd w:val="clear" w:color="auto" w:fill="D9E2F3"/>
            <w:vAlign w:val="center"/>
          </w:tcPr>
          <w:p w14:paraId="0F8F39A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环节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7371A8C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主述标人动作</w:t>
            </w:r>
          </w:p>
        </w:tc>
        <w:tc>
          <w:tcPr>
            <w:tcW w:w="4649" w:type="dxa"/>
            <w:shd w:val="clear" w:color="auto" w:fill="D9E2F3"/>
            <w:vAlign w:val="center"/>
          </w:tcPr>
          <w:p w14:paraId="08BB3A4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支撑材料</w:t>
            </w:r>
          </w:p>
        </w:tc>
        <w:tc>
          <w:tcPr>
            <w:tcW w:w="1814" w:type="dxa"/>
            <w:shd w:val="clear" w:color="auto" w:fill="D9E2F3"/>
            <w:vAlign w:val="center"/>
          </w:tcPr>
          <w:p w14:paraId="0D00833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风险控制</w:t>
            </w:r>
          </w:p>
        </w:tc>
      </w:tr>
      <w:tr w14:paraId="30CDB9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7C973DF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开场</w:t>
            </w:r>
          </w:p>
        </w:tc>
        <w:tc>
          <w:tcPr>
            <w:tcW w:w="2268" w:type="dxa"/>
            <w:vAlign w:val="center"/>
          </w:tcPr>
          <w:p w14:paraId="4650B59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先给出项目定位和边界</w:t>
            </w:r>
          </w:p>
        </w:tc>
        <w:tc>
          <w:tcPr>
            <w:tcW w:w="4649" w:type="dxa"/>
            <w:vAlign w:val="center"/>
          </w:tcPr>
          <w:p w14:paraId="033D2F7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讲稿第 0:00—1:55 节</w:t>
            </w:r>
          </w:p>
        </w:tc>
        <w:tc>
          <w:tcPr>
            <w:tcW w:w="1814" w:type="dxa"/>
            <w:vAlign w:val="center"/>
          </w:tcPr>
          <w:p w14:paraId="10180A6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不用口号替代范围说明</w:t>
            </w:r>
          </w:p>
        </w:tc>
      </w:tr>
      <w:tr w14:paraId="7D322C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39E0CEB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架构与技术</w:t>
            </w:r>
          </w:p>
        </w:tc>
        <w:tc>
          <w:tcPr>
            <w:tcW w:w="2268" w:type="dxa"/>
            <w:vAlign w:val="center"/>
          </w:tcPr>
          <w:p w14:paraId="0FAC019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用“闭环、边界、验证”解释方案</w:t>
            </w:r>
          </w:p>
        </w:tc>
        <w:tc>
          <w:tcPr>
            <w:tcW w:w="4649" w:type="dxa"/>
            <w:vAlign w:val="center"/>
          </w:tcPr>
          <w:p w14:paraId="603662A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技术标第三至第五章、PE 表</w:t>
            </w:r>
          </w:p>
        </w:tc>
        <w:tc>
          <w:tcPr>
            <w:tcW w:w="1814" w:type="dxa"/>
            <w:vAlign w:val="center"/>
          </w:tcPr>
          <w:p w14:paraId="7AB44BB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被追问时回到接口、降级和证据</w:t>
            </w:r>
          </w:p>
        </w:tc>
      </w:tr>
      <w:tr w14:paraId="3F483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34B983B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实施与质量</w:t>
            </w:r>
          </w:p>
        </w:tc>
        <w:tc>
          <w:tcPr>
            <w:tcW w:w="2268" w:type="dxa"/>
            <w:vAlign w:val="center"/>
          </w:tcPr>
          <w:p w14:paraId="0745121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说明 M1—M5 和证据形成时点</w:t>
            </w:r>
          </w:p>
        </w:tc>
        <w:tc>
          <w:tcPr>
            <w:tcW w:w="4649" w:type="dxa"/>
            <w:vAlign w:val="center"/>
          </w:tcPr>
          <w:p w14:paraId="3AC9A34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项目计划、风险登记、技术标第八至第九章</w:t>
            </w:r>
          </w:p>
        </w:tc>
        <w:tc>
          <w:tcPr>
            <w:tcW w:w="1814" w:type="dxa"/>
            <w:vAlign w:val="center"/>
          </w:tcPr>
          <w:p w14:paraId="38DA439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不将待验证事项表述为已完成</w:t>
            </w:r>
          </w:p>
        </w:tc>
      </w:tr>
      <w:tr w14:paraId="162A25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5D6A805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模拟质询</w:t>
            </w:r>
          </w:p>
        </w:tc>
        <w:tc>
          <w:tcPr>
            <w:tcW w:w="2268" w:type="dxa"/>
            <w:vAlign w:val="center"/>
          </w:tcPr>
          <w:p w14:paraId="66E23C7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先回答事实，再说明验证或确认门槛</w:t>
            </w:r>
          </w:p>
        </w:tc>
        <w:tc>
          <w:tcPr>
            <w:tcW w:w="4649" w:type="dxa"/>
            <w:vAlign w:val="center"/>
          </w:tcPr>
          <w:p w14:paraId="7B75066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本稿 Q-01—Q-12、澄清记录</w:t>
            </w:r>
          </w:p>
        </w:tc>
        <w:tc>
          <w:tcPr>
            <w:tcW w:w="1814" w:type="dxa"/>
            <w:vAlign w:val="center"/>
          </w:tcPr>
          <w:p w14:paraId="451A74A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不新增功能、数字或责任承诺</w:t>
            </w:r>
          </w:p>
        </w:tc>
      </w:tr>
      <w:tr w14:paraId="474A91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04973F2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收尾</w:t>
            </w:r>
          </w:p>
        </w:tc>
        <w:tc>
          <w:tcPr>
            <w:tcW w:w="2268" w:type="dxa"/>
            <w:vAlign w:val="center"/>
          </w:tcPr>
          <w:p w14:paraId="11BBEEE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重申可验证交付与责任边界</w:t>
            </w:r>
          </w:p>
        </w:tc>
        <w:tc>
          <w:tcPr>
            <w:tcW w:w="4649" w:type="dxa"/>
            <w:vAlign w:val="center"/>
          </w:tcPr>
          <w:p w14:paraId="40F0AC1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总结段</w:t>
            </w:r>
          </w:p>
        </w:tc>
        <w:tc>
          <w:tcPr>
            <w:tcW w:w="1814" w:type="dxa"/>
            <w:vAlign w:val="center"/>
          </w:tcPr>
          <w:p w14:paraId="29406CB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不承诺超出招标范围的结果</w:t>
            </w:r>
          </w:p>
        </w:tc>
      </w:tr>
    </w:tbl>
    <w:p w14:paraId="6C34374B">
      <w:pPr>
        <w:pStyle w:val="4"/>
        <w:keepNext/>
        <w:widowControl/>
      </w:pPr>
      <w:r>
        <w:t>排练与红线</w:t>
      </w:r>
    </w:p>
    <w:p w14:paraId="11C76511">
      <w:pPr>
        <w:pStyle w:val="19"/>
        <w:spacing w:after="60" w:line="300" w:lineRule="auto"/>
      </w:pPr>
      <w:r>
        <w:rPr>
          <w:rFonts w:ascii="Times New Roman" w:hAnsi="Times New Roman" w:eastAsia="宋体"/>
          <w:b w:val="0"/>
          <w:sz w:val="21"/>
        </w:rPr>
        <w:t>正文按约 8 分钟设计；首次排练以 7 分 40 秒至 7 分 55 秒为目标，为停顿和追问预留时间。</w:t>
      </w:r>
    </w:p>
    <w:p w14:paraId="6EA03268">
      <w:pPr>
        <w:pStyle w:val="19"/>
        <w:spacing w:after="60" w:line="300" w:lineRule="auto"/>
      </w:pPr>
      <w:r>
        <w:rPr>
          <w:rFonts w:ascii="Times New Roman" w:hAnsi="Times New Roman" w:eastAsia="宋体"/>
          <w:b w:val="0"/>
          <w:sz w:val="21"/>
        </w:rPr>
        <w:t>每个回答先给结论，再给依据；不确定的现场事实统一表述为“在 M2/M3/M4/M5 按受控计划和证据确认”。</w:t>
      </w:r>
    </w:p>
    <w:p w14:paraId="33BFD5FF">
      <w:pPr>
        <w:pStyle w:val="19"/>
        <w:spacing w:after="60" w:line="300" w:lineRule="auto"/>
      </w:pPr>
      <w:r>
        <w:rPr>
          <w:rFonts w:ascii="Times New Roman" w:hAnsi="Times New Roman" w:eastAsia="宋体"/>
          <w:b w:val="0"/>
          <w:sz w:val="21"/>
        </w:rPr>
        <w:t>不承诺标外功能、未冻结技术选型、未经验证的性能、既有系统改造、硬件采购、原生 APP 或现实法律效力。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9CCD44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 xml:space="preserve">PAGE</w:instrText>
    </w:r>
    <w:r>
      <w:rPr>
        <w:color w:val="000000"/>
        <w:sz w:val="18"/>
        <w:szCs w:val="18"/>
      </w:rPr>
      <w:fldChar w:fldCharType="separate"/>
    </w:r>
    <w:r>
      <w:rPr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267"/>
    <w:rsid w:val="00016A52"/>
    <w:rsid w:val="000231C1"/>
    <w:rsid w:val="00310267"/>
    <w:rsid w:val="00855282"/>
    <w:rsid w:val="00E95834"/>
    <w:rsid w:val="3BCF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</w:style>
  <w:style w:type="paragraph" w:styleId="2">
    <w:name w:val="heading 1"/>
    <w:qFormat/>
    <w:uiPriority w:val="9"/>
    <w:rPr>
      <w:color w:val="000000"/>
      <w:sz w:val="32"/>
      <w:szCs w:val="32"/>
    </w:rPr>
    <w:pPr>
      <w:outlineLvl w:val="0"/>
    </w:pPr>
  </w:style>
  <w:style w:type="paragraph" w:styleId="3">
    <w:name w:val="heading 2"/>
    <w:link w:val="24"/>
    <w:unhideWhenUsed/>
    <w:qFormat/>
    <w:uiPriority w:val="9"/>
    <w:rPr>
      <w:color w:val="000000"/>
      <w:sz w:val="26"/>
      <w:szCs w:val="26"/>
    </w:rPr>
    <w:pPr>
      <w:outlineLvl w:val="1"/>
    </w:pPr>
  </w:style>
  <w:style w:type="paragraph" w:styleId="4">
    <w:name w:val="heading 3"/>
    <w:semiHidden/>
    <w:unhideWhenUsed/>
    <w:qFormat/>
    <w:uiPriority w:val="9"/>
    <w:rPr>
      <w:color w:val="000000"/>
      <w:sz w:val="24"/>
      <w:szCs w:val="24"/>
    </w:rPr>
    <w:pPr>
      <w:outlineLvl w:val="2"/>
    </w:p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cs="Times New Roman" w:eastAsiaTheme="minorEastAsia"/>
      <w:i/>
      <w:iCs/>
      <w:color w:val="000000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cs="Times New Roman" w:eastAsiaTheme="minorEastAsia"/>
      <w:color w:val="000000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cs="Times New Roman" w:eastAsiaTheme="minorEastAsia"/>
      <w:color w:val="000000"/>
      <w:lang w:val="en-US" w:eastAsia="zh-CN" w:bidi="ar-SA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1"/>
    <w:semiHidden/>
    <w:unhideWhenUsed/>
    <w:qFormat/>
    <w:uiPriority w:val="99"/>
    <w:rPr>
      <w:rFonts w:ascii="Times New Roman" w:hAnsi="Times New Roman" w:cs="Times New Roman" w:eastAsiaTheme="minorEastAsia"/>
      <w:color w:val="000000"/>
      <w:lang w:val="en-US" w:eastAsia="zh-CN" w:bidi="ar-SA"/>
    </w:rPr>
  </w:style>
  <w:style w:type="paragraph" w:styleId="9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footnote text"/>
    <w:link w:val="20"/>
    <w:semiHidden/>
    <w:unhideWhenUsed/>
    <w:uiPriority w:val="99"/>
    <w:rPr>
      <w:rFonts w:ascii="Times New Roman" w:hAnsi="Times New Roman" w:cs="Times New Roman" w:eastAsiaTheme="minorEastAsia"/>
      <w:color w:val="000000"/>
      <w:lang w:val="en-US" w:eastAsia="zh-CN" w:bidi="ar-SA"/>
    </w:rPr>
  </w:style>
  <w:style w:type="paragraph" w:styleId="12">
    <w:name w:val="Title"/>
    <w:qFormat/>
    <w:uiPriority w:val="10"/>
    <w:rPr>
      <w:color w:val="000000"/>
      <w:sz w:val="56"/>
      <w:szCs w:val="56"/>
    </w:rPr>
  </w:style>
  <w:style w:type="character" w:styleId="15">
    <w:name w:val="endnote reference"/>
    <w:semiHidden/>
    <w:unhideWhenUsed/>
    <w:qFormat/>
    <w:uiPriority w:val="99"/>
    <w:rPr>
      <w:color w:val="000000"/>
      <w:vertAlign w:val="superscript"/>
    </w:rPr>
  </w:style>
  <w:style w:type="character" w:styleId="16">
    <w:name w:val="Hyperlink"/>
    <w:unhideWhenUsed/>
    <w:qFormat/>
    <w:uiPriority w:val="99"/>
    <w:rPr>
      <w:color w:val="000000"/>
      <w:u w:val="single"/>
    </w:rPr>
  </w:style>
  <w:style w:type="character" w:styleId="17">
    <w:name w:val="footnote reference"/>
    <w:semiHidden/>
    <w:unhideWhenUsed/>
    <w:uiPriority w:val="99"/>
    <w:rPr>
      <w:color w:val="000000"/>
      <w:vertAlign w:val="superscript"/>
    </w:rPr>
  </w:style>
  <w:style w:type="paragraph" w:customStyle="1" w:styleId="18">
    <w:name w:val="要点1"/>
    <w:qFormat/>
    <w:uiPriority w:val="0"/>
    <w:rPr>
      <w:rFonts w:ascii="Times New Roman" w:hAnsi="Times New Roman" w:cs="Times New Roman" w:eastAsiaTheme="minorEastAsia"/>
      <w:b/>
      <w:bCs/>
      <w:color w:val="000000"/>
      <w:lang w:val="en-US" w:eastAsia="zh-CN" w:bidi="ar-SA"/>
    </w:rPr>
  </w:style>
  <w:style w:type="paragraph" w:styleId="19">
    <w:name w:val="List Paragraph"/>
    <w:qFormat/>
    <w:uiPriority w:val="0"/>
    <w:rPr>
      <w:color w:val="000000"/>
    </w:rPr>
  </w:style>
  <w:style w:type="character" w:customStyle="1" w:styleId="20">
    <w:name w:val="脚注文本 字符"/>
    <w:link w:val="11"/>
    <w:semiHidden/>
    <w:unhideWhenUsed/>
    <w:qFormat/>
    <w:uiPriority w:val="99"/>
    <w:rPr>
      <w:color w:val="000000"/>
      <w:sz w:val="20"/>
      <w:szCs w:val="20"/>
    </w:rPr>
  </w:style>
  <w:style w:type="character" w:customStyle="1" w:styleId="21">
    <w:name w:val="尾注文本 字符"/>
    <w:link w:val="8"/>
    <w:semiHidden/>
    <w:unhideWhenUsed/>
    <w:qFormat/>
    <w:uiPriority w:val="99"/>
    <w:rPr>
      <w:color w:val="000000"/>
      <w:sz w:val="20"/>
      <w:szCs w:val="20"/>
    </w:rPr>
  </w:style>
  <w:style w:type="character" w:customStyle="1" w:styleId="22">
    <w:name w:val="页眉 字符"/>
    <w:basedOn w:val="14"/>
    <w:link w:val="10"/>
    <w:qFormat/>
    <w:uiPriority w:val="99"/>
    <w:rPr>
      <w:sz w:val="18"/>
      <w:szCs w:val="18"/>
    </w:rPr>
  </w:style>
  <w:style w:type="character" w:customStyle="1" w:styleId="23">
    <w:name w:val="页脚 字符"/>
    <w:basedOn w:val="14"/>
    <w:link w:val="9"/>
    <w:qFormat/>
    <w:uiPriority w:val="99"/>
    <w:rPr>
      <w:sz w:val="18"/>
      <w:szCs w:val="18"/>
    </w:rPr>
  </w:style>
  <w:style w:type="character" w:customStyle="1" w:styleId="24">
    <w:name w:val="标题 2 字符"/>
    <w:basedOn w:val="14"/>
    <w:link w:val="3"/>
    <w:qFormat/>
    <w:uiPriority w:val="9"/>
    <w:rPr>
      <w:color w:val="000000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331</Words>
  <Characters>1889</Characters>
  <Lines>15</Lines>
  <Paragraphs>4</Paragraphs>
  <TotalTime>6</TotalTime>
  <ScaleCrop>false</ScaleCrop>
  <LinksUpToDate>false</LinksUpToDate>
  <CharactersWithSpaces>2216</CharactersWithSpaces>
  <Application>WPS Office_12.1.0.22130_F1E327BC-269C-435d-A152-05C5408002CA</Application>
  <DocSecurity>0</DocSecurity>
</Properties>
</file>

<file path=docProps/core.xml><?xml version="1.0" encoding="utf-8"?>
<ns0:coreProperties xmlns:dc="http://purl.org/dc/elements/1.1/" xmlns:ns0="http://schemas.openxmlformats.org/package/2006/metadata/core-properties" xmlns:ns1="http://purl.org/dc/terms/" xmlns:xsi="http://www.w3.org/2001/XMLSchema-instance">
  <ns1:created xsi:type="dcterms:W3CDTF">2026-08-14T14:45:00Z</ns1:created>
  <dc:creator>何思源</dc:creator>
  <ns0:lastModifiedBy>何思源</ns0:lastModifiedBy>
  <ns1:modified xsi:type="dcterms:W3CDTF">2026-09-12T17:37:36Z</ns1:modified>
  <dc:title>某自然博物馆智能运营中心建设项目——应急管理子系统述标答辩讲稿与策略</dc:title>
  <ns0:revision>2</ns0:revision>
  <dc:subject>述标讲稿、时间分配与答辩策略</dc:subject>
  <dc:description>第一关正式交付文档；业务内容沿用已审核口径。</dc:description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2052-12.1.0.22130</vt:lpwstr>
  </property>
  <property fmtid="{D5CDD505-2E9C-101B-9397-08002B2CF9AE}" pid="3" name="ICV">
    <vt:lpwstr>5D1C8097F15C4154A5E3DED64A6E4F39_13</vt:lpwstr>
  </property>
</Properties>
</file>