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500" w:line="336" w:lineRule="auto"/>
        <w:jc w:val="left"/>
      </w:pPr>
      <w:r>
        <w:rPr>
          <w:rFonts w:ascii="宋体" w:hAnsi="宋体" w:eastAsia="宋体"/>
          <w:b w:val="0"/>
          <w:color w:val="000000"/>
          <w:sz w:val="24"/>
        </w:rPr>
        <w:t>项目编号：【待人工确认】</w:t>
      </w:r>
    </w:p>
    <w:p>
      <w:pPr>
        <w:spacing w:before="0" w:after="240" w:line="336" w:lineRule="auto"/>
        <w:jc w:val="center"/>
      </w:pPr>
      <w:r>
        <w:rPr>
          <w:rFonts w:ascii="黑体" w:hAnsi="黑体" w:eastAsia="黑体"/>
          <w:b/>
          <w:color w:val="000000"/>
          <w:sz w:val="56"/>
        </w:rPr>
        <w:t>投 标 文 件</w:t>
      </w:r>
    </w:p>
    <w:p>
      <w:pPr>
        <w:spacing w:before="0" w:after="840" w:line="336" w:lineRule="auto"/>
        <w:jc w:val="center"/>
      </w:pPr>
      <w:r>
        <w:rPr>
          <w:rFonts w:ascii="楷体" w:hAnsi="楷体" w:eastAsia="楷体"/>
          <w:b w:val="0"/>
          <w:color w:val="000000"/>
          <w:sz w:val="32"/>
        </w:rPr>
        <w:t>（技术标）</w:t>
      </w:r>
    </w:p>
    <w:p>
      <w:pPr>
        <w:spacing w:before="0" w:after="680" w:line="336" w:lineRule="auto"/>
        <w:jc w:val="center"/>
      </w:pPr>
      <w:r>
        <w:rPr>
          <w:rFonts w:ascii="宋体" w:hAnsi="宋体" w:eastAsia="宋体"/>
          <w:b/>
          <w:color w:val="000000"/>
          <w:sz w:val="32"/>
        </w:rPr>
        <w:t>项目名称：某自然博物馆智能运营中心建设项目——应急管理子系统</w:t>
      </w:r>
    </w:p>
    <w:p>
      <w:pPr>
        <w:spacing w:before="0" w:after="280" w:line="336" w:lineRule="auto"/>
        <w:jc w:val="center"/>
      </w:pPr>
      <w:r>
        <w:rPr>
          <w:rFonts w:ascii="宋体" w:hAnsi="宋体" w:eastAsia="宋体"/>
          <w:b w:val="0"/>
          <w:color w:val="000000"/>
          <w:sz w:val="28"/>
        </w:rPr>
        <w:t>投 标 人：项目组</w:t>
      </w:r>
    </w:p>
    <w:p>
      <w:pPr>
        <w:spacing w:before="0" w:after="280" w:line="336" w:lineRule="auto"/>
        <w:jc w:val="center"/>
      </w:pPr>
      <w:r>
        <w:rPr>
          <w:rFonts w:ascii="宋体" w:hAnsi="宋体" w:eastAsia="宋体"/>
          <w:b w:val="0"/>
          <w:color w:val="000000"/>
          <w:sz w:val="28"/>
        </w:rPr>
        <w:t>法定代表人或授权代表：【待人工确认】</w:t>
      </w:r>
    </w:p>
    <w:p>
      <w:pPr>
        <w:spacing w:before="0" w:after="160" w:line="336" w:lineRule="auto"/>
        <w:jc w:val="center"/>
      </w:pPr>
      <w:r>
        <w:rPr>
          <w:rFonts w:ascii="宋体" w:hAnsi="宋体" w:eastAsia="宋体"/>
          <w:b w:val="0"/>
          <w:color w:val="000000"/>
          <w:sz w:val="28"/>
        </w:rPr>
        <w:t>日　　期：2026 年 9 月</w:t>
      </w:r>
    </w:p>
    <w:p>
      <w:pPr>
        <w:spacing w:before="0" w:after="100" w:line="336" w:lineRule="auto"/>
      </w:pPr>
      <w:r>
        <w:br w:type="page"/>
      </w:r>
    </w:p>
    <w:p>
      <w:pPr>
        <w:spacing w:before="0" w:after="240" w:line="336" w:lineRule="auto"/>
        <w:jc w:val="center"/>
      </w:pPr>
      <w:r>
        <w:rPr>
          <w:rFonts w:ascii="黑体" w:hAnsi="黑体" w:eastAsia="黑体"/>
          <w:b/>
          <w:color w:val="000000"/>
          <w:sz w:val="40"/>
        </w:rPr>
        <w:t>目　　录</w:t>
      </w:r>
    </w:p>
    <w:p>
      <w:fldSimple w:instr="TOC \o &quot;1-3&quot; \h \z \u"/>
    </w:p>
    <w:p>
      <w:pPr>
        <w:spacing w:before="0" w:after="100" w:line="336" w:lineRule="auto"/>
      </w:pPr>
      <w:r>
        <w:br w:type="page"/>
      </w:r>
    </w:p>
    <w:p>
      <w:pPr>
        <w:spacing w:before="0" w:after="120" w:line="336" w:lineRule="auto"/>
        <w:jc w:val="center"/>
      </w:pPr>
      <w:r>
        <w:rPr>
          <w:rFonts w:ascii="黑体" w:hAnsi="黑体" w:eastAsia="黑体"/>
          <w:b/>
          <w:color w:val="000000"/>
          <w:sz w:val="28"/>
        </w:rPr>
        <w:t>修订记录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  <w:shd w:fill="172B3A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1805"/>
            <w:vAlign w:val="center"/>
            <w:shd w:fill="172B3A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1805"/>
            <w:vAlign w:val="center"/>
            <w:shd w:fill="172B3A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修订章节</w:t>
            </w:r>
          </w:p>
        </w:tc>
        <w:tc>
          <w:tcPr>
            <w:tcW w:type="dxa" w:w="1805"/>
            <w:vAlign w:val="center"/>
            <w:shd w:fill="172B3A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修订说明</w:t>
            </w:r>
          </w:p>
        </w:tc>
        <w:tc>
          <w:tcPr>
            <w:tcW w:type="dxa" w:w="1805"/>
            <w:vAlign w:val="center"/>
            <w:shd w:fill="172B3A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编制人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V1.0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2026-09-11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全文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整合已确认成果形成技术标候选稿，待技术与合规复核。</w:t>
            </w:r>
          </w:p>
        </w:tc>
        <w:tc>
          <w:tcPr>
            <w:tcW w:type="dxa" w:w="1805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A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00" w:line="336" w:lineRule="auto"/>
      </w:pPr>
      <w:r>
        <w:br w:type="page"/>
      </w:r>
    </w:p>
    <w:p>
      <w:pPr>
        <w:sectPr>
          <w:pgSz w:w="11906" w:h="16838"/>
          <w:pgMar w:top="1440" w:right="1440" w:bottom="1440" w:left="1440" w:header="708" w:footer="708" w:gutter="0"/>
          <w:pgNumType w:start="1"/>
          <w:cols w:space="720"/>
          <w:docGrid w:linePitch="360"/>
        </w:sectPr>
      </w:pP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第一章 投标响应总述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1.1 响应声明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本技术标响应博物馆智能运营中心应急管理子系统建设需求。系统建设范围为 Web 端、嵌入甲方现有智慧管理 APP 的 H5、业务接口、部署、数据初始化、测试、培训、试运行和服务；不建设既有视频、门禁、消防、物联网、定位、机房、服务器、网络及其前端硬件。本文件对全部功能和实质性条款建立响应与验证安排，34 条带“★”功能需求不作负偏离。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1.2 方案导读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本技术标依次说明需求理解、总体技术方案、功能实现、关键技术、标准与安全、质量验证、实施计划、项目管理、服务与风险、技术规格响应及附录。技术设计以已确认技术方案为准，计划以项目计划 v1 为准，风险以风险登记册 v1 为准。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第二章 需求理解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2.1 建设目标与业务闭环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项目以数字化应急预案为核心，以应急指挥为枢纽，以 H5 移动处置为延伸，形成“事前准备—事发预警—事中处置—事后改进”的业务闭环。核心事件闭环为：事件发现或上报、核实审批、预案启动、通知与任务下发、指挥调度、移动处置与反馈、关闭评估与调查。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2.2 建设范围与责任边界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系统覆盖应急预案、应急指挥、应急资源、应急演练、应急事件、应急值班、应急基础管理、移动端、应急信息视图、综合安防视图和数据接口十一项功能域。甲方提供既有系统、基础数据、接口资料、账号授权、联调环境、宿主 APP、私有部署环境及验收条件；乙方负责软件建设、逐接口适配、联调、容错、降级、验证与交付。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2.3 关键需求与验收关注点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视频与统一消息通道须在 M2 设计评审前完成真实连通性验证。定位由甲方提供源数据和验收能力，乙方负责接入、关联、楼层/坐标映射和展示，不降低源精度。门禁疏散联动按授权确认、安全联锁、回执、失败告警和人工降级设计。验收覆盖功能、性能、四系统联动、安全和独立部署；现场验证证据在实施阶段形成，不在本技术标中宣称已经完成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第三章 总体技术方案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3.1 设计原则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方案遵循业务闭环、分层解耦、既有能力复用、配置优先、可靠消息、安全内建、可观测和可验证原则。逻辑分层不预设过度拆分的部署形态，具体资源组合在甲方私有环境条件下确定。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3.2 总体架构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总体架构由展现与接入层、应急应用服务层、支撑与数据层、甲方既有系统与环境组成。Web、H5 和指挥视图通过统一入口调用业务服务；业务服务承担事件、预案、任务、资源、值班、演练、统计和适配编排；支撑层承接身份、组织、权限、消息、工作流、文件、审计、数据与空间能力；外部系统以适配器接入并保留超时、重试、回执和降级边界。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" name="Picture 1" descr="项目工作分解结构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图 1　项目工作分解结构图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3.3 业务与数据架构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预案、事件、任务、人员、物资、值班、演练、基础配置和审计构成核心业务对象；地图、定位、视频、消息、物联网、信息发布、门禁/消防及中台能力通过受控接口关联。甲方负责真实业务源数据和最终业务确认，乙方负责模板、映射、清洗、转换、导入、技术校验和对账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3.4 接口与部署架构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接口采用版本化契约，明确字段、鉴权、幂等、错误码、超时、重试、回执和降级。系统在甲方私有环境部署，支持容器化与隔离环境离线交付；乙方提供最低配置、网络/端口要求、构建制品、镜像、初始化和回滚方案，甲方负责基础设施和环境保障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第四章 功能实现方案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4.1 预案、事件与任务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支持分层预案、处置流程、任务预设、通知调派、附件、版本和运行快照；支持事件上报、核实审批、预案启动、任务下发、反馈、催办、关闭、评估和事故调查，形成全流程审计留痕。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4.2 指挥、资源、值班与演练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指挥视图围绕事件关联人员位置、视频、物资和任务进展；资源管理覆盖人员、物资、站点、台账和盘点；值班管理覆盖排班、点位、打卡和异常提醒；演练管理覆盖计划、任务、执行、评估、报告和改进闭环。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4.3 H5、视图与外部联动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H5 嵌入甲方智慧管理 APP，覆盖事件、任务、知识、演练、扫码打卡和物资盘点六类业务。应急信息视图与综合安防视图提供筛选、钻取、定位、跳转和刷新。视频、信息发布、物联网、中台及门禁/消防联动均按既有系统责任边界进行适配与验证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第五章 关键技术与难点应对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5.1 可靠消息与任务编排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采用业务幂等键、发送台账、失败重试、回执汇聚和人工降级保证通知与任务编排可追溯；在真实验收通道验证并行、到达率、失败和回执，不以模拟结果替代真实连通结论。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5.2 空间态势、定位与视频适配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以统一坐标、楼层映射、质量字段和数据新鲜度支撑一张图；定位以甲方源数据为准。视频适配覆盖目录、实时取流、录像检索、历史回放、首帧、鉴权与异常处理，不新建录像存储系统。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5.3 配置化流程与受控联动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预案、审批、任务、核实、演练与评估规则采用配置化管理，实例保留运行快照。门禁联动经具备权限人员确认，服从既有安全联锁；失败时告警并进入人工处置。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5.4 性能、可用性与恢复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通过索引、缓存、异步处理、限流、健康检查、备份校验和故障演练保障关键链路。性能、兼容、可用性和恢复均以部署环境实测、运行日志和恢复计时为验证依据。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第六章 标准、安全与开源合规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方案适用应急预案、演练、博物馆安全、视频联网、软件质量、测试、文档、需求追踪和应用安全相关标准。应用安全落实身份鉴别、最小权限、服务端鉴权、输入校验、审计、依赖治理、SCA、扫描与渗透复测；正式等保定级、测评和基础设施责任依既有边界由甲方组织。开源组件在交付前形成许可证说明、版本清单和风险处置记录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第七章 质量与验证方案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7.1 验证原则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建立“需求—设计—用例—结果—证据”双向追踪。39 条功能需求及全部非功能条款均映射设计、测试与预期证据；功能用例通过率要求为 100%，高危漏洞要求为 0。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7.2 关键指标验证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验证覆盖预案启动、告警接入、消息并行与到达率、定位刷新与精度、视频首帧与回放、Web/H5、地图、扫码打卡、态势刷新、峰值并发、报表、可用性、恢复、覆盖率、安全及独立部署。所有性能结果以约定环境实测为准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7.3 分阶段准出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M1 完成需求确认；M2 完成五类设计文档并纳入视频/消息真实连通结论；M3 完成部署、测试与初验；M4 形成 W17—W20 逐周运行、缺陷、演练和恢复证据；M5 在 M4 准出后组织，核对全套交付物并签署竣工验收报告。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第八章 实施计划与项目管理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8.1 正式里程碑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M1 为合同签订后 2 周需求确认，M2 为合同签订后 6 周设计评审，M3 为合同签订后 16 周初验，M4 为初验后 4 周试运行，M5 为试运行满 1 个月竣工验收。正式里程碑不因内部任务调整而改变。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2" name="Picture 2" descr="项目阶段与正式里程碑时间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图 2　项目阶段与正式里程碑时间轴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8.2 WBS 与关键路径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WBS 以可交付成果分解，覆盖管理、需求、设计、开发集成、测试初验、试运行验收。关键路径从需求确认、设计与 M2 连通验证、业务增量、数据初始化与性能加固、部署验证、M3 初验，延伸至 W17—W20 逐周试运行、M4 准出与 M5 竣工验收。B 的 W14—W16 技术工作按工作日顺序执行，避免前置依赖型并行冲突。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8.3 三人成员职责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A 主责计划、评审、交付、质保和跨文档一致性；B 主责架构、实现、数据初始化技术实施、接口联调、性能安全恢复验证；C 主责 SRS、追踪、条款和关键数字核对、测试设计与符合性。正式产物实行主责与复核分离。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第九章 服务、培训与风险控制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9.1 培训与服务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M3 后开展指挥人员 1 天、值班/安保人员半天、处置人员半天、物资管理人员半天、系统管理员 1 天培训，保留课件、录屏、签到和考核记录。M5 后提供 12 个月质保服务；一级、二级、三级故障分别按已确认响应与解决时限执行，提供 7×24 应急申告和 7×12 远程支持，服务期满形成报告。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9.2 风险控制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风险登记册覆盖接口、消息、视频、定位、数据初始化、H5、性能、安全、部署、连续性、范围、进度、人员、AI 与验收配置风险。极高风险按周专项跟踪；重大风险在识别后 24 小时内书面报告。未完成的接口、环境、数据和验证条件按 Issue/Change 流程处理。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55464" cy="3641598"/>
            <wp:docPr id="3" name="Picture 3" descr="项目风险矩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-matrix-4x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5464" cy="3641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图 3　项目风险矩阵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第十章 交付与验收安排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交付包括源码/构建、容器镜像、初始化脚本、H5 包；项目计划、SRS、设计、测试、用户、部署运维、培训、开源许可证说明、RTM、试运行与项目总结报告；数据初始化成果；演练记录、培训记录和质保承诺函。交付版本建立标签、清单、可编辑源文件和 PDF，并在 M1、M2、M3、M5 前进行配置审计。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第十一章 技术规格响应与偏离说明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技术规格逐条响应以合规矩阵为准：39 条 FR 已建立响应与验证映射，34 条带“★”功能需求无负偏离；范围、责任、澄清和关键数字以冻结 Baseline 为准。所有 `PENDING_EVIDENCE` 仅表示后续实施、联调、测试或验收时需形成证据，不表示现场已完成。</w:t>
      </w:r>
    </w:p>
    <w:p>
      <w:pPr>
        <w:spacing w:before="0" w:after="100" w:line="240" w:lineRule="auto"/>
        <w:jc w:val="center"/>
      </w:pPr>
      <w:r>
        <w:rPr>
          <w:rFonts w:ascii="宋体" w:hAnsi="宋体" w:eastAsia="宋体"/>
          <w:b/>
          <w:color w:val="000000"/>
          <w:sz w:val="18"/>
        </w:rPr>
        <w:t>表 1　响应类别相关说明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vAlign w:val="center"/>
            <w:shd w:fill="172B3A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响应类别</w:t>
            </w:r>
          </w:p>
        </w:tc>
        <w:tc>
          <w:tcPr>
            <w:tcW w:type="dxa" w:w="3009"/>
            <w:vAlign w:val="center"/>
            <w:shd w:fill="172B3A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响应结论</w:t>
            </w:r>
          </w:p>
        </w:tc>
        <w:tc>
          <w:tcPr>
            <w:tcW w:type="dxa" w:w="3009"/>
            <w:vAlign w:val="center"/>
            <w:shd w:fill="172B3A"/>
          </w:tcPr>
          <w:p>
            <w:pPr>
              <w:spacing w:after="0" w:line="252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证据安排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功能与实质性条款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无负偏离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需求—设计—测试双向追踪、用例和验收记录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外部系统与环境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甲方提供条件、乙方适配验证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接口契约、联调、异常与降级记录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性能、安全与部署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按需求书指标设计并实测</w:t>
            </w:r>
          </w:p>
        </w:tc>
        <w:tc>
          <w:tcPr>
            <w:tcW w:type="dxa" w:w="3009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性能报告、SCA/扫描/渗透复测、独立部署记录</w:t>
            </w:r>
          </w:p>
        </w:tc>
      </w:tr>
      <w:tr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管理、培训、服务与交付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按计划与交付清单承接</w:t>
            </w:r>
          </w:p>
        </w:tc>
        <w:tc>
          <w:tcPr>
            <w:tcW w:type="dxa" w:w="3009"/>
            <w:vAlign w:val="center"/>
            <w:shd w:fill="EEF4F9"/>
          </w:tcPr>
          <w:p>
            <w:pPr>
              <w:spacing w:after="0" w:line="252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周报、签到考核、工单、服务台账、配置审计与签收</w:t>
            </w:r>
          </w:p>
        </w:tc>
      </w:tr>
    </w:tbl>
    <w:p>
      <w:pPr>
        <w:spacing w:before="0" w:after="40" w:line="240" w:lineRule="auto"/>
      </w:pP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第十二章 结论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本技术标以冻结范围和责任边界为基础，整合可验证的技术方案、实施计划、风险控制和合规响应。未形成现场证据的事项均以验证计划表达，并在后续里程碑按追踪矩阵和验收规则闭环。</w:t>
      </w:r>
    </w:p>
    <w:p>
      <w:pPr>
        <w:pStyle w:val="1"/>
        <w:keepNext/>
        <w:spacing w:before="240" w:after="120"/>
      </w:pPr>
      <w:r>
        <w:rPr>
          <w:rFonts w:ascii="黑体" w:hAnsi="黑体" w:eastAsia="黑体"/>
          <w:b/>
          <w:color w:val="000000"/>
          <w:sz w:val="32"/>
        </w:rPr>
        <w:t>第十三章 附录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附录 A 主要接口与责任边界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视频、定位、消息、地图、宿主 APP、中台、物联网、信息发布、门禁/消防和部署环境均由甲方提供相应既有能力或条件；乙方在本系统范围内完成接口适配、联调、容错、降级、验证和留痕。</w:t>
      </w:r>
    </w:p>
    <w:p>
      <w:pPr>
        <w:pStyle w:val="2"/>
        <w:keepNext/>
        <w:spacing w:before="160" w:after="120"/>
      </w:pPr>
      <w:r>
        <w:rPr>
          <w:rFonts w:ascii="黑体" w:hAnsi="黑体" w:eastAsia="黑体"/>
          <w:b/>
          <w:color w:val="000000"/>
          <w:sz w:val="26"/>
        </w:rPr>
        <w:t>附录 B 风险、计划与合规文件索引</w:t>
      </w:r>
    </w:p>
    <w:p>
      <w:pPr>
        <w:spacing w:before="0" w:after="100" w:line="336" w:lineRule="auto"/>
      </w:pPr>
      <w:r>
        <w:rPr>
          <w:rFonts w:ascii="宋体" w:hAnsi="宋体" w:eastAsia="宋体"/>
          <w:b w:val="0"/>
          <w:color w:val="000000"/>
          <w:sz w:val="24"/>
        </w:rPr>
        <w:t>项目计划、风险登记册、合规矩阵、澄清记录和基线共同构成技术标的追溯依据。文件索引用于内部评审和后续实施，不作为已完成现场验收的证明。</w:t>
      </w:r>
    </w:p>
    <w:sectPr w:rsidR="005D4092" w:rsidRPr="009102DA" w:rsidSect="00F75021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450363" w14:textId="77777777" w:rsidR="00636785" w:rsidRDefault="00636785">
      <w:r>
        <w:separator/>
      </w:r>
    </w:p>
  </w:endnote>
  <w:endnote w:type="continuationSeparator" w:id="0">
    <w:p w14:paraId="48CB254A" w14:textId="77777777" w:rsidR="00636785" w:rsidRDefault="006367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6DC63D" w14:textId="77777777" w:rsidR="005D4092" w:rsidRDefault="001709ED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736C5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0EBBF2" w14:textId="77777777" w:rsidR="00636785" w:rsidRDefault="00636785">
      <w:r>
        <w:separator/>
      </w:r>
    </w:p>
  </w:footnote>
  <w:footnote w:type="continuationSeparator" w:id="0">
    <w:p w14:paraId="42D22F92" w14:textId="77777777" w:rsidR="00636785" w:rsidRDefault="006367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5D5510" w14:textId="77777777" w:rsidR="005D4092" w:rsidRDefault="001709ED">
    <w:pPr>
      <w:spacing w:after="60"/>
      <w:jc w:val="center"/>
    </w:pPr>
    <w:r>
      <w:rPr>
        <w:rFonts w:eastAsia="宋体"/>
        <w:sz w:val="18"/>
        <w:szCs w:val="18"/>
      </w:rPr>
      <w:t>“</w:t>
    </w:r>
    <w:r>
      <w:rPr>
        <w:rFonts w:eastAsia="宋体"/>
        <w:sz w:val="18"/>
        <w:szCs w:val="18"/>
      </w:rPr>
      <w:t>澜图</w:t>
    </w:r>
    <w:r>
      <w:rPr>
        <w:rFonts w:eastAsia="宋体"/>
        <w:sz w:val="18"/>
        <w:szCs w:val="18"/>
      </w:rPr>
      <w:t>”</w:t>
    </w:r>
    <w:r>
      <w:rPr>
        <w:rFonts w:eastAsia="宋体"/>
        <w:sz w:val="18"/>
        <w:szCs w:val="18"/>
      </w:rPr>
      <w:t>遥感影像智能解译与地物提取平台建设项目投标文件（技术标</w:t>
    </w:r>
    <w:r>
      <w:rPr>
        <w:rFonts w:eastAsia="宋体"/>
        <w:sz w:val="18"/>
        <w:szCs w:val="18"/>
      </w:rPr>
      <w:t>·</w:t>
    </w:r>
    <w:r>
      <w:rPr>
        <w:rFonts w:eastAsia="宋体"/>
        <w:sz w:val="18"/>
        <w:szCs w:val="18"/>
      </w:rPr>
      <w:t>教学案例）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535A3"/>
    <w:multiLevelType w:val="hybridMultilevel"/>
    <w:tmpl w:val="DEEA4FDE"/>
    <w:lvl w:ilvl="0" w:tplc="8A929698">
      <w:start w:val="1"/>
      <w:numFmt w:val="bullet"/>
      <w:lvlText w:val="●"/>
      <w:lvlJc w:val="left"/>
      <w:pPr>
        <w:ind w:left="720" w:hanging="360"/>
      </w:pPr>
    </w:lvl>
    <w:lvl w:ilvl="1" w:tplc="EB54BA78">
      <w:start w:val="1"/>
      <w:numFmt w:val="bullet"/>
      <w:lvlText w:val="○"/>
      <w:lvlJc w:val="left"/>
      <w:pPr>
        <w:ind w:left="1440" w:hanging="360"/>
      </w:pPr>
    </w:lvl>
    <w:lvl w:ilvl="2" w:tplc="14963552">
      <w:start w:val="1"/>
      <w:numFmt w:val="bullet"/>
      <w:lvlText w:val="■"/>
      <w:lvlJc w:val="left"/>
      <w:pPr>
        <w:ind w:left="2160" w:hanging="360"/>
      </w:pPr>
    </w:lvl>
    <w:lvl w:ilvl="3" w:tplc="1D0CA1FA">
      <w:start w:val="1"/>
      <w:numFmt w:val="bullet"/>
      <w:lvlText w:val="●"/>
      <w:lvlJc w:val="left"/>
      <w:pPr>
        <w:ind w:left="2880" w:hanging="360"/>
      </w:pPr>
    </w:lvl>
    <w:lvl w:ilvl="4" w:tplc="77D47C72">
      <w:start w:val="1"/>
      <w:numFmt w:val="bullet"/>
      <w:lvlText w:val="○"/>
      <w:lvlJc w:val="left"/>
      <w:pPr>
        <w:ind w:left="3600" w:hanging="360"/>
      </w:pPr>
    </w:lvl>
    <w:lvl w:ilvl="5" w:tplc="9CFA93A4">
      <w:start w:val="1"/>
      <w:numFmt w:val="bullet"/>
      <w:lvlText w:val="■"/>
      <w:lvlJc w:val="left"/>
      <w:pPr>
        <w:ind w:left="4320" w:hanging="360"/>
      </w:pPr>
    </w:lvl>
    <w:lvl w:ilvl="6" w:tplc="67BAB3F8">
      <w:start w:val="1"/>
      <w:numFmt w:val="bullet"/>
      <w:lvlText w:val="●"/>
      <w:lvlJc w:val="left"/>
      <w:pPr>
        <w:ind w:left="5040" w:hanging="360"/>
      </w:pPr>
    </w:lvl>
    <w:lvl w:ilvl="7" w:tplc="BB427932">
      <w:start w:val="1"/>
      <w:numFmt w:val="bullet"/>
      <w:lvlText w:val="●"/>
      <w:lvlJc w:val="left"/>
      <w:pPr>
        <w:ind w:left="5760" w:hanging="360"/>
      </w:pPr>
    </w:lvl>
    <w:lvl w:ilvl="8" w:tplc="000ACA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1A7D55"/>
    <w:multiLevelType w:val="hybridMultilevel"/>
    <w:tmpl w:val="F2C29ABA"/>
    <w:lvl w:ilvl="0" w:tplc="0409000B">
      <w:start w:val="1"/>
      <w:numFmt w:val="bullet"/>
      <w:lvlText w:val=""/>
      <w:lvlJc w:val="left"/>
      <w:pPr>
        <w:ind w:left="89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3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5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7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9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1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3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55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092"/>
    <w:rsid w:val="00072211"/>
    <w:rsid w:val="000838F5"/>
    <w:rsid w:val="001709ED"/>
    <w:rsid w:val="002B43D0"/>
    <w:rsid w:val="005A6906"/>
    <w:rsid w:val="005D4092"/>
    <w:rsid w:val="00636785"/>
    <w:rsid w:val="006C15F6"/>
    <w:rsid w:val="00736C52"/>
    <w:rsid w:val="009102DA"/>
    <w:rsid w:val="00CD15FB"/>
    <w:rsid w:val="00D85454"/>
    <w:rsid w:val="00F75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8612AD"/>
  <w15:docId w15:val="{19738BC4-20E6-405E-BD3C-4AF2FA429B1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736C52"/>
  </w:style>
  <w:style w:type="paragraph" w:styleId="TOC2">
    <w:name w:val="toc 2"/>
    <w:basedOn w:val="a"/>
    <w:next w:val="a"/>
    <w:autoRedefine/>
    <w:uiPriority w:val="39"/>
    <w:unhideWhenUsed/>
    <w:rsid w:val="00736C52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736C52"/>
    <w:pPr>
      <w:ind w:leftChars="400" w:left="840"/>
    </w:pPr>
    <w:rPr>
      <w:rFonts w:asciiTheme="minorHAnsi" w:hAnsiTheme="minorHAnsi" w:cstheme="minorBidi"/>
      <w:kern w:val="2"/>
      <w:sz w:val="21"/>
      <w:szCs w:val="22"/>
    </w:rPr>
  </w:style>
  <w:style w:type="paragraph" w:styleId="TOC4">
    <w:name w:val="toc 4"/>
    <w:basedOn w:val="a"/>
    <w:next w:val="a"/>
    <w:autoRedefine/>
    <w:uiPriority w:val="39"/>
    <w:unhideWhenUsed/>
    <w:rsid w:val="00736C52"/>
    <w:pPr>
      <w:ind w:leftChars="600" w:left="1260"/>
    </w:pPr>
    <w:rPr>
      <w:rFonts w:asciiTheme="minorHAnsi" w:hAnsiTheme="minorHAnsi" w:cstheme="minorBidi"/>
      <w:kern w:val="2"/>
      <w:sz w:val="21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736C52"/>
    <w:pPr>
      <w:ind w:leftChars="800" w:left="1680"/>
    </w:pPr>
    <w:rPr>
      <w:rFonts w:asciiTheme="minorHAnsi" w:hAnsiTheme="minorHAnsi" w:cstheme="minorBidi"/>
      <w:kern w:val="2"/>
      <w:sz w:val="21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736C52"/>
    <w:pPr>
      <w:ind w:leftChars="1000" w:left="2100"/>
    </w:pPr>
    <w:rPr>
      <w:rFonts w:asciiTheme="minorHAnsi" w:hAnsiTheme="minorHAnsi" w:cstheme="minorBidi"/>
      <w:kern w:val="2"/>
      <w:sz w:val="21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736C52"/>
    <w:pPr>
      <w:ind w:leftChars="1200" w:left="2520"/>
    </w:pPr>
    <w:rPr>
      <w:rFonts w:asciiTheme="minorHAnsi" w:hAnsiTheme="minorHAnsi" w:cstheme="minorBidi"/>
      <w:kern w:val="2"/>
      <w:sz w:val="21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736C52"/>
    <w:pPr>
      <w:ind w:leftChars="1400" w:left="2940"/>
    </w:pPr>
    <w:rPr>
      <w:rFonts w:asciiTheme="minorHAnsi" w:hAnsiTheme="minorHAnsi" w:cstheme="minorBidi"/>
      <w:kern w:val="2"/>
      <w:sz w:val="21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736C52"/>
    <w:pPr>
      <w:ind w:leftChars="1600" w:left="3360"/>
    </w:pPr>
    <w:rPr>
      <w:rFonts w:asciiTheme="minorHAnsi" w:hAnsiTheme="minorHAnsi" w:cstheme="minorBidi"/>
      <w:kern w:val="2"/>
      <w:sz w:val="21"/>
      <w:szCs w:val="22"/>
    </w:rPr>
  </w:style>
  <w:style w:type="character" w:styleId="ac">
    <w:name w:val="Unresolved Mention"/>
    <w:basedOn w:val="a0"/>
    <w:uiPriority w:val="99"/>
    <w:semiHidden/>
    <w:unhideWhenUsed/>
    <w:rsid w:val="00736C52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F7502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e">
    <w:name w:val="页眉 字符"/>
    <w:basedOn w:val="a0"/>
    <w:link w:val="ad"/>
    <w:uiPriority w:val="99"/>
    <w:rsid w:val="00F75021"/>
    <w:rPr>
      <w:sz w:val="18"/>
      <w:szCs w:val="18"/>
    </w:rPr>
  </w:style>
  <w:style w:type="paragraph" w:styleId="af">
    <w:name w:val="footer"/>
    <w:basedOn w:val="a"/>
    <w:link w:val="af0"/>
    <w:uiPriority w:val="99"/>
    <w:unhideWhenUsed/>
    <w:rsid w:val="00F7502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0">
    <w:name w:val="页脚 字符"/>
    <w:basedOn w:val="a0"/>
    <w:link w:val="af"/>
    <w:uiPriority w:val="99"/>
    <w:rsid w:val="00F7502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10661</Words>
  <Characters>60769</Characters>
  <Application>Microsoft Office Word</Application>
  <DocSecurity>0</DocSecurity>
  <Lines>506</Lines>
  <Paragraphs>142</Paragraphs>
  <ScaleCrop>false</ScaleCrop>
  <Company/>
  <LinksUpToDate>false</LinksUpToDate>
  <CharactersWithSpaces>71288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某自然博物馆智能运营中心建设项目 应急管理子系统 投标文件技术标</dc:title>
  <dc:creator>项目组</dc:creator>
  <cp:lastModifiedBy>晓雷 李</cp:lastModifiedBy>
  <cp:revision>10</cp:revision>
  <dcterms:created xsi:type="dcterms:W3CDTF">2026-08-14T13:59:00Z</dcterms:created>
  <dcterms:modified xsi:type="dcterms:W3CDTF">2026-09-07T01:26:00Z</dcterms:modified>
</cp:coreProperties>
</file>