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V1.1</w:t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>
        <w:t>编制日期：2026 年 9 月 15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sectPr w:rsidR="0041599B" w:rsidRPr="0041599B" w:rsidSect="0041599B"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  <w:titlePg/>
          <w:docGrid w:linePitch="360"/>
        </w:sectPr>
      </w:pPr>
      <w:r w:rsidRPr="0041599B"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-1072894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3F028F" w14:textId="30EE5C8D" w:rsidR="0041599B" w:rsidRPr="0041599B" w:rsidRDefault="0041599B" w:rsidP="0041599B">
          <w:pPr>
            <w:pStyle w:val="TOC"/>
            <w:jc w:val="center"/>
            <w:rPr>
              <w:color w:val="auto"/>
            </w:rPr>
          </w:pPr>
          <w:r w:rsidRPr="0041599B">
            <w:rPr>
              <w:color w:val="auto"/>
              <w:lang w:val="zh-CN"/>
            </w:rPr>
            <w:t>目</w:t>
          </w:r>
          <w:r w:rsidRPr="0041599B">
            <w:rPr>
              <w:rFonts w:hint="eastAsia"/>
              <w:color w:val="auto"/>
              <w:lang w:val="zh-CN"/>
            </w:rPr>
            <w:t xml:space="preserve"> </w:t>
          </w:r>
          <w:r w:rsidRPr="0041599B">
            <w:rPr>
              <w:color w:val="auto"/>
              <w:lang w:val="zh-CN"/>
            </w:rPr>
            <w:t xml:space="preserve"> 录</w:t>
          </w:r>
        </w:p>
        <w:p w14:paraId="4A01F476" w14:textId="1CB315FF" w:rsidR="0041599B" w:rsidRPr="0041599B" w:rsidRDefault="0041599B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41599B">
            <w:fldChar w:fldCharType="begin"/>
          </w:r>
          <w:r w:rsidRPr="0041599B">
            <w:instrText xml:space="preserve"> TOC \o "1-3" \h \z \u </w:instrText>
          </w:r>
          <w:r w:rsidRPr="0041599B">
            <w:fldChar w:fldCharType="separate"/>
          </w:r>
          <w:hyperlink w:anchor="_Toc239598283" w:history="1">
            <w:r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 </w:t>
            </w:r>
            <w:r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引言</w:t>
            </w:r>
            <w:r w:rsidRPr="0041599B">
              <w:rPr>
                <w:noProof/>
                <w:webHidden/>
              </w:rPr>
              <w:tab/>
            </w:r>
            <w:r w:rsidRPr="0041599B">
              <w:rPr>
                <w:noProof/>
                <w:webHidden/>
              </w:rPr>
              <w:fldChar w:fldCharType="begin"/>
            </w:r>
            <w:r w:rsidRPr="0041599B">
              <w:rPr>
                <w:noProof/>
                <w:webHidden/>
              </w:rPr>
              <w:instrText xml:space="preserve"> PAGEREF _Toc239598283 \h </w:instrText>
            </w:r>
            <w:r w:rsidRPr="0041599B">
              <w:rPr>
                <w:noProof/>
                <w:webHidden/>
              </w:rPr>
            </w:r>
            <w:r w:rsidRPr="0041599B">
              <w:rPr>
                <w:noProof/>
                <w:webHidden/>
              </w:rPr>
              <w:fldChar w:fldCharType="separate"/>
            </w:r>
            <w:r w:rsidRPr="0041599B">
              <w:rPr>
                <w:noProof/>
                <w:webHidden/>
              </w:rPr>
              <w:t>3</w:t>
            </w:r>
            <w:r w:rsidRPr="0041599B">
              <w:rPr>
                <w:noProof/>
                <w:webHidden/>
              </w:rPr>
              <w:fldChar w:fldCharType="end"/>
            </w:r>
          </w:hyperlink>
        </w:p>
        <w:p w14:paraId="480C2596" w14:textId="45047D30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编写目的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50AD9B7" w14:textId="278ECDAA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项目背景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C4EFC5F" w14:textId="5E061AB6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定义与缩略语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D34BFDF" w14:textId="44F91BE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参考资料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BB1B56A" w14:textId="6D58F6ED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28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任务概述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B897075" w14:textId="1F1F3E6C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目标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2AC273F" w14:textId="135859EE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用户特点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16A87B6" w14:textId="0ECA9EE5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假定与约束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EE51334" w14:textId="15A504B0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29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需求规定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51E93AC" w14:textId="15F95593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功能需求总表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141482" w14:textId="64D0BB2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 M-01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项目与会话管理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A63B610" w14:textId="410F2997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3.2.1 FR-01.1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项目创建与持久化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E4C60CD" w14:textId="55C9AF00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3.2.2 FR-01.2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项目信息查询与操作历史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32A5BE9" w14:textId="3358470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3.2.3 FR-01.3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撤销与重做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B14BF67" w14:textId="0CB4E394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3.2.4 FR-01.4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会话持久化与恢复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5FFB061" w14:textId="4DD91AB5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 M-02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影像数据接入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D1E4A88" w14:textId="3633617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3.3.1 FR-02.1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栅格元数据核验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E1E46AF" w14:textId="2EB554AC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3.3.2 FR-02.2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在线瓦片下载与影像合成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A8A640B" w14:textId="180C5B13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3.3.3 FR-02.3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坐标参考系重投影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A2CC3E0" w14:textId="1F189969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3.3.4 FR-02.4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大影像分块切片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26345F6" w14:textId="0551B8C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3.3.5 FR-02.5 COG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转换与底图清单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57FC330" w14:textId="40E74812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0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 M-03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模型注册与管理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16FD397" w14:textId="1E19BC8C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3.4.1 FR-03.1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多模型支持与注册表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A1528D0" w14:textId="2B4618DF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3.4.2 FR-03.2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模型详情与默认版本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8CB8F0D" w14:textId="22FC6542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3.4.3 FR-03.3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模型可用性检查与依赖提示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43BB73F" w14:textId="250F603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0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 M-04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分割执行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12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1F1B757" w14:textId="2EC521D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3.5.1 FR-04.1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全自动分割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12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1135B12" w14:textId="51EAAF4A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3.5.2 FR-04.2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点提示分割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E99B2E7" w14:textId="77D8EEB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3.5.3 FR-04.3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框提示分割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971414E" w14:textId="698A132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3.5.4 FR-04.4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文本提示分割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8E30AB4" w14:textId="587CF7FD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1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 M-05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矢量化与图斑处理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91E6C2A" w14:textId="70A8A0B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3.6.1 FR-05.1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掩膜栅格转矢量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F2859C2" w14:textId="0AE54338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3.6.2 FR-05.2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矢量成果信息查询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A081A6E" w14:textId="618AFDD8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3.6.3 FR-05.3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图斑过滤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3EAB538" w14:textId="332BA7E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1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 M-06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成果导出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E36F538" w14:textId="61534C0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3.7.1 FR-06.1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多格式导出（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6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种）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D6A30F2" w14:textId="0A4FDBC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3.7.2 FR-06.2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导出格式清单查询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DE49852" w14:textId="02F70CC3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 M-07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开放接口服务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5B4448D" w14:textId="3E93096B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3.8.1 FR-07.1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服务健康检查与模型端点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FB6A8FE" w14:textId="1CE97A26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3.8.2 FR-07.2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分割接口三类与模型缓存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D7DF4F5" w14:textId="111DB364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3.9 M-08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客户端集成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42B4F4A" w14:textId="7FE88E92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3.9.1 FR-07.3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接口契约与客户端集成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C8DC67C" w14:textId="4442235A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3.10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对性能的规定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17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60485E0" w14:textId="3591151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其他非功能需求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17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6909B8C" w14:textId="7E8970B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精度指标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4AC140A" w14:textId="41B297CF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3.13 MVP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范围与二期候选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88996BA" w14:textId="6B3D4B74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33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运行环境规定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684844" w14:textId="02F4ECB0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设备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8A94BB7" w14:textId="5EF8AF52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支持软件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1CAA4B8" w14:textId="49EFE5D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接口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61DD66D" w14:textId="560C2F8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控制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B7D42F" w14:textId="0B28C426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33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需求追踪与变更管理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453FEF1" w14:textId="4549C7F4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追踪关系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56844A9" w14:textId="5F881EB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变更管理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B51D67B" w14:textId="040FE565" w:rsidR="0041599B" w:rsidRPr="0041599B" w:rsidRDefault="0041599B">
          <w:r w:rsidRPr="0041599B">
            <w:rPr>
              <w:b/>
              <w:bCs/>
              <w:lang w:val="zh-CN"/>
            </w:rPr>
            <w:fldChar w:fldCharType="end"/>
          </w:r>
        </w:p>
      </w:sdtContent>
    </w:sdt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0B331240" w14:textId="62AD54EE" w:rsidR="0077579D" w:rsidRPr="0041599B" w:rsidRDefault="0077579D"/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下表保留39条受控功能需求及既有验收标准。G2-R03补充的流程、状态、字段和量化要求仅深化需求语义；影响AC的细化项明确列为G2-R05的spec/RTM待同步项。</w:t>
      </w:r>
    </w:p>
    <w:p>
      <w:pPr>
        <w:pStyle w:val="2"/>
      </w:pPr>
      <w:r>
        <w:t>3.1 MVP-1 数字预案与事件处置闭环</w:t>
      </w:r>
    </w:p>
    <w:p>
      <w:pPr>
        <w:keepNext/>
        <w:jc w:val="center"/>
      </w:pPr>
      <w:r>
        <w:t>表 3-1 数字预案与事件处置功能需求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p>
      <w:pPr>
        <w:keepNext/>
        <w:jc w:val="center"/>
      </w:pPr>
      <w:r>
        <w:t>表 3-2 指挥态势、视频与定位功能需求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p>
      <w:pPr>
        <w:keepNext/>
        <w:jc w:val="center"/>
      </w:pPr>
      <w:r>
        <w:t>表 3-3 演练、移动执行与值班物资功能需求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p>
      <w:pPr>
        <w:keepNext/>
        <w:jc w:val="center"/>
      </w:pPr>
      <w:r>
        <w:t>表 3-4 外部联动与中台业务适配功能需求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keepNext/>
        <w:jc w:val="center"/>
      </w:pPr>
      <w:r>
        <w:t>表 3-5 非MVP、本期范围功能需求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1"/>
      </w:pPr>
      <w:r>
        <w:t>4 外部接口需求</w:t>
      </w:r>
    </w:p>
    <w:p>
      <w:pPr>
        <w:pStyle w:val="2"/>
      </w:pPr>
      <w:r>
        <w:t>3.6核心业务流程与异常路径。表3-6覆盖主路径及异常路径；其可观察规则将在G2-R05同步至spec.md和RTM。</w:t>
      </w:r>
    </w:p>
    <w:p>
      <w:pPr>
        <w:keepNext/>
        <w:jc w:val="center"/>
      </w:pPr>
      <w:r>
        <w:t>表 3-6 核心业务流程及异常路径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追踪与待同步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FR-005、029；RCLR-009；spec/RTM待同步</w:t>
            </w:r>
          </w:p>
        </w:tc>
      </w:tr>
    </w:tbl>
    <w:p>
      <w:pPr>
        <w:pStyle w:val="2"/>
      </w:pPr>
      <w:r>
        <w:t>3.7核心状态模型。表3-7仅定义需求级可观察状态与迁移约束，不规定技术实现。</w:t>
      </w:r>
    </w:p>
    <w:p>
      <w:pPr>
        <w:keepNext/>
        <w:jc w:val="center"/>
      </w:pPr>
      <w:r>
        <w:t>表 3-7 核心业务状态模型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keepNext/>
        <w:jc w:val="center"/>
      </w:pPr>
      <w:r>
        <w:t>表 4-1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</w:pPr>
      <w:r>
        <w:t>5.3 数据质量与来源</w:t>
      </w:r>
    </w:p>
    <w:p>
      <w:pPr>
        <w:pStyle w:val="2"/>
      </w:pPr>
      <w:r>
        <w:t>5.2核心实体字段字典。表5-1为需求级语义字典，不是数据库ER或物理表设计。</w:t>
      </w:r>
    </w:p>
    <w:p>
      <w:pPr>
        <w:keepNext/>
        <w:jc w:val="center"/>
      </w:pPr>
      <w:r>
        <w:t>表 5-1 核心实体字段字典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实体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核心字段（均含唯一标识）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业务含义与约束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应急预案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planId、名称、状态、适用场景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草稿/已发布/停用；关联版本、模板和事件。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FR-001—003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预案版本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versionId、版本号、生效状态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发布后作为启动依据，可追溯。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FR-001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预案任务模板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templateId、任务名称、责任组、时限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缺关键关系不得发布，启动时生成任务。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FR-002、003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应急事件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incidentId、类型、状态、发生时间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含待核实/核实超时/处置/关闭；关联续报、任务、附件。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事件续报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updateId、业务时间、接收时间、内容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迟到标识且不覆盖历史。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RCLR-001、004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taskId、当前责任人、状态、截止时间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重指派留痕，改期显式审计。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FR-015；RCLR-003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任务反馈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feedbackId、内容、反馈时间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接收、反馈、催办和完成证据。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FR-015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人员/值班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personId、职责、值班时段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人员、职责、当前值班关联。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FR-017、018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位置状态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personId、坐标、源时间、新鲜度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过期阈值可配置，过期禁自动调派。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FR-005；RCLR-009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物资站点/条目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siteId、itemId、数量、有效期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台账、站点与临期状态。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FR-007—009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盘点计划/快照/记录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planId、快照数量、实盘数量、复核状态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快照为基准，期间变动单独记录。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FR-009；RCLR-006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演练计划/执行/评估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drillId、计划时间、实际完成、状态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取消/逾期不计完成，补演关联原计划。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FR-010—012；RCLR-007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打卡点/记录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pointId、taskId、扫码时间、结果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任务/点位/时段绑定，重复扫码幂等。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FR-017—020；RCLR-005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消息发送/外部调用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messageId、尝试序号、最终状态、回执时间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保留超时/重试/降级历史，重复回执幂等。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FR-020、022；RCLR-008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附件/审计记录</w:t>
            </w:r>
          </w:p>
        </w:tc>
        <w:tc>
          <w:tcPr>
            <w:tcW w:type="dxa" w:w="300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attachmentId、关联对象、删除状态、操作者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逻辑删除、归档引用保护和删除审计。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FR-013、016；RCLR-010</w:t>
            </w:r>
          </w:p>
        </w:tc>
      </w:tr>
    </w:tbl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5.4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PE性能指标与容量</w:t>
      </w:r>
    </w:p>
    <w:p>
      <w:pPr>
        <w:keepNext/>
        <w:jc w:val="center"/>
      </w:pPr>
      <w:r>
        <w:t>表 6-1 PE-01—PE-12性能指标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keepNext/>
        <w:jc w:val="center"/>
      </w:pPr>
      <w:r>
        <w:t>表 6-2 容量要求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</w:pPr>
      <w:r>
        <w:t>6.2 可用性 可靠性与恢复</w:t>
      </w:r>
    </w:p>
    <w:p>
      <w:pPr>
        <w:keepNext/>
        <w:jc w:val="center"/>
      </w:pPr>
      <w:r>
        <w:t>表 6-3 可用性、可靠性与恢复要求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/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</w:pPr>
      <w:r>
        <w:t>6.3 安全</w:t>
      </w:r>
    </w:p>
    <w:p>
      <w:pPr>
        <w:keepNext/>
        <w:jc w:val="center"/>
      </w:pPr>
      <w:r>
        <w:t>表 6-4 安全要求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/>
      <w:r>
        <w:t>安全要求见表6-4。正式定级备案、基础环境合规和正式第三方等保测评由甲方组织；本要求不宣称上述活动已完成。</w:t>
      </w:r>
    </w:p>
    <w:p>
      <w:pPr>
        <w:pStyle w:val="2"/>
      </w:pPr>
      <w:r>
        <w:t>6.4 兼容与易用</w:t>
      </w:r>
    </w:p>
    <w:p>
      <w:pPr>
        <w:keepNext/>
        <w:jc w:val="center"/>
      </w:pPr>
      <w:r>
        <w:t>表 6-5 易用性与兼容性要求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/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</w:pPr>
      <w:r>
        <w:t>6.5 可维护性与可测试性</w:t>
      </w:r>
    </w:p>
    <w:p>
      <w:pPr>
        <w:keepNext/>
        <w:jc w:val="center"/>
      </w:pPr>
      <w:r>
        <w:t>表 6-6 可维护性与可测试性要求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/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>G2-R05应在spec.md中使用本文件相同的G2-FR和AC编号，并将本轮标记为“spec/RTM待同步”的可观察规则补入双镜像。RTM至少追踪原始FR、G2-FR、用户故事、AC、G2-RCLR、设计、实现、测试和结果；任何编号、范围或验收语义差异均阻断M2返工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 xml:space="preserve">29 条 G2-FR 均有至少一个 </w:t>
      </w:r>
      <w:r>
        <w:t>AC-G2-FR-nnn-xx</w:t>
      </w:r>
      <w:r>
        <w:t xml:space="preserve">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 Issue、分析影响并取得授权确认，再同步更新 SRS、</w:t>
      </w:r>
      <w:r>
        <w:t>spec.md</w:t>
      </w:r>
      <w:r>
        <w:t xml:space="preserve">、RTM 和版本记录。G2-05 将基于本 SRS 与 </w:t>
      </w:r>
      <w:r>
        <w:t>spec.md</w:t>
      </w:r>
      <w:r>
        <w:t xml:space="preserve"> 提出不少于 10 条反向澄清；未获人工裁决的内容不得静默写入需求。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pageBreakBefore/>
      </w:pPr>
      <w:r>
        <w:t>10 G2规格化阶段补充业务规则（课程项目人工决策）</w:t>
      </w:r>
    </w:p>
    <w:p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keepNext/>
        <w:jc w:val="center"/>
      </w:pPr>
      <w:r>
        <w:t>表 10-1 G2-RCLR补充业务规则索引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