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856F79" w14:textId="77777777" w:rsidR="00853D15" w:rsidRDefault="00B5769A">
      <w:pPr>
        <w:spacing w:after="80"/>
        <w:jc w:val="right"/>
      </w:pPr>
      <w:r>
        <w:t>文档编号：EM-G3-03　　版本号：V0.2（评审稿）</w:t>
      </w:r>
    </w:p>
    <w:p w14:paraId="4112455B" w14:textId="77777777" w:rsidR="00853D15" w:rsidRDefault="00B5769A">
      <w:pPr>
        <w:spacing w:before="1200" w:after="360"/>
        <w:jc w:val="right"/>
      </w:pPr>
      <w:r>
        <w:t>密　　级：内部 · 评审用</w:t>
      </w:r>
    </w:p>
    <w:p w14:paraId="74FB8A13" w14:textId="77777777" w:rsidR="00853D15" w:rsidRDefault="00853D15">
      <w:pPr>
        <w:spacing w:before="2000" w:after="480"/>
        <w:jc w:val="center"/>
      </w:pPr>
    </w:p>
    <w:p w14:paraId="70ECE8D2" w14:textId="77777777" w:rsidR="00853D15" w:rsidRDefault="00B5769A">
      <w:pPr>
        <w:pBdr>
          <w:bottom w:val="single" w:sz="12" w:space="8" w:color="000000"/>
        </w:pBdr>
        <w:spacing w:before="240" w:after="360"/>
        <w:jc w:val="center"/>
      </w:pPr>
      <w:r>
        <w:t>某自然博物馆智能运营中心建设项目——应急管理子系统</w:t>
      </w:r>
    </w:p>
    <w:p w14:paraId="4BACAC1C" w14:textId="77777777" w:rsidR="00853D15" w:rsidRDefault="00B5769A">
      <w:pPr>
        <w:spacing w:before="520" w:after="200"/>
        <w:jc w:val="center"/>
      </w:pPr>
      <w:r>
        <w:t>概要设计说明书</w:t>
      </w:r>
    </w:p>
    <w:p w14:paraId="3A5396B3" w14:textId="77777777" w:rsidR="00853D15" w:rsidRDefault="00B5769A">
      <w:pPr>
        <w:spacing w:after="80"/>
        <w:jc w:val="center"/>
      </w:pPr>
      <w:r>
        <w:rPr>
          <w:rFonts w:eastAsia="楷体"/>
          <w:color w:val="000000"/>
          <w:sz w:val="28"/>
        </w:rPr>
      </w:r>
    </w:p>
    <w:p w14:paraId="33C9136A" w14:textId="77777777" w:rsidR="00853D15" w:rsidRDefault="00853D15">
      <w:pPr>
        <w:spacing w:before="1600" w:after="80"/>
        <w:jc w:val="center"/>
      </w:pPr>
    </w:p>
    <w:p w14:paraId="43FAA0CD" w14:textId="77777777" w:rsidR="00853D15" w:rsidRDefault="00B5769A" w:rsidP="001A778D">
      <w:pPr>
        <w:spacing w:after="200"/>
        <w:ind w:leftChars="1134" w:left="2268"/>
        <w:jc w:val="left"/>
      </w:pPr>
      <w:r>
        <w:t>编制单位：项目组【待人工确认】</w:t>
      </w:r>
    </w:p>
    <w:p w14:paraId="00F7A368" w14:textId="77777777" w:rsidR="00853D15" w:rsidRDefault="00B5769A" w:rsidP="001A778D">
      <w:pPr>
        <w:spacing w:after="200"/>
        <w:ind w:leftChars="1134" w:left="2268"/>
        <w:jc w:val="left"/>
      </w:pPr>
      <w:r>
        <w:t>编　　制：A（项目负责人）【待人工确认】</w:t>
      </w:r>
    </w:p>
    <w:p w14:paraId="37447279" w14:textId="77777777" w:rsidR="00853D15" w:rsidRDefault="00B5769A" w:rsidP="001A778D">
      <w:pPr>
        <w:spacing w:after="200"/>
        <w:ind w:leftChars="1134" w:left="2268"/>
        <w:jc w:val="left"/>
      </w:pPr>
      <w:r>
        <w:t>审　　核：C（需求与符合性复核）【待人工确认】</w:t>
      </w:r>
    </w:p>
    <w:p w14:paraId="57E84D72" w14:textId="77777777" w:rsidR="00853D15" w:rsidRDefault="00B5769A" w:rsidP="001A778D">
      <w:pPr>
        <w:spacing w:after="200"/>
        <w:ind w:leftChars="1134" w:left="2268"/>
        <w:jc w:val="left"/>
      </w:pPr>
      <w:r>
        <w:t>批　　准：【待 C Review】</w:t>
      </w:r>
    </w:p>
    <w:p w14:paraId="05EFEA48" w14:textId="77777777" w:rsidR="00853D15" w:rsidRDefault="00B5769A" w:rsidP="001A778D">
      <w:pPr>
        <w:spacing w:before="200" w:after="80"/>
        <w:ind w:leftChars="1134" w:left="2268"/>
        <w:jc w:val="left"/>
      </w:pPr>
      <w:r>
        <w:t>编制日期：2026 年 9 月 17 日</w:t>
      </w:r>
    </w:p>
    <w:p w14:paraId="5FFB73CB" w14:textId="77777777" w:rsidR="00853D15" w:rsidRDefault="00B5769A">
      <w:r>
        <w:rPr>
          <w:color w:val="000000"/>
        </w:rPr>
        <w:br w:type="page"/>
      </w:r>
    </w:p>
    <w:p w14:paraId="4C960FF5" w14:textId="77777777" w:rsidR="00853D15" w:rsidRDefault="00B5769A">
      <w:pPr>
        <w:spacing w:before="120" w:after="120"/>
        <w:jc w:val="center"/>
      </w:pPr>
      <w:r>
        <w:rPr>
          <w:rFonts w:eastAsia="黑体"/>
          <w:b/>
          <w:color w:val="000000"/>
          <w:sz w:val="24"/>
        </w:rPr>
        <w:lastRenderedPageBreak/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1"/>
        <w:gridCol w:w="1462"/>
        <w:gridCol w:w="1422"/>
        <w:gridCol w:w="3303"/>
        <w:gridCol w:w="1388"/>
      </w:tblGrid>
      <w:tr w:rsidR="00853D15" w14:paraId="338E53BC" w14:textId="77777777" w:rsidTr="001A778D">
        <w:trPr>
          <w:jc w:val="center"/>
        </w:trPr>
        <w:tc>
          <w:tcPr>
            <w:tcW w:w="1441" w:type="dxa"/>
            <w:shd w:val="clear" w:color="auto" w:fill="D9E2EC"/>
          </w:tcPr>
          <w:p w14:paraId="33EF0258" w14:textId="77777777" w:rsidR="00853D15" w:rsidRDefault="00B5769A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版本</w:t>
            </w:r>
          </w:p>
        </w:tc>
        <w:tc>
          <w:tcPr>
            <w:tcW w:w="1462" w:type="dxa"/>
            <w:shd w:val="clear" w:color="auto" w:fill="D9E2EC"/>
          </w:tcPr>
          <w:p w14:paraId="7339C9B9" w14:textId="77777777" w:rsidR="00853D15" w:rsidRDefault="00B5769A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日期</w:t>
            </w:r>
          </w:p>
        </w:tc>
        <w:tc>
          <w:tcPr>
            <w:tcW w:w="1422" w:type="dxa"/>
            <w:shd w:val="clear" w:color="auto" w:fill="D9E2EC"/>
          </w:tcPr>
          <w:p w14:paraId="0AFCC3A8" w14:textId="77777777" w:rsidR="00853D15" w:rsidRDefault="00B5769A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修订章节</w:t>
            </w:r>
          </w:p>
        </w:tc>
        <w:tc>
          <w:tcPr>
            <w:tcW w:w="3303" w:type="dxa"/>
            <w:shd w:val="clear" w:color="auto" w:fill="D9E2EC"/>
          </w:tcPr>
          <w:p w14:paraId="1DEACAD7" w14:textId="77777777" w:rsidR="00853D15" w:rsidRDefault="00B5769A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修订说明</w:t>
            </w:r>
          </w:p>
        </w:tc>
        <w:tc>
          <w:tcPr>
            <w:tcW w:w="1388" w:type="dxa"/>
            <w:shd w:val="clear" w:color="auto" w:fill="D9E2EC"/>
          </w:tcPr>
          <w:p w14:paraId="53746688" w14:textId="77777777" w:rsidR="00853D15" w:rsidRDefault="00B5769A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编制</w:t>
            </w:r>
            <w:r>
              <w:rPr>
                <w:rFonts w:eastAsia="黑体"/>
                <w:b/>
                <w:color w:val="000000"/>
                <w:sz w:val="21"/>
              </w:rPr>
              <w:t>/</w:t>
            </w:r>
            <w:r>
              <w:rPr>
                <w:rFonts w:eastAsia="黑体"/>
                <w:b/>
                <w:color w:val="000000"/>
                <w:sz w:val="21"/>
              </w:rPr>
              <w:t>修订人</w:t>
            </w:r>
          </w:p>
        </w:tc>
      </w:tr>
      <w:tr w:rsidR="00853D15" w14:paraId="649BC539" w14:textId="77777777" w:rsidTr="001A778D">
        <w:trPr>
          <w:jc w:val="center"/>
        </w:trPr>
        <w:tc>
          <w:tcPr>
            <w:tcW w:w="1441" w:type="dxa"/>
          </w:tcPr>
          <w:p w14:paraId="762F3573" w14:textId="77777777" w:rsidR="00853D15" w:rsidRDefault="00B5769A">
            <w:pPr>
              <w:jc w:val="center"/>
            </w:pPr>
            <w:r>
              <w:t>V0.2</w:t>
            </w:r>
          </w:p>
        </w:tc>
        <w:tc>
          <w:tcPr>
            <w:tcW w:w="1462" w:type="dxa"/>
          </w:tcPr>
          <w:p w14:paraId="0C227B09" w14:textId="77777777" w:rsidR="00853D15" w:rsidRDefault="00B5769A">
            <w:pPr>
              <w:jc w:val="center"/>
            </w:pPr>
            <w:r>
              <w:t>2026-09-17</w:t>
            </w:r>
          </w:p>
        </w:tc>
        <w:tc>
          <w:tcPr>
            <w:tcW w:w="1422" w:type="dxa"/>
          </w:tcPr>
          <w:p w14:paraId="21D6BE4C" w14:textId="77777777" w:rsidR="00853D15" w:rsidRDefault="00B5769A">
            <w:r>
              <w:t>全部</w:t>
            </w:r>
          </w:p>
        </w:tc>
        <w:tc>
          <w:tcPr>
            <w:tcW w:w="3303" w:type="dxa"/>
          </w:tcPr>
          <w:p w14:paraId="464F1BA9" w14:textId="77777777" w:rsidR="00853D15" w:rsidRDefault="00B5769A">
            <w:r>
              <w:t>首次形成概要设计评审稿，待 C 复核</w:t>
            </w:r>
          </w:p>
        </w:tc>
        <w:tc>
          <w:tcPr>
            <w:tcW w:w="1388" w:type="dxa"/>
          </w:tcPr>
          <w:p w14:paraId="63E5091F" w14:textId="77777777" w:rsidR="00853D15" w:rsidRDefault="00B5769A">
            <w:pPr>
              <w:jc w:val="center"/>
            </w:pPr>
            <w:r>
              <w:t>A【待人工确认】</w:t>
            </w:r>
          </w:p>
        </w:tc>
      </w:tr>
    </w:tbl>
    <w:p w14:paraId="747AC85A" w14:textId="77777777" w:rsidR="00853D15" w:rsidRDefault="00B5769A">
      <w:pPr>
        <w:spacing w:before="160" w:after="120"/>
        <w:jc w:val="left"/>
      </w:pPr>
      <w:r>
        <w:rPr>
          <w:rFonts w:eastAsia="宋体"/>
          <w:color w:val="000000"/>
          <w:sz w:val="18"/>
        </w:rPr>
        <w:t>注：本表记录本概要设计的受控版本沿革；本版待 C 复核。</w:t>
      </w:r>
    </w:p>
    <w:p>
      <w:pPr>
        <w:pStyle w:val="1"/>
      </w:pPr>
      <w:r>
        <w:t>1 引言</w:t>
      </w:r>
    </w:p>
    <w:p>
      <w:r>
        <w:t>本说明书依据受控 SRS、spec、RTM、G3-01R、G3-02、constitution 与控制台账，定义应急管理子系统的高层设计。覆盖总体、技术、功能、数据、部署、集成、安全、非功能、接口概述、运行、出错、追踪与演进；不冻结 DLD、DBD、OpenAPI 或 ADR。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原则</w:t>
            </w:r>
          </w:p>
        </w:tc>
        <w:tc>
          <w:tcPr>
            <w:tcW w:type="dxa" w:w="3009"/>
          </w:tcPr>
          <w:p>
            <w:r>
              <w:t>约束</w:t>
            </w:r>
          </w:p>
        </w:tc>
        <w:tc>
          <w:tcPr>
            <w:tcW w:type="dxa" w:w="3009"/>
          </w:tcPr>
          <w:p>
            <w:r>
              <w:t>回指</w:t>
            </w:r>
          </w:p>
        </w:tc>
      </w:tr>
      <w:tr>
        <w:tc>
          <w:tcPr>
            <w:tcW w:type="dxa" w:w="3009"/>
          </w:tcPr>
          <w:p>
            <w:r>
              <w:t>单一写入主责</w:t>
            </w:r>
          </w:p>
        </w:tc>
        <w:tc>
          <w:tcPr>
            <w:tcW w:type="dxa" w:w="3009"/>
          </w:tcPr>
          <w:p>
            <w:r>
              <w:t>领域对象唯一写入模块</w:t>
            </w:r>
          </w:p>
        </w:tc>
        <w:tc>
          <w:tcPr>
            <w:tcW w:type="dxa" w:w="3009"/>
          </w:tcPr>
          <w:p>
            <w:r>
              <w:t>G3-01R</w:t>
            </w:r>
          </w:p>
        </w:tc>
      </w:tr>
      <w:tr>
        <w:tc>
          <w:tcPr>
            <w:tcW w:type="dxa" w:w="3009"/>
          </w:tcPr>
          <w:p>
            <w:r>
              <w:t>先提交后派生</w:t>
            </w:r>
          </w:p>
        </w:tc>
        <w:tc>
          <w:tcPr>
            <w:tcW w:type="dxa" w:w="3009"/>
          </w:tcPr>
          <w:p>
            <w:r>
              <w:t>外部失败不回滚业务提交</w:t>
            </w:r>
          </w:p>
        </w:tc>
        <w:tc>
          <w:tcPr>
            <w:tcW w:type="dxa" w:w="3009"/>
          </w:tcPr>
          <w:p>
            <w:r>
              <w:t>AC-014-01</w:t>
            </w:r>
          </w:p>
        </w:tc>
      </w:tr>
      <w:tr>
        <w:tc>
          <w:tcPr>
            <w:tcW w:type="dxa" w:w="3009"/>
          </w:tcPr>
          <w:p>
            <w:r>
              <w:t>端口隔离</w:t>
            </w:r>
          </w:p>
        </w:tc>
        <w:tc>
          <w:tcPr>
            <w:tcW w:type="dxa" w:w="3009"/>
          </w:tcPr>
          <w:p>
            <w:r>
              <w:t>业务决策不下沉适配器</w:t>
            </w:r>
          </w:p>
        </w:tc>
        <w:tc>
          <w:tcPr>
            <w:tcW w:type="dxa" w:w="3009"/>
          </w:tcPr>
          <w:p>
            <w:r>
              <w:t>KN-064</w:t>
            </w:r>
          </w:p>
        </w:tc>
      </w:tr>
      <w:tr>
        <w:tc>
          <w:tcPr>
            <w:tcW w:type="dxa" w:w="3009"/>
          </w:tcPr>
          <w:p>
            <w:r>
              <w:t>可验证</w:t>
            </w:r>
          </w:p>
        </w:tc>
        <w:tc>
          <w:tcPr>
            <w:tcW w:type="dxa" w:w="3009"/>
          </w:tcPr>
          <w:p>
            <w:r>
              <w:t>未测不写通过</w:t>
            </w:r>
          </w:p>
        </w:tc>
        <w:tc>
          <w:tcPr>
            <w:tcW w:type="dxa" w:w="3009"/>
          </w:tcPr>
          <w:p>
            <w:r>
              <w:t>PE-01—12</w:t>
            </w:r>
          </w:p>
        </w:tc>
      </w:tr>
    </w:tbl>
    <w:p>
      <w:pPr>
        <w:jc w:val="center"/>
      </w:pPr>
      <w:r>
        <w:rPr>
          <w:b/>
        </w:rPr>
        <w:t>表 1-1 设计原则</w:t>
      </w:r>
    </w:p>
    <w:p>
      <w:pPr>
        <w:pStyle w:val="1"/>
      </w:pPr>
      <w:r>
        <w:t>2 总体设计</w:t>
      </w:r>
    </w:p>
    <w:p>
      <w:r>
        <w:t>系统服务 Web、大屏与 H5；统一中台和既有平台提供通用能力，本系统承担应急业务规则、关联、审计与失败处理。ARC-A 是 Proposed 候选，须后续 ADR 和人工决策。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2-1 高层技术架构图</w:t>
      </w:r>
    </w:p>
    <w:p>
      <w:pPr>
        <w:pStyle w:val="1"/>
      </w:pPr>
      <w:r>
        <w:t>3 技术架构</w:t>
      </w:r>
    </w:p>
    <w:p>
      <w:r>
        <w:t>渠道仅经 MOD-PLATFORM 访问领域模块；公共能力提供鉴权上下文、traceId、审计、幂等、错误和健康检查；外部协议由 MOD-INTEGRATION 隔离。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层次</w:t>
            </w:r>
          </w:p>
        </w:tc>
        <w:tc>
          <w:tcPr>
            <w:tcW w:type="dxa" w:w="3009"/>
          </w:tcPr>
          <w:p>
            <w:r>
              <w:t>职责</w:t>
            </w:r>
          </w:p>
        </w:tc>
        <w:tc>
          <w:tcPr>
            <w:tcW w:type="dxa" w:w="3009"/>
          </w:tcPr>
          <w:p>
            <w:r>
              <w:t>元素</w:t>
            </w:r>
          </w:p>
        </w:tc>
      </w:tr>
      <w:tr>
        <w:tc>
          <w:tcPr>
            <w:tcW w:type="dxa" w:w="3009"/>
          </w:tcPr>
          <w:p>
            <w:r>
              <w:t>渠道</w:t>
            </w:r>
          </w:p>
        </w:tc>
        <w:tc>
          <w:tcPr>
            <w:tcW w:type="dxa" w:w="3009"/>
          </w:tcPr>
          <w:p>
            <w:r>
              <w:t>展示和交互</w:t>
            </w:r>
          </w:p>
        </w:tc>
        <w:tc>
          <w:tcPr>
            <w:tcW w:type="dxa" w:w="3009"/>
          </w:tcPr>
          <w:p>
            <w:r>
              <w:t>Web、大屏、H5</w:t>
            </w:r>
          </w:p>
        </w:tc>
      </w:tr>
      <w:tr>
        <w:tc>
          <w:tcPr>
            <w:tcW w:type="dxa" w:w="3009"/>
          </w:tcPr>
          <w:p>
            <w:r>
              <w:t>边界</w:t>
            </w:r>
          </w:p>
        </w:tc>
        <w:tc>
          <w:tcPr>
            <w:tcW w:type="dxa" w:w="3009"/>
          </w:tcPr>
          <w:p>
            <w:r>
              <w:t>统一入口和治理</w:t>
            </w:r>
          </w:p>
        </w:tc>
        <w:tc>
          <w:tcPr>
            <w:tcW w:type="dxa" w:w="3009"/>
          </w:tcPr>
          <w:p>
            <w:r>
              <w:t>MOD-PLATFORM</w:t>
            </w:r>
          </w:p>
        </w:tc>
      </w:tr>
      <w:tr>
        <w:tc>
          <w:tcPr>
            <w:tcW w:type="dxa" w:w="3009"/>
          </w:tcPr>
          <w:p>
            <w:r>
              <w:t>领域</w:t>
            </w:r>
          </w:p>
        </w:tc>
        <w:tc>
          <w:tcPr>
            <w:tcW w:type="dxa" w:w="3009"/>
          </w:tcPr>
          <w:p>
            <w:r>
              <w:t>业务与数据主责</w:t>
            </w:r>
          </w:p>
        </w:tc>
        <w:tc>
          <w:tcPr>
            <w:tcW w:type="dxa" w:w="3009"/>
          </w:tcPr>
          <w:p>
            <w:r>
              <w:t>PLAN/EVENT/TASK/RESOURCE等</w:t>
            </w:r>
          </w:p>
        </w:tc>
      </w:tr>
      <w:tr>
        <w:tc>
          <w:tcPr>
            <w:tcW w:type="dxa" w:w="3009"/>
          </w:tcPr>
          <w:p>
            <w:r>
              <w:t>投影/适配</w:t>
            </w:r>
          </w:p>
        </w:tc>
        <w:tc>
          <w:tcPr>
            <w:tcW w:type="dxa" w:w="3009"/>
          </w:tcPr>
          <w:p>
            <w:r>
              <w:t>读模型与端口隔离</w:t>
            </w:r>
          </w:p>
        </w:tc>
        <w:tc>
          <w:tcPr>
            <w:tcW w:type="dxa" w:w="3009"/>
          </w:tcPr>
          <w:p>
            <w:r>
              <w:t>SITUATION/INTEGRATION</w:t>
            </w:r>
          </w:p>
        </w:tc>
      </w:tr>
    </w:tbl>
    <w:p>
      <w:pPr>
        <w:jc w:val="center"/>
      </w:pPr>
      <w:r>
        <w:rPr>
          <w:b/>
        </w:rPr>
        <w:t>表 3-1 技术分层</w:t>
      </w:r>
    </w:p>
    <w:p>
      <w:pPr>
        <w:pStyle w:val="1"/>
      </w:pPr>
      <w:r>
        <w:t>4 功能架构</w:t>
      </w:r>
    </w:p>
    <w:p>
      <w:r>
        <w:t>MOD-PLAN 管预案，MOD-EVENT 管事件，MOD-TASK 管处置，MOD-SITUATION 管可重建读投影，MOD-RESOURCE 管人员物资，MOD-DUTY 管值班，MOD-DRILL 管演练，MOD-KNOWLEDGE 管知识，MOD-MOBILE 管 H5，MOD-INTEGRATION 管端口，MOD-PLATFORM 管横切能力。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模块</w:t>
            </w:r>
          </w:p>
        </w:tc>
        <w:tc>
          <w:tcPr>
            <w:tcW w:type="dxa" w:w="3009"/>
          </w:tcPr>
          <w:p>
            <w:r>
              <w:t>主责</w:t>
            </w:r>
          </w:p>
        </w:tc>
        <w:tc>
          <w:tcPr>
            <w:tcW w:type="dxa" w:w="3009"/>
          </w:tcPr>
          <w:p>
            <w:r>
              <w:t>FR</w:t>
            </w:r>
          </w:p>
        </w:tc>
      </w:tr>
      <w:tr>
        <w:tc>
          <w:tcPr>
            <w:tcW w:type="dxa" w:w="3009"/>
          </w:tcPr>
          <w:p>
            <w:r>
              <w:t>PLAN/EVENT/TASK</w:t>
            </w:r>
          </w:p>
        </w:tc>
        <w:tc>
          <w:tcPr>
            <w:tcW w:type="dxa" w:w="3009"/>
          </w:tcPr>
          <w:p>
            <w:r>
              <w:t>预案、事件、任务</w:t>
            </w:r>
          </w:p>
        </w:tc>
        <w:tc>
          <w:tcPr>
            <w:tcW w:type="dxa" w:w="3009"/>
          </w:tcPr>
          <w:p>
            <w:r>
              <w:t>001—003、013—016、020、022</w:t>
            </w:r>
          </w:p>
        </w:tc>
      </w:tr>
      <w:tr>
        <w:tc>
          <w:tcPr>
            <w:tcW w:type="dxa" w:w="3009"/>
          </w:tcPr>
          <w:p>
            <w:r>
              <w:t>SITUATION/RESOURCE</w:t>
            </w:r>
          </w:p>
        </w:tc>
        <w:tc>
          <w:tcPr>
            <w:tcW w:type="dxa" w:w="3009"/>
          </w:tcPr>
          <w:p>
            <w:r>
              <w:t>态势、人员、物资、盘点</w:t>
            </w:r>
          </w:p>
        </w:tc>
        <w:tc>
          <w:tcPr>
            <w:tcW w:type="dxa" w:w="3009"/>
          </w:tcPr>
          <w:p>
            <w:r>
              <w:t>004—009、025、026、039</w:t>
            </w:r>
          </w:p>
        </w:tc>
      </w:tr>
      <w:tr>
        <w:tc>
          <w:tcPr>
            <w:tcW w:type="dxa" w:w="3009"/>
          </w:tcPr>
          <w:p>
            <w:r>
              <w:t>DUTY/DRILL/KNOWLEDGE</w:t>
            </w:r>
          </w:p>
        </w:tc>
        <w:tc>
          <w:tcPr>
            <w:tcW w:type="dxa" w:w="3009"/>
          </w:tcPr>
          <w:p>
            <w:r>
              <w:t>值班、演练、知识</w:t>
            </w:r>
          </w:p>
        </w:tc>
        <w:tc>
          <w:tcPr>
            <w:tcW w:type="dxa" w:w="3009"/>
          </w:tcPr>
          <w:p>
            <w:r>
              <w:t>010—012、017—024、036、038</w:t>
            </w:r>
          </w:p>
        </w:tc>
      </w:tr>
      <w:tr>
        <w:tc>
          <w:tcPr>
            <w:tcW w:type="dxa" w:w="3009"/>
          </w:tcPr>
          <w:p>
            <w:r>
              <w:t>MOBILE/INTEGRATION/PLATFORM</w:t>
            </w:r>
          </w:p>
        </w:tc>
        <w:tc>
          <w:tcPr>
            <w:tcW w:type="dxa" w:w="3009"/>
          </w:tcPr>
          <w:p>
            <w:r>
              <w:t>渠道、端口、公共能力</w:t>
            </w:r>
          </w:p>
        </w:tc>
        <w:tc>
          <w:tcPr>
            <w:tcW w:type="dxa" w:w="3009"/>
          </w:tcPr>
          <w:p>
            <w:r>
              <w:t>021—029；横切001—039</w:t>
            </w:r>
          </w:p>
        </w:tc>
      </w:tr>
    </w:tbl>
    <w:p>
      <w:pPr>
        <w:jc w:val="center"/>
      </w:pPr>
      <w:r>
        <w:rPr>
          <w:b/>
        </w:rPr>
        <w:t>表 4-1 模块与需求覆盖</w:t>
      </w:r>
    </w:p>
    <w:p>
      <w:pPr>
        <w:pStyle w:val="1"/>
      </w:pPr>
      <w:r>
        <w:t>5 数据架构</w:t>
      </w:r>
    </w:p>
    <w:p>
      <w:r>
        <w:t>数据按领域拥有：预案、事件、任务、资源、值班、演练、知识各有唯一写入主责；所有跨系统记录保留业务标识、外部标识、traceId 与业务发生/源产生/系统接收/处理时间。MOD-SITUATION 仅为可重建投影。物理设计留待 G3-04。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0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5-1 领域数据流图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数据</w:t>
            </w:r>
          </w:p>
        </w:tc>
        <w:tc>
          <w:tcPr>
            <w:tcW w:type="dxa" w:w="3009"/>
          </w:tcPr>
          <w:p>
            <w:r>
              <w:t>规则</w:t>
            </w:r>
          </w:p>
        </w:tc>
        <w:tc>
          <w:tcPr>
            <w:tcW w:type="dxa" w:w="3009"/>
          </w:tcPr>
          <w:p>
            <w:r>
              <w:t>后续</w:t>
            </w:r>
          </w:p>
        </w:tc>
      </w:tr>
      <w:tr>
        <w:tc>
          <w:tcPr>
            <w:tcW w:type="dxa" w:w="3009"/>
          </w:tcPr>
          <w:p>
            <w:r>
              <w:t>业务事实</w:t>
            </w:r>
          </w:p>
        </w:tc>
        <w:tc>
          <w:tcPr>
            <w:tcW w:type="dxa" w:w="3009"/>
          </w:tcPr>
          <w:p>
            <w:r>
              <w:t>唯一写入、逻辑删除、审计</w:t>
            </w:r>
          </w:p>
        </w:tc>
        <w:tc>
          <w:tcPr>
            <w:tcW w:type="dxa" w:w="3009"/>
          </w:tcPr>
          <w:p>
            <w:r>
              <w:t>G3-04/05</w:t>
            </w:r>
          </w:p>
        </w:tc>
      </w:tr>
      <w:tr>
        <w:tc>
          <w:tcPr>
            <w:tcW w:type="dxa" w:w="3009"/>
          </w:tcPr>
          <w:p>
            <w:r>
              <w:t>跨系统关联</w:t>
            </w:r>
          </w:p>
        </w:tc>
        <w:tc>
          <w:tcPr>
            <w:tcW w:type="dxa" w:w="3009"/>
          </w:tcPr>
          <w:p>
            <w:r>
              <w:t>ID、traceId、四类时间</w:t>
            </w:r>
          </w:p>
        </w:tc>
        <w:tc>
          <w:tcPr>
            <w:tcW w:type="dxa" w:w="3009"/>
          </w:tcPr>
          <w:p>
            <w:r>
              <w:t>G3-06</w:t>
            </w:r>
          </w:p>
        </w:tc>
      </w:tr>
      <w:tr>
        <w:tc>
          <w:tcPr>
            <w:tcW w:type="dxa" w:w="3009"/>
          </w:tcPr>
          <w:p>
            <w:r>
              <w:t>投影</w:t>
            </w:r>
          </w:p>
        </w:tc>
        <w:tc>
          <w:tcPr>
            <w:tcW w:type="dxa" w:w="3009"/>
          </w:tcPr>
          <w:p>
            <w:r>
              <w:t>可重建，不反写事实</w:t>
            </w:r>
          </w:p>
        </w:tc>
        <w:tc>
          <w:tcPr>
            <w:tcW w:type="dxa" w:w="3009"/>
          </w:tcPr>
          <w:p>
            <w:r>
              <w:t>G3-05</w:t>
            </w:r>
          </w:p>
        </w:tc>
      </w:tr>
      <w:tr>
        <w:tc>
          <w:tcPr>
            <w:tcW w:type="dxa" w:w="3009"/>
          </w:tcPr>
          <w:p>
            <w:r>
              <w:t>审计</w:t>
            </w:r>
          </w:p>
        </w:tc>
        <w:tc>
          <w:tcPr>
            <w:tcW w:type="dxa" w:w="3009"/>
          </w:tcPr>
          <w:p>
            <w:r>
              <w:t>操作、授权、调用、结果</w:t>
            </w:r>
          </w:p>
        </w:tc>
        <w:tc>
          <w:tcPr>
            <w:tcW w:type="dxa" w:w="3009"/>
          </w:tcPr>
          <w:p>
            <w:r>
              <w:t>G3-07</w:t>
            </w:r>
          </w:p>
        </w:tc>
      </w:tr>
    </w:tbl>
    <w:p>
      <w:pPr>
        <w:jc w:val="center"/>
      </w:pPr>
      <w:r>
        <w:rPr>
          <w:b/>
        </w:rPr>
        <w:t>表 5-1 数据治理边界</w:t>
      </w:r>
    </w:p>
    <w:p>
      <w:pPr>
        <w:pStyle w:val="1"/>
      </w:pPr>
      <w:r>
        <w:t>6 部署架构</w:t>
      </w:r>
    </w:p>
    <w:p>
      <w:r>
        <w:t>甲方内部环境私有化容器部署，配置、凭据和日志不进入制品。渠道/API、领域业务、外部适配、数据与观测是逻辑故障域；KN-070—078 为建议，待容量、网络、存储和恢复验证。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0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6-1 逻辑部署与故障域图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t>故障域</w:t>
            </w:r>
          </w:p>
        </w:tc>
        <w:tc>
          <w:tcPr>
            <w:tcW w:type="dxa" w:w="4513"/>
          </w:tcPr>
          <w:p>
            <w:r>
              <w:t>隔离与恢复</w:t>
            </w:r>
          </w:p>
        </w:tc>
      </w:tr>
      <w:tr>
        <w:tc>
          <w:tcPr>
            <w:tcW w:type="dxa" w:w="4513"/>
          </w:tcPr>
          <w:p>
            <w:r>
              <w:t>渠道/API</w:t>
            </w:r>
          </w:p>
        </w:tc>
        <w:tc>
          <w:tcPr>
            <w:tcW w:type="dxa" w:w="4513"/>
          </w:tcPr>
          <w:p>
            <w:r>
              <w:t>限时、鉴权、健康检查</w:t>
            </w:r>
          </w:p>
        </w:tc>
      </w:tr>
      <w:tr>
        <w:tc>
          <w:tcPr>
            <w:tcW w:type="dxa" w:w="4513"/>
          </w:tcPr>
          <w:p>
            <w:r>
              <w:t>领域业务</w:t>
            </w:r>
          </w:p>
        </w:tc>
        <w:tc>
          <w:tcPr>
            <w:tcW w:type="dxa" w:w="4513"/>
          </w:tcPr>
          <w:p>
            <w:r>
              <w:t>先持久化，再派生</w:t>
            </w:r>
          </w:p>
        </w:tc>
      </w:tr>
      <w:tr>
        <w:tc>
          <w:tcPr>
            <w:tcW w:type="dxa" w:w="4513"/>
          </w:tcPr>
          <w:p>
            <w:r>
              <w:t>外部适配</w:t>
            </w:r>
          </w:p>
        </w:tc>
        <w:tc>
          <w:tcPr>
            <w:tcW w:type="dxa" w:w="4513"/>
          </w:tcPr>
          <w:p>
            <w:r>
              <w:t>有限重试、审计、人工降级</w:t>
            </w:r>
          </w:p>
        </w:tc>
      </w:tr>
      <w:tr>
        <w:tc>
          <w:tcPr>
            <w:tcW w:type="dxa" w:w="4513"/>
          </w:tcPr>
          <w:p>
            <w:r>
              <w:t>数据/观测</w:t>
            </w:r>
          </w:p>
        </w:tc>
        <w:tc>
          <w:tcPr>
            <w:tcW w:type="dxa" w:w="4513"/>
          </w:tcPr>
          <w:p>
            <w:r>
              <w:t>备份恢复、关联日志、告警</w:t>
            </w:r>
          </w:p>
        </w:tc>
      </w:tr>
    </w:tbl>
    <w:p>
      <w:pPr>
        <w:jc w:val="center"/>
      </w:pPr>
      <w:r>
        <w:rPr>
          <w:b/>
        </w:rPr>
        <w:t>表 6-1 故障域</w:t>
      </w:r>
    </w:p>
    <w:p>
      <w:pPr>
        <w:pStyle w:val="1"/>
      </w:pPr>
      <w:r>
        <w:t>7 集成架构</w:t>
      </w:r>
    </w:p>
    <w:p>
      <w:r>
        <w:t>EXT-VIDEO、EXT-PUBLISH、EXT-INTRUSION、EXT-ACCESS、EXT-FIRE、EXT-IOT、EXT-MIDDLE、EXT-MESSAGE 保持独立逻辑语义。ISSUE-G3-01-001 OPEN：字段、认证、回执和性能待验证，禁止冻结或宣称连通。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0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7-1 集成架构图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端口</w:t>
            </w:r>
          </w:p>
        </w:tc>
        <w:tc>
          <w:tcPr>
            <w:tcW w:type="dxa" w:w="3009"/>
          </w:tcPr>
          <w:p>
            <w:r>
              <w:t>责任</w:t>
            </w:r>
          </w:p>
        </w:tc>
        <w:tc>
          <w:tcPr>
            <w:tcW w:type="dxa" w:w="3009"/>
          </w:tcPr>
          <w:p>
            <w:r>
              <w:t>状态</w:t>
            </w:r>
          </w:p>
        </w:tc>
      </w:tr>
      <w:tr>
        <w:tc>
          <w:tcPr>
            <w:tcW w:type="dxa" w:w="3009"/>
          </w:tcPr>
          <w:p>
            <w:r>
              <w:t>VIDEO/PUBLISH</w:t>
            </w:r>
          </w:p>
        </w:tc>
        <w:tc>
          <w:tcPr>
            <w:tcW w:type="dxa" w:w="3009"/>
          </w:tcPr>
          <w:p>
            <w:r>
              <w:t>关联、授权、回执、降级</w:t>
            </w:r>
          </w:p>
        </w:tc>
        <w:tc>
          <w:tcPr>
            <w:tcW w:type="dxa" w:w="3009"/>
          </w:tcPr>
          <w:p>
            <w:r>
              <w:t>PENDING_INTERFACE_VALIDATION</w:t>
            </w:r>
          </w:p>
        </w:tc>
      </w:tr>
      <w:tr>
        <w:tc>
          <w:tcPr>
            <w:tcW w:type="dxa" w:w="3009"/>
          </w:tcPr>
          <w:p>
            <w:r>
              <w:t>INTRUSION/ACCESS/FIRE</w:t>
            </w:r>
          </w:p>
        </w:tc>
        <w:tc>
          <w:tcPr>
            <w:tcW w:type="dxa" w:w="3009"/>
          </w:tcPr>
          <w:p>
            <w:r>
              <w:t>独立语义、审计、失败处置</w:t>
            </w:r>
          </w:p>
        </w:tc>
        <w:tc>
          <w:tcPr>
            <w:tcW w:type="dxa" w:w="3009"/>
          </w:tcPr>
          <w:p>
            <w:r>
              <w:t>PENDING_INTERFACE_VALIDATION</w:t>
            </w:r>
          </w:p>
        </w:tc>
      </w:tr>
      <w:tr>
        <w:tc>
          <w:tcPr>
            <w:tcW w:type="dxa" w:w="3009"/>
          </w:tcPr>
          <w:p>
            <w:r>
              <w:t>IOT/MIDDLE/MESSAGE</w:t>
            </w:r>
          </w:p>
        </w:tc>
        <w:tc>
          <w:tcPr>
            <w:tcW w:type="dxa" w:w="3009"/>
          </w:tcPr>
          <w:p>
            <w:r>
              <w:t>校验去重、身份消息关联</w:t>
            </w:r>
          </w:p>
        </w:tc>
        <w:tc>
          <w:tcPr>
            <w:tcW w:type="dxa" w:w="3009"/>
          </w:tcPr>
          <w:p>
            <w:r>
              <w:t>PENDING_INTERFACE_VALIDATION</w:t>
            </w:r>
          </w:p>
        </w:tc>
      </w:tr>
    </w:tbl>
    <w:p>
      <w:pPr>
        <w:jc w:val="center"/>
      </w:pPr>
      <w:r>
        <w:rPr>
          <w:b/>
        </w:rPr>
        <w:t>表 7-1 端口边界</w:t>
      </w:r>
    </w:p>
    <w:p>
      <w:pPr>
        <w:pStyle w:val="1"/>
      </w:pPr>
      <w:r>
        <w:t>8 安全架构</w:t>
      </w:r>
    </w:p>
    <w:p>
      <w:r>
        <w:t>采用统一认证授权、最小权限、输入校验、敏感操作审计、凭据外置、脱敏日志和私有化分区。安全要求与高危漏洞、审计留存、扫描门禁均是后续验证条件，不宣称实测通过。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层面</w:t>
            </w:r>
          </w:p>
        </w:tc>
        <w:tc>
          <w:tcPr>
            <w:tcW w:type="dxa" w:w="3009"/>
          </w:tcPr>
          <w:p>
            <w:r>
              <w:t>措施</w:t>
            </w:r>
          </w:p>
        </w:tc>
        <w:tc>
          <w:tcPr>
            <w:tcW w:type="dxa" w:w="3009"/>
          </w:tcPr>
          <w:p>
            <w:r>
              <w:t>验证</w:t>
            </w:r>
          </w:p>
        </w:tc>
      </w:tr>
      <w:tr>
        <w:tc>
          <w:tcPr>
            <w:tcW w:type="dxa" w:w="3009"/>
          </w:tcPr>
          <w:p>
            <w:r>
              <w:t>身份权限</w:t>
            </w:r>
          </w:p>
        </w:tc>
        <w:tc>
          <w:tcPr>
            <w:tcW w:type="dxa" w:w="3009"/>
          </w:tcPr>
          <w:p>
            <w:r>
              <w:t>统一上下文、最小权限</w:t>
            </w:r>
          </w:p>
        </w:tc>
        <w:tc>
          <w:tcPr>
            <w:tcW w:type="dxa" w:w="3009"/>
          </w:tcPr>
          <w:p>
            <w:r>
              <w:t>AC-013-03</w:t>
            </w:r>
          </w:p>
        </w:tc>
      </w:tr>
      <w:tr>
        <w:tc>
          <w:tcPr>
            <w:tcW w:type="dxa" w:w="3009"/>
          </w:tcPr>
          <w:p>
            <w:r>
              <w:t>接口</w:t>
            </w:r>
          </w:p>
        </w:tc>
        <w:tc>
          <w:tcPr>
            <w:tcW w:type="dxa" w:w="3009"/>
          </w:tcPr>
          <w:p>
            <w:r>
              <w:t>校验、幂等、统一错误</w:t>
            </w:r>
          </w:p>
        </w:tc>
        <w:tc>
          <w:tcPr>
            <w:tcW w:type="dxa" w:w="3009"/>
          </w:tcPr>
          <w:p>
            <w:r>
              <w:t>AC-020-02</w:t>
            </w:r>
          </w:p>
        </w:tc>
      </w:tr>
      <w:tr>
        <w:tc>
          <w:tcPr>
            <w:tcW w:type="dxa" w:w="3009"/>
          </w:tcPr>
          <w:p>
            <w:r>
              <w:t>数据日志</w:t>
            </w:r>
          </w:p>
        </w:tc>
        <w:tc>
          <w:tcPr>
            <w:tcW w:type="dxa" w:w="3009"/>
          </w:tcPr>
          <w:p>
            <w:r>
              <w:t>脱敏、逻辑删除、审计</w:t>
            </w:r>
          </w:p>
        </w:tc>
        <w:tc>
          <w:tcPr>
            <w:tcW w:type="dxa" w:w="3009"/>
          </w:tcPr>
          <w:p>
            <w:r>
              <w:t>KN-042—045</w:t>
            </w:r>
          </w:p>
        </w:tc>
      </w:tr>
      <w:tr>
        <w:tc>
          <w:tcPr>
            <w:tcW w:type="dxa" w:w="3009"/>
          </w:tcPr>
          <w:p>
            <w:r>
              <w:t>部署</w:t>
            </w:r>
          </w:p>
        </w:tc>
        <w:tc>
          <w:tcPr>
            <w:tcW w:type="dxa" w:w="3009"/>
          </w:tcPr>
          <w:p>
            <w:r>
              <w:t>内网、凭据外置</w:t>
            </w:r>
          </w:p>
        </w:tc>
        <w:tc>
          <w:tcPr>
            <w:tcW w:type="dxa" w:w="3009"/>
          </w:tcPr>
          <w:p>
            <w:r>
              <w:t>KN-005、040</w:t>
            </w:r>
          </w:p>
        </w:tc>
      </w:tr>
    </w:tbl>
    <w:p>
      <w:pPr>
        <w:jc w:val="center"/>
      </w:pPr>
      <w:r>
        <w:rPr>
          <w:b/>
        </w:rPr>
        <w:t>表 8-1 安全措施</w:t>
      </w:r>
    </w:p>
    <w:p>
      <w:pPr>
        <w:pStyle w:val="1"/>
      </w:pPr>
      <w:r>
        <w:t>9 非功能设计</w:t>
      </w:r>
    </w:p>
    <w:p>
      <w:r>
        <w:t>按 GB/T 25000.10 组织性能效率、可靠性、安全性、兼容性、可维护性与可移植性。预案≤3秒、告警≤2秒、定位≤2秒、视频≤3秒、95%页面≤3秒、峰值≥100人、试运行≥99.5%、MTTR≤2小时均为待测要求。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特性</w:t>
            </w:r>
          </w:p>
        </w:tc>
        <w:tc>
          <w:tcPr>
            <w:tcW w:type="dxa" w:w="3009"/>
          </w:tcPr>
          <w:p>
            <w:r>
              <w:t>机制</w:t>
            </w:r>
          </w:p>
        </w:tc>
        <w:tc>
          <w:tcPr>
            <w:tcW w:type="dxa" w:w="3009"/>
          </w:tcPr>
          <w:p>
            <w:r>
              <w:t>追踪</w:t>
            </w:r>
          </w:p>
        </w:tc>
      </w:tr>
      <w:tr>
        <w:tc>
          <w:tcPr>
            <w:tcW w:type="dxa" w:w="3009"/>
          </w:tcPr>
          <w:p>
            <w:r>
              <w:t>性能</w:t>
            </w:r>
          </w:p>
        </w:tc>
        <w:tc>
          <w:tcPr>
            <w:tcW w:type="dxa" w:w="3009"/>
          </w:tcPr>
          <w:p>
            <w:r>
              <w:t>预算、读投影、限时</w:t>
            </w:r>
          </w:p>
        </w:tc>
        <w:tc>
          <w:tcPr>
            <w:tcW w:type="dxa" w:w="3009"/>
          </w:tcPr>
          <w:p>
            <w:r>
              <w:t>PE-01—12</w:t>
            </w:r>
          </w:p>
        </w:tc>
      </w:tr>
      <w:tr>
        <w:tc>
          <w:tcPr>
            <w:tcW w:type="dxa" w:w="3009"/>
          </w:tcPr>
          <w:p>
            <w:r>
              <w:t>可靠性</w:t>
            </w:r>
          </w:p>
        </w:tc>
        <w:tc>
          <w:tcPr>
            <w:tcW w:type="dxa" w:w="3009"/>
          </w:tcPr>
          <w:p>
            <w:r>
              <w:t>持久化、恢复、降级</w:t>
            </w:r>
          </w:p>
        </w:tc>
        <w:tc>
          <w:tcPr>
            <w:tcW w:type="dxa" w:w="3009"/>
          </w:tcPr>
          <w:p>
            <w:r>
              <w:t>KN-040、041</w:t>
            </w:r>
          </w:p>
        </w:tc>
      </w:tr>
      <w:tr>
        <w:tc>
          <w:tcPr>
            <w:tcW w:type="dxa" w:w="3009"/>
          </w:tcPr>
          <w:p>
            <w:r>
              <w:t>安全</w:t>
            </w:r>
          </w:p>
        </w:tc>
        <w:tc>
          <w:tcPr>
            <w:tcW w:type="dxa" w:w="3009"/>
          </w:tcPr>
          <w:p>
            <w:r>
              <w:t>授权、审计、扫描</w:t>
            </w:r>
          </w:p>
        </w:tc>
        <w:tc>
          <w:tcPr>
            <w:tcW w:type="dxa" w:w="3009"/>
          </w:tcPr>
          <w:p>
            <w:r>
              <w:t>KN-042—045</w:t>
            </w:r>
          </w:p>
        </w:tc>
      </w:tr>
      <w:tr>
        <w:tc>
          <w:tcPr>
            <w:tcW w:type="dxa" w:w="3009"/>
          </w:tcPr>
          <w:p>
            <w:r>
              <w:t>可移植</w:t>
            </w:r>
          </w:p>
        </w:tc>
        <w:tc>
          <w:tcPr>
            <w:tcW w:type="dxa" w:w="3009"/>
          </w:tcPr>
          <w:p>
            <w:r>
              <w:t>容器、配置外置</w:t>
            </w:r>
          </w:p>
        </w:tc>
        <w:tc>
          <w:tcPr>
            <w:tcW w:type="dxa" w:w="3009"/>
          </w:tcPr>
          <w:p>
            <w:r>
              <w:t>KN-005、038</w:t>
            </w:r>
          </w:p>
        </w:tc>
      </w:tr>
    </w:tbl>
    <w:p>
      <w:pPr>
        <w:jc w:val="center"/>
      </w:pPr>
      <w:r>
        <w:rPr>
          <w:b/>
        </w:rPr>
        <w:t>表 9-1 NFR 映射</w:t>
      </w:r>
    </w:p>
    <w:p>
      <w:pPr>
        <w:pStyle w:val="1"/>
      </w:pPr>
      <w:r>
        <w:t>10 接口设计概述</w:t>
      </w:r>
    </w:p>
    <w:p>
      <w:r>
        <w:t>内部服务经 MOD-PLATFORM 统一边界暴露；版本、鉴权、traceId、幂等、错误和审计为共性约束。【待 G3-06 固化】字段、OpenAPI Schema、外部认证细节和版本策略。</w:t>
      </w:r>
    </w:p>
    <w:p>
      <w:pPr>
        <w:pStyle w:val="1"/>
      </w:pPr>
      <w:r>
        <w:t>11 运行设计</w:t>
      </w:r>
    </w:p>
    <w:p>
      <w:r>
        <w:t>渠道请求先鉴权校验并生成 traceId；领域提交成功后再派生通知、适配调用和态势投影。外部不可用保持业务状态，记录失败、有限重试和人工降级；控制指令不自动重放。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0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图 11-1 运行处理流程图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场景</w:t>
            </w:r>
          </w:p>
        </w:tc>
        <w:tc>
          <w:tcPr>
            <w:tcW w:type="dxa" w:w="3009"/>
          </w:tcPr>
          <w:p>
            <w:r>
              <w:t>规则</w:t>
            </w:r>
          </w:p>
        </w:tc>
        <w:tc>
          <w:tcPr>
            <w:tcW w:type="dxa" w:w="3009"/>
          </w:tcPr>
          <w:p>
            <w:r>
              <w:t>证据</w:t>
            </w:r>
          </w:p>
        </w:tc>
      </w:tr>
      <w:tr>
        <w:tc>
          <w:tcPr>
            <w:tcW w:type="dxa" w:w="3009"/>
          </w:tcPr>
          <w:p>
            <w:r>
              <w:t>提交</w:t>
            </w:r>
          </w:p>
        </w:tc>
        <w:tc>
          <w:tcPr>
            <w:tcW w:type="dxa" w:w="3009"/>
          </w:tcPr>
          <w:p>
            <w:r>
              <w:t>先持久化</w:t>
            </w:r>
          </w:p>
        </w:tc>
        <w:tc>
          <w:tcPr>
            <w:tcW w:type="dxa" w:w="3009"/>
          </w:tcPr>
          <w:p>
            <w:r>
              <w:t>业务ID/traceId</w:t>
            </w:r>
          </w:p>
        </w:tc>
      </w:tr>
      <w:tr>
        <w:tc>
          <w:tcPr>
            <w:tcW w:type="dxa" w:w="3009"/>
          </w:tcPr>
          <w:p>
            <w:r>
              <w:t>外部失败</w:t>
            </w:r>
          </w:p>
        </w:tc>
        <w:tc>
          <w:tcPr>
            <w:tcW w:type="dxa" w:w="3009"/>
          </w:tcPr>
          <w:p>
            <w:r>
              <w:t>保留状态、人工降级</w:t>
            </w:r>
          </w:p>
        </w:tc>
        <w:tc>
          <w:tcPr>
            <w:tcW w:type="dxa" w:w="3009"/>
          </w:tcPr>
          <w:p>
            <w:r>
              <w:t>调用审计</w:t>
            </w:r>
          </w:p>
        </w:tc>
      </w:tr>
      <w:tr>
        <w:tc>
          <w:tcPr>
            <w:tcW w:type="dxa" w:w="3009"/>
          </w:tcPr>
          <w:p>
            <w:r>
              <w:t>控制调用</w:t>
            </w:r>
          </w:p>
        </w:tc>
        <w:tc>
          <w:tcPr>
            <w:tcW w:type="dxa" w:w="3009"/>
          </w:tcPr>
          <w:p>
            <w:r>
              <w:t>二次确认，不自动重放</w:t>
            </w:r>
          </w:p>
        </w:tc>
        <w:tc>
          <w:tcPr>
            <w:tcW w:type="dxa" w:w="3009"/>
          </w:tcPr>
          <w:p>
            <w:r>
              <w:t>授权/回执</w:t>
            </w:r>
          </w:p>
        </w:tc>
      </w:tr>
      <w:tr>
        <w:tc>
          <w:tcPr>
            <w:tcW w:type="dxa" w:w="3009"/>
          </w:tcPr>
          <w:p>
            <w:r>
              <w:t>恢复</w:t>
            </w:r>
          </w:p>
        </w:tc>
        <w:tc>
          <w:tcPr>
            <w:tcW w:type="dxa" w:w="3009"/>
          </w:tcPr>
          <w:p>
            <w:r>
              <w:t>健康检查、演练</w:t>
            </w:r>
          </w:p>
        </w:tc>
        <w:tc>
          <w:tcPr>
            <w:tcW w:type="dxa" w:w="3009"/>
          </w:tcPr>
          <w:p>
            <w:r>
              <w:t>监控记录</w:t>
            </w:r>
          </w:p>
        </w:tc>
      </w:tr>
    </w:tbl>
    <w:p>
      <w:pPr>
        <w:jc w:val="center"/>
      </w:pPr>
      <w:r>
        <w:rPr>
          <w:b/>
        </w:rPr>
        <w:t>表 11-1 运行控制</w:t>
      </w:r>
    </w:p>
    <w:p>
      <w:pPr>
        <w:pStyle w:val="1"/>
      </w:pPr>
      <w:r>
        <w:t>12 出错处理设计</w:t>
      </w:r>
    </w:p>
    <w:p>
      <w:r>
        <w:t>无权或输入错误不形成不完整状态；外部超时记录请求/结果并转人工；重复或迟到回执按幂等键关联；安全联锁失败等待人工处置。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类别</w:t>
            </w:r>
          </w:p>
        </w:tc>
        <w:tc>
          <w:tcPr>
            <w:tcW w:type="dxa" w:w="3009"/>
          </w:tcPr>
          <w:p>
            <w:r>
              <w:t>原则</w:t>
            </w:r>
          </w:p>
        </w:tc>
        <w:tc>
          <w:tcPr>
            <w:tcW w:type="dxa" w:w="3009"/>
          </w:tcPr>
          <w:p>
            <w:r>
              <w:t>回指</w:t>
            </w:r>
          </w:p>
        </w:tc>
      </w:tr>
      <w:tr>
        <w:tc>
          <w:tcPr>
            <w:tcW w:type="dxa" w:w="3009"/>
          </w:tcPr>
          <w:p>
            <w:r>
              <w:t>无权/输入</w:t>
            </w:r>
          </w:p>
        </w:tc>
        <w:tc>
          <w:tcPr>
            <w:tcW w:type="dxa" w:w="3009"/>
          </w:tcPr>
          <w:p>
            <w:r>
              <w:t>拒绝、统一错误</w:t>
            </w:r>
          </w:p>
        </w:tc>
        <w:tc>
          <w:tcPr>
            <w:tcW w:type="dxa" w:w="3009"/>
          </w:tcPr>
          <w:p>
            <w:r>
              <w:t>AC-013-03</w:t>
            </w:r>
          </w:p>
        </w:tc>
      </w:tr>
      <w:tr>
        <w:tc>
          <w:tcPr>
            <w:tcW w:type="dxa" w:w="3009"/>
          </w:tcPr>
          <w:p>
            <w:r>
              <w:t>超时失败</w:t>
            </w:r>
          </w:p>
        </w:tc>
        <w:tc>
          <w:tcPr>
            <w:tcW w:type="dxa" w:w="3009"/>
          </w:tcPr>
          <w:p>
            <w:r>
              <w:t>有限重试、降级</w:t>
            </w:r>
          </w:p>
        </w:tc>
        <w:tc>
          <w:tcPr>
            <w:tcW w:type="dxa" w:w="3009"/>
          </w:tcPr>
          <w:p>
            <w:r>
              <w:t>AC-020-02、029-03</w:t>
            </w:r>
          </w:p>
        </w:tc>
      </w:tr>
      <w:tr>
        <w:tc>
          <w:tcPr>
            <w:tcW w:type="dxa" w:w="3009"/>
          </w:tcPr>
          <w:p>
            <w:r>
              <w:t>重复迟到</w:t>
            </w:r>
          </w:p>
        </w:tc>
        <w:tc>
          <w:tcPr>
            <w:tcW w:type="dxa" w:w="3009"/>
          </w:tcPr>
          <w:p>
            <w:r>
              <w:t>幂等关联</w:t>
            </w:r>
          </w:p>
        </w:tc>
        <w:tc>
          <w:tcPr>
            <w:tcW w:type="dxa" w:w="3009"/>
          </w:tcPr>
          <w:p>
            <w:r>
              <w:t>RCLR-001、008</w:t>
            </w:r>
          </w:p>
        </w:tc>
      </w:tr>
      <w:tr>
        <w:tc>
          <w:tcPr>
            <w:tcW w:type="dxa" w:w="3009"/>
          </w:tcPr>
          <w:p>
            <w:r>
              <w:t>联锁失败</w:t>
            </w:r>
          </w:p>
        </w:tc>
        <w:tc>
          <w:tcPr>
            <w:tcW w:type="dxa" w:w="3009"/>
          </w:tcPr>
          <w:p>
            <w:r>
              <w:t>不自动重放</w:t>
            </w:r>
          </w:p>
        </w:tc>
        <w:tc>
          <w:tcPr>
            <w:tcW w:type="dxa" w:w="3009"/>
          </w:tcPr>
          <w:p>
            <w:r>
              <w:t>AC-029-03</w:t>
            </w:r>
          </w:p>
        </w:tc>
      </w:tr>
    </w:tbl>
    <w:p>
      <w:pPr>
        <w:jc w:val="center"/>
      </w:pPr>
      <w:r>
        <w:rPr>
          <w:b/>
        </w:rPr>
        <w:t>表 12-1 错误处理</w:t>
      </w:r>
    </w:p>
    <w:p>
      <w:pPr>
        <w:pStyle w:val="1"/>
      </w:pPr>
      <w:r>
        <w:t>13 设计追踪、未解决问题与演进</w:t>
      </w:r>
    </w:p>
    <w:p>
      <w:r>
        <w:t>ARCH-01 统一边界、ARCH-02 事件任务、ARCH-03 资源快照、ARCH-04 外部端口、ARCH-05 安全运行分别锚定 FR/AC/PE/KN/RCLR。G3-08 仍须完成 39 FR、34 ★FR、117 AC 的逐条双向 RTM。未决：ISSUE-G3-01-001、地图坐标/楼层、宿主矩阵、部署资源；分别待 G3-04—07 主责固化。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项</w:t>
            </w:r>
          </w:p>
        </w:tc>
        <w:tc>
          <w:tcPr>
            <w:tcW w:type="dxa" w:w="3009"/>
          </w:tcPr>
          <w:p>
            <w:r>
              <w:t>触发</w:t>
            </w:r>
          </w:p>
        </w:tc>
        <w:tc>
          <w:tcPr>
            <w:tcW w:type="dxa" w:w="3009"/>
          </w:tcPr>
          <w:p>
            <w:r>
              <w:t>处置</w:t>
            </w:r>
          </w:p>
        </w:tc>
      </w:tr>
      <w:tr>
        <w:tc>
          <w:tcPr>
            <w:tcW w:type="dxa" w:w="3009"/>
          </w:tcPr>
          <w:p>
            <w:r>
              <w:t>应用拆分</w:t>
            </w:r>
          </w:p>
        </w:tc>
        <w:tc>
          <w:tcPr>
            <w:tcW w:type="dxa" w:w="3009"/>
          </w:tcPr>
          <w:p>
            <w:r>
              <w:t>容量/故障证据</w:t>
            </w:r>
          </w:p>
        </w:tc>
        <w:tc>
          <w:tcPr>
            <w:tcW w:type="dxa" w:w="3009"/>
          </w:tcPr>
          <w:p>
            <w:r>
              <w:t>ADR Proposed 后人工决策</w:t>
            </w:r>
          </w:p>
        </w:tc>
      </w:tr>
      <w:tr>
        <w:tc>
          <w:tcPr>
            <w:tcW w:type="dxa" w:w="3009"/>
          </w:tcPr>
          <w:p>
            <w:r>
              <w:t>读模型</w:t>
            </w:r>
          </w:p>
        </w:tc>
        <w:tc>
          <w:tcPr>
            <w:tcW w:type="dxa" w:w="3009"/>
          </w:tcPr>
          <w:p>
            <w:r>
              <w:t>态势/报表压力</w:t>
            </w:r>
          </w:p>
        </w:tc>
        <w:tc>
          <w:tcPr>
            <w:tcW w:type="dxa" w:w="3009"/>
          </w:tcPr>
          <w:p>
            <w:r>
              <w:t>保留迁移边界</w:t>
            </w:r>
          </w:p>
        </w:tc>
      </w:tr>
      <w:tr>
        <w:tc>
          <w:tcPr>
            <w:tcW w:type="dxa" w:w="3009"/>
          </w:tcPr>
          <w:p>
            <w:r>
              <w:t>适配独立部署</w:t>
            </w:r>
          </w:p>
        </w:tc>
        <w:tc>
          <w:tcPr>
            <w:tcW w:type="dxa" w:w="3009"/>
          </w:tcPr>
          <w:p>
            <w:r>
              <w:t>协议风险/隔离需要</w:t>
            </w:r>
          </w:p>
        </w:tc>
        <w:tc>
          <w:tcPr>
            <w:tcW w:type="dxa" w:w="3009"/>
          </w:tcPr>
          <w:p>
            <w:r>
              <w:t>依据联调压测</w:t>
            </w:r>
          </w:p>
        </w:tc>
      </w:tr>
    </w:tbl>
    <w:p>
      <w:pPr>
        <w:jc w:val="center"/>
      </w:pPr>
      <w:r>
        <w:rPr>
          <w:b/>
        </w:rPr>
        <w:t>表 13-1 演进路径</w:t>
      </w:r>
    </w:p>
    <w:sectPr w:rsidR="00853D15" w:rsidRPr="00FD0B90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2A13EB" w14:textId="77777777" w:rsidR="00975574" w:rsidRDefault="00975574">
      <w:r>
        <w:separator/>
      </w:r>
    </w:p>
  </w:endnote>
  <w:endnote w:type="continuationSeparator" w:id="0">
    <w:p w14:paraId="2AAAA410" w14:textId="77777777" w:rsidR="00975574" w:rsidRDefault="009755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B22BD9" w14:textId="77777777" w:rsidR="00853D15" w:rsidRDefault="00B5769A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1A778D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828679" w14:textId="77777777" w:rsidR="00975574" w:rsidRDefault="00975574">
      <w:r>
        <w:separator/>
      </w:r>
    </w:p>
  </w:footnote>
  <w:footnote w:type="continuationSeparator" w:id="0">
    <w:p w14:paraId="5732812B" w14:textId="77777777" w:rsidR="00975574" w:rsidRDefault="009755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495325"/>
    <w:multiLevelType w:val="hybridMultilevel"/>
    <w:tmpl w:val="EFE27114"/>
    <w:lvl w:ilvl="0" w:tplc="0409000B">
      <w:start w:val="1"/>
      <w:numFmt w:val="bullet"/>
      <w:lvlText w:val="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1" w15:restartNumberingAfterBreak="0">
    <w:nsid w:val="49F74CC0"/>
    <w:multiLevelType w:val="hybridMultilevel"/>
    <w:tmpl w:val="6E949C6A"/>
    <w:lvl w:ilvl="0" w:tplc="143CAB2E">
      <w:start w:val="1"/>
      <w:numFmt w:val="bullet"/>
      <w:lvlText w:val="●"/>
      <w:lvlJc w:val="left"/>
      <w:pPr>
        <w:ind w:left="720" w:hanging="360"/>
      </w:pPr>
    </w:lvl>
    <w:lvl w:ilvl="1" w:tplc="8F589C9E">
      <w:start w:val="1"/>
      <w:numFmt w:val="bullet"/>
      <w:lvlText w:val="○"/>
      <w:lvlJc w:val="left"/>
      <w:pPr>
        <w:ind w:left="1440" w:hanging="360"/>
      </w:pPr>
    </w:lvl>
    <w:lvl w:ilvl="2" w:tplc="C11A7EDA">
      <w:start w:val="1"/>
      <w:numFmt w:val="bullet"/>
      <w:lvlText w:val="■"/>
      <w:lvlJc w:val="left"/>
      <w:pPr>
        <w:ind w:left="2160" w:hanging="360"/>
      </w:pPr>
    </w:lvl>
    <w:lvl w:ilvl="3" w:tplc="025CDC9E">
      <w:start w:val="1"/>
      <w:numFmt w:val="bullet"/>
      <w:lvlText w:val="●"/>
      <w:lvlJc w:val="left"/>
      <w:pPr>
        <w:ind w:left="2880" w:hanging="360"/>
      </w:pPr>
    </w:lvl>
    <w:lvl w:ilvl="4" w:tplc="1264FABA">
      <w:start w:val="1"/>
      <w:numFmt w:val="bullet"/>
      <w:lvlText w:val="○"/>
      <w:lvlJc w:val="left"/>
      <w:pPr>
        <w:ind w:left="3600" w:hanging="360"/>
      </w:pPr>
    </w:lvl>
    <w:lvl w:ilvl="5" w:tplc="4A3E8D7E">
      <w:start w:val="1"/>
      <w:numFmt w:val="bullet"/>
      <w:lvlText w:val="■"/>
      <w:lvlJc w:val="left"/>
      <w:pPr>
        <w:ind w:left="4320" w:hanging="360"/>
      </w:pPr>
    </w:lvl>
    <w:lvl w:ilvl="6" w:tplc="8204540C">
      <w:start w:val="1"/>
      <w:numFmt w:val="bullet"/>
      <w:lvlText w:val="●"/>
      <w:lvlJc w:val="left"/>
      <w:pPr>
        <w:ind w:left="5040" w:hanging="360"/>
      </w:pPr>
    </w:lvl>
    <w:lvl w:ilvl="7" w:tplc="D7207778">
      <w:start w:val="1"/>
      <w:numFmt w:val="bullet"/>
      <w:lvlText w:val="●"/>
      <w:lvlJc w:val="left"/>
      <w:pPr>
        <w:ind w:left="5760" w:hanging="360"/>
      </w:pPr>
    </w:lvl>
    <w:lvl w:ilvl="8" w:tplc="BCDA705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FA922A0"/>
    <w:multiLevelType w:val="hybridMultilevel"/>
    <w:tmpl w:val="A9442318"/>
    <w:lvl w:ilvl="0" w:tplc="16365776">
      <w:numFmt w:val="bullet"/>
      <w:lvlText w:val="·"/>
      <w:lvlJc w:val="left"/>
      <w:pPr>
        <w:ind w:left="570" w:hanging="360"/>
      </w:pPr>
      <w:rPr>
        <w:rFonts w:ascii="Times New Roman" w:eastAsia="宋体" w:hAnsi="Times New Roman" w:cs="Times New Roman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D15"/>
    <w:rsid w:val="001A778D"/>
    <w:rsid w:val="004A41FA"/>
    <w:rsid w:val="00853D15"/>
    <w:rsid w:val="00975574"/>
    <w:rsid w:val="00B5769A"/>
    <w:rsid w:val="00F07204"/>
    <w:rsid w:val="00FD0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D0EF66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A778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1A778D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1A778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1A778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1773</Words>
  <Characters>10109</Characters>
  <Application>Microsoft Office Word</Application>
  <DocSecurity>0</DocSecurity>
  <Lines>84</Lines>
  <Paragraphs>23</Paragraphs>
  <ScaleCrop>false</ScaleCrop>
  <Company/>
  <LinksUpToDate>false</LinksUpToDate>
  <CharactersWithSpaces>11859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文档审计报告</dc:title>
  <dc:creator>课程教学组</dc:creator>
  <cp:lastModifiedBy>晓雷 李</cp:lastModifiedBy>
  <cp:revision>3</cp:revision>
  <dcterms:created xsi:type="dcterms:W3CDTF">2026-08-29T14:22:00Z</dcterms:created>
  <dcterms:modified xsi:type="dcterms:W3CDTF">2026-09-06T14:26:00Z</dcterms:modified>
</cp:coreProperties>
</file>