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80" w:line="240" w:lineRule="auto"/>
        <w:jc w:val="right"/>
      </w:pPr>
      <w:r>
        <w:rPr>
          <w:rFonts w:ascii="宋体" w:hAnsi="宋体" w:eastAsia="宋体"/>
          <w:b w:val="0"/>
          <w:color w:val="000000"/>
          <w:sz w:val="24"/>
        </w:rPr>
        <w:t>文档编号：【待人工确认】　　版本号：V1.1</w:t>
      </w:r>
    </w:p>
    <w:p>
      <w:pPr>
        <w:spacing w:before="960" w:after="360" w:line="240" w:lineRule="auto"/>
        <w:jc w:val="right"/>
      </w:pPr>
      <w:r>
        <w:rPr>
          <w:rFonts w:ascii="宋体" w:hAnsi="宋体" w:eastAsia="宋体"/>
          <w:b w:val="0"/>
          <w:color w:val="000000"/>
          <w:sz w:val="24"/>
        </w:rPr>
        <w:t>密　　级：内部 · 课程项目</w:t>
      </w:r>
    </w:p>
    <w:p>
      <w:pPr>
        <w:spacing w:before="1000" w:after="480" w:line="240" w:lineRule="auto"/>
        <w:jc w:val="center"/>
      </w:pPr>
      <w:r>
        <w:rPr>
          <w:rFonts w:ascii="宋体" w:hAnsi="宋体" w:eastAsia="宋体"/>
          <w:b w:val="0"/>
          <w:color w:val="000000"/>
          <w:sz w:val="24"/>
        </w:rPr>
      </w:r>
    </w:p>
    <w:p>
      <w:pPr>
        <w:spacing w:before="240" w:after="240" w:line="240" w:lineRule="auto"/>
        <w:jc w:val="center"/>
      </w:pPr>
      <w:r>
        <w:rPr>
          <w:rFonts w:ascii="黑体" w:hAnsi="黑体" w:eastAsia="黑体"/>
          <w:b/>
          <w:color w:val="000000"/>
          <w:sz w:val="44"/>
        </w:rPr>
        <w:t>某自然博物馆智能运营中心建设项目</w:t>
      </w:r>
    </w:p>
    <w:p>
      <w:pPr>
        <w:spacing w:before="0" w:after="360" w:line="240" w:lineRule="auto"/>
        <w:jc w:val="center"/>
      </w:pPr>
      <w:r>
        <w:rPr>
          <w:rFonts w:ascii="黑体" w:hAnsi="黑体" w:eastAsia="黑体"/>
          <w:b/>
          <w:color w:val="000000"/>
          <w:sz w:val="44"/>
        </w:rPr>
        <w:t>应急管理子系统</w:t>
      </w:r>
    </w:p>
    <w:p>
      <w:pPr>
        <w:spacing w:before="240" w:after="200" w:line="240" w:lineRule="auto"/>
        <w:jc w:val="center"/>
      </w:pPr>
      <w:r>
        <w:rPr>
          <w:rFonts w:ascii="黑体" w:hAnsi="黑体" w:eastAsia="黑体"/>
          <w:b/>
          <w:color w:val="000000"/>
          <w:sz w:val="56"/>
        </w:rPr>
        <w:t>项目计划（v1）</w:t>
      </w:r>
    </w:p>
    <w:p>
      <w:pPr>
        <w:spacing w:before="0" w:after="80" w:line="240" w:lineRule="auto"/>
        <w:jc w:val="center"/>
      </w:pPr>
      <w:r>
        <w:rPr>
          <w:rFonts w:ascii="楷体" w:hAnsi="楷体" w:eastAsia="楷体"/>
          <w:b w:val="0"/>
          <w:color w:val="000000"/>
          <w:sz w:val="28"/>
        </w:rPr>
        <w:t>（课程项目交付稿）</w:t>
      </w:r>
    </w:p>
    <w:p>
      <w:pPr>
        <w:spacing w:before="960" w:after="80" w:line="240" w:lineRule="auto"/>
      </w:pPr>
      <w:r>
        <w:rPr>
          <w:rFonts w:ascii="宋体" w:hAnsi="宋体" w:eastAsia="宋体"/>
          <w:b w:val="0"/>
          <w:color w:val="000000"/>
          <w:sz w:val="24"/>
        </w:rPr>
      </w:r>
    </w:p>
    <w:p>
      <w:pPr>
        <w:spacing w:before="0" w:after="200" w:line="240" w:lineRule="auto"/>
      </w:pPr>
      <w:r>
        <w:rPr>
          <w:rFonts w:ascii="仿宋" w:hAnsi="仿宋" w:eastAsia="仿宋"/>
          <w:b w:val="0"/>
          <w:color w:val="000000"/>
          <w:sz w:val="32"/>
        </w:rPr>
        <w:t>编制单位：项目组</w:t>
      </w:r>
    </w:p>
    <w:p>
      <w:pPr>
        <w:spacing w:before="0" w:after="200" w:line="240" w:lineRule="auto"/>
      </w:pPr>
      <w:r>
        <w:rPr>
          <w:rFonts w:ascii="仿宋" w:hAnsi="仿宋" w:eastAsia="仿宋"/>
          <w:b w:val="0"/>
          <w:color w:val="000000"/>
          <w:sz w:val="32"/>
        </w:rPr>
        <w:t>编　　制：成员 A（项目经理 PM / 总编）</w:t>
      </w:r>
    </w:p>
    <w:p>
      <w:pPr>
        <w:spacing w:before="0" w:after="200" w:line="240" w:lineRule="auto"/>
      </w:pPr>
      <w:r>
        <w:rPr>
          <w:rFonts w:ascii="仿宋" w:hAnsi="仿宋" w:eastAsia="仿宋"/>
          <w:b w:val="0"/>
          <w:color w:val="000000"/>
          <w:sz w:val="32"/>
        </w:rPr>
        <w:t>审　　核：成员 C（计划完整性与一致性复核）</w:t>
      </w:r>
    </w:p>
    <w:p>
      <w:pPr>
        <w:spacing w:before="0" w:after="200" w:line="240" w:lineRule="auto"/>
      </w:pPr>
      <w:r>
        <w:rPr>
          <w:rFonts w:ascii="仿宋" w:hAnsi="仿宋" w:eastAsia="仿宋"/>
          <w:b w:val="0"/>
          <w:color w:val="000000"/>
          <w:sz w:val="32"/>
        </w:rPr>
        <w:t>批　　准：【待人工确认】</w:t>
      </w:r>
    </w:p>
    <w:p>
      <w:pPr>
        <w:spacing w:before="200" w:after="80" w:line="240" w:lineRule="auto"/>
      </w:pPr>
      <w:r>
        <w:rPr>
          <w:rFonts w:ascii="仿宋" w:hAnsi="仿宋" w:eastAsia="仿宋"/>
          <w:b w:val="0"/>
          <w:color w:val="000000"/>
          <w:sz w:val="32"/>
        </w:rPr>
        <w:t>编制日期：2026 年 9 月 11 日</w:t>
      </w:r>
    </w:p>
    <w:p>
      <w:r>
        <w:br w:type="page"/>
      </w:r>
    </w:p>
    <w:p>
      <w:pPr>
        <w:spacing w:before="120" w:after="120" w:line="240" w:lineRule="auto"/>
        <w:jc w:val="center"/>
      </w:pPr>
      <w:r>
        <w:rPr>
          <w:rFonts w:ascii="黑体" w:hAnsi="黑体" w:eastAsia="黑体"/>
          <w:b/>
          <w:color w:val="000000"/>
          <w:sz w:val="24"/>
        </w:rPr>
        <w:t>修订记录</w:t>
      </w:r>
    </w:p>
    <w:p>
      <w:pPr>
        <w:spacing w:before="0" w:after="120" w:line="240" w:lineRule="auto"/>
      </w:pPr>
      <w:r>
        <w:rPr>
          <w:rFonts w:ascii="宋体" w:hAnsi="宋体" w:eastAsia="宋体"/>
          <w:b w:val="0"/>
          <w:color w:val="000000"/>
          <w:sz w:val="18"/>
        </w:rPr>
        <w:t>注：本表记录自初稿以来的版本沿革；正式发布前由复核人确认状态。</w:t>
      </w:r>
    </w:p>
    <w:tbl>
      <w:tblPr>
        <w:tblW w:type="dxa" w:w="900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type="dxa" w:w="80"/>
      </w:tblPr>
      <w:tblGrid>
        <w:gridCol w:w="1008"/>
        <w:gridCol w:w="1440"/>
        <w:gridCol w:w="1224"/>
        <w:gridCol w:w="3960"/>
        <w:gridCol w:w="1368"/>
      </w:tblGrid>
      <w:tr>
        <w:trPr>
          <w:tblHeader w:val="true"/>
        </w:trPr>
        <w:tc>
          <w:tcPr>
            <w:tcW w:type="dxa" w:w="1008"/>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8"/>
              </w:rPr>
              <w:t>版本</w:t>
            </w:r>
          </w:p>
        </w:tc>
        <w:tc>
          <w:tcPr>
            <w:tcW w:type="dxa" w:w="1440"/>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8"/>
              </w:rPr>
              <w:t>日期</w:t>
            </w:r>
          </w:p>
        </w:tc>
        <w:tc>
          <w:tcPr>
            <w:tcW w:type="dxa" w:w="1224"/>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8"/>
              </w:rPr>
              <w:t>修订章节</w:t>
            </w:r>
          </w:p>
        </w:tc>
        <w:tc>
          <w:tcPr>
            <w:tcW w:type="dxa" w:w="3960"/>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8"/>
              </w:rPr>
              <w:t>修订说明</w:t>
            </w:r>
          </w:p>
        </w:tc>
        <w:tc>
          <w:tcPr>
            <w:tcW w:type="dxa" w:w="1368"/>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8"/>
              </w:rPr>
              <w:t>编制/修订人</w:t>
            </w:r>
          </w:p>
        </w:tc>
      </w:tr>
      <w:tr>
        <w:tc>
          <w:tcPr>
            <w:tcW w:type="dxa" w:w="100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8"/>
              </w:rPr>
              <w:t>V0.1</w:t>
            </w:r>
          </w:p>
        </w:tc>
        <w:tc>
          <w:tcPr>
            <w:tcW w:type="dxa" w:w="1440"/>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8"/>
              </w:rPr>
              <w:t>2026-09-10</w:t>
            </w:r>
          </w:p>
        </w:tc>
        <w:tc>
          <w:tcPr>
            <w:tcW w:type="dxa" w:w="122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8"/>
              </w:rPr>
              <w:t>全文</w:t>
            </w:r>
          </w:p>
        </w:tc>
        <w:tc>
          <w:tcPr>
            <w:tcW w:type="dxa" w:w="396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8"/>
              </w:rPr>
              <w:t>建立项目计划初步结构。</w:t>
            </w:r>
          </w:p>
        </w:tc>
        <w:tc>
          <w:tcPr>
            <w:tcW w:type="dxa" w:w="136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8"/>
              </w:rPr>
              <w:t>A</w:t>
            </w:r>
          </w:p>
        </w:tc>
      </w:tr>
      <w:tr>
        <w:tc>
          <w:tcPr>
            <w:tcW w:type="dxa" w:w="1008"/>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8"/>
              </w:rPr>
              <w:t>V1.0</w:t>
            </w:r>
          </w:p>
        </w:tc>
        <w:tc>
          <w:tcPr>
            <w:tcW w:type="dxa" w:w="1440"/>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8"/>
              </w:rPr>
              <w:t>2026-09-11</w:t>
            </w:r>
          </w:p>
        </w:tc>
        <w:tc>
          <w:tcPr>
            <w:tcW w:type="dxa" w:w="122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8"/>
              </w:rPr>
              <w:t>全文</w:t>
            </w:r>
          </w:p>
        </w:tc>
        <w:tc>
          <w:tcPr>
            <w:tcW w:type="dxa" w:w="396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8"/>
              </w:rPr>
              <w:t>按冻结基线、技术成果及正式 M1—M5 重编 WBS、依赖、甘特图、职责、准出条件与管理安排，提交 C 复核。</w:t>
            </w:r>
          </w:p>
        </w:tc>
        <w:tc>
          <w:tcPr>
            <w:tcW w:type="dxa" w:w="1368"/>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8"/>
              </w:rPr>
              <w:t>A</w:t>
            </w:r>
          </w:p>
        </w:tc>
      </w:tr>
      <w:tr>
        <w:tc>
          <w:tcPr>
            <w:tcW w:type="dxa" w:w="100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8"/>
              </w:rPr>
              <w:t>V1.1</w:t>
            </w:r>
          </w:p>
        </w:tc>
        <w:tc>
          <w:tcPr>
            <w:tcW w:type="dxa" w:w="1440"/>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8"/>
              </w:rPr>
              <w:t>2026-09-11</w:t>
            </w:r>
          </w:p>
        </w:tc>
        <w:tc>
          <w:tcPr>
            <w:tcW w:type="dxa" w:w="122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8"/>
              </w:rPr>
              <w:t>2—6</w:t>
            </w:r>
          </w:p>
        </w:tc>
        <w:tc>
          <w:tcPr>
            <w:tcW w:type="dxa" w:w="396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8"/>
              </w:rPr>
              <w:t>按 C 的 G1-06 Review 补齐四周试运行证据、资源顺序、数据初始化职责、培训/SLA与交付承接，待 C 复验。</w:t>
            </w:r>
          </w:p>
        </w:tc>
        <w:tc>
          <w:tcPr>
            <w:tcW w:type="dxa" w:w="136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8"/>
              </w:rPr>
              <w:t>A</w:t>
            </w:r>
          </w:p>
        </w:tc>
      </w:tr>
    </w:tbl>
    <w:p>
      <w:pPr>
        <w:spacing w:after="40"/>
      </w:pPr>
    </w:p>
    <w:p>
      <w:r>
        <w:br w:type="page"/>
      </w:r>
    </w:p>
    <w:p>
      <w:pPr>
        <w:pStyle w:val="1"/>
        <w:keepNext/>
        <w:spacing w:before="240" w:after="160"/>
      </w:pPr>
      <w:r>
        <w:rPr>
          <w:rFonts w:ascii="黑体" w:hAnsi="黑体" w:eastAsia="黑体"/>
          <w:b/>
          <w:color w:val="000000"/>
          <w:sz w:val="30"/>
        </w:rPr>
        <w:t>1 编制说明</w:t>
      </w:r>
    </w:p>
    <w:p>
      <w:pPr>
        <w:pStyle w:val="2"/>
        <w:keepNext/>
        <w:spacing w:before="160" w:after="100"/>
      </w:pPr>
      <w:r>
        <w:rPr>
          <w:rFonts w:ascii="黑体" w:hAnsi="黑体" w:eastAsia="黑体"/>
          <w:b/>
          <w:color w:val="000000"/>
          <w:sz w:val="26"/>
        </w:rPr>
        <w:t>1.1 目的与适用范围</w:t>
      </w:r>
    </w:p>
    <w:p>
      <w:pPr>
        <w:spacing w:before="0" w:after="100" w:line="360" w:lineRule="auto"/>
      </w:pPr>
      <w:r>
        <w:rPr>
          <w:rFonts w:ascii="宋体" w:hAnsi="宋体" w:eastAsia="宋体"/>
          <w:b w:val="0"/>
          <w:color w:val="000000"/>
          <w:sz w:val="24"/>
        </w:rPr>
        <w:t>本计划用于组织某自然博物馆智能运营中心建设项目应急管理子系统的需求确认、设计、开发与集成、测试与初验、试运行以及竣工验收。计划以可交付成果为分解对象，明确三名成员的责任、工作包依赖、完成判据和阶段准出条件。项目执行期按合同签订日记为 W1 起点；实际日历日期由合同生效日换算并经甲方确认。</w:t>
      </w:r>
    </w:p>
    <w:p>
      <w:pPr>
        <w:spacing w:before="0" w:after="100" w:line="360" w:lineRule="auto"/>
      </w:pPr>
      <w:r>
        <w:rPr>
          <w:rFonts w:ascii="宋体" w:hAnsi="宋体" w:eastAsia="宋体"/>
          <w:b w:val="0"/>
          <w:color w:val="000000"/>
          <w:sz w:val="24"/>
        </w:rPr>
        <w:t>本计划不改变用户需求书规定的正式里程碑、项目范围、验收标准或甲乙双方责任。现场尚未完成的接口、性能、安全、试运行和演练验证均作为后续证据任务安排，不写成已通过结论。</w:t>
      </w:r>
    </w:p>
    <w:p>
      <w:pPr>
        <w:pStyle w:val="2"/>
        <w:keepNext/>
        <w:spacing w:before="160" w:after="100"/>
      </w:pPr>
      <w:r>
        <w:rPr>
          <w:rFonts w:ascii="黑体" w:hAnsi="黑体" w:eastAsia="黑体"/>
          <w:b/>
          <w:color w:val="000000"/>
          <w:sz w:val="26"/>
        </w:rPr>
        <w:t>1.2 编制依据</w:t>
      </w:r>
    </w:p>
    <w:p>
      <w:pPr>
        <w:pStyle w:val="a4"/>
        <w:spacing w:before="0" w:after="60" w:line="336" w:lineRule="auto"/>
      </w:pPr>
      <w:r>
        <w:rPr>
          <w:rFonts w:ascii="宋体" w:hAnsi="宋体" w:eastAsia="宋体"/>
          <w:b w:val="0"/>
          <w:color w:val="000000"/>
          <w:sz w:val="24"/>
        </w:rPr>
        <w:t>1. 《智能运营中心-应急管理子系统 用户需求书》，重点采用第 9.1 节实施周期与 M1—M5、第 9.2 节项目管理、第 9.3 节培训、第 9.5 节风险管理以及第 10 章验收与交付要求。</w:t>
      </w:r>
    </w:p>
    <w:p>
      <w:pPr>
        <w:pStyle w:val="a4"/>
        <w:spacing w:before="0" w:after="60" w:line="336" w:lineRule="auto"/>
      </w:pPr>
      <w:r>
        <w:rPr>
          <w:rFonts w:ascii="宋体" w:hAnsi="宋体" w:eastAsia="宋体"/>
          <w:b w:val="0"/>
          <w:color w:val="000000"/>
          <w:sz w:val="24"/>
        </w:rPr>
        <w:t>2. 冻结的 BASELINE-G1-V0.1，采用已确认的范围、关键数字、十二项澄清、外部依赖责任和变更边界。</w:t>
      </w:r>
    </w:p>
    <w:p>
      <w:pPr>
        <w:pStyle w:val="a4"/>
        <w:spacing w:before="0" w:after="60" w:line="336" w:lineRule="auto"/>
      </w:pPr>
      <w:r>
        <w:rPr>
          <w:rFonts w:ascii="宋体" w:hAnsi="宋体" w:eastAsia="宋体"/>
          <w:b w:val="0"/>
          <w:color w:val="000000"/>
          <w:sz w:val="24"/>
        </w:rPr>
        <w:t>3. 《项目建议书》V0.2，采用建设范围、实施原则和项目管理建议。</w:t>
      </w:r>
    </w:p>
    <w:p>
      <w:pPr>
        <w:pStyle w:val="a4"/>
        <w:spacing w:before="0" w:after="60" w:line="336" w:lineRule="auto"/>
      </w:pPr>
      <w:r>
        <w:rPr>
          <w:rFonts w:ascii="宋体" w:hAnsi="宋体" w:eastAsia="宋体"/>
          <w:b w:val="0"/>
          <w:color w:val="000000"/>
          <w:sz w:val="24"/>
        </w:rPr>
        <w:t>4. 《技术方案》V0.6，采用架构、接口、数据、安全、部署、验证与分阶段准出证据。</w:t>
      </w:r>
    </w:p>
    <w:p>
      <w:pPr>
        <w:pStyle w:val="a4"/>
        <w:spacing w:before="0" w:after="60" w:line="336" w:lineRule="auto"/>
      </w:pPr>
      <w:r>
        <w:rPr>
          <w:rFonts w:ascii="宋体" w:hAnsi="宋体" w:eastAsia="宋体"/>
          <w:b w:val="0"/>
          <w:color w:val="000000"/>
          <w:sz w:val="24"/>
        </w:rPr>
        <w:t>5. 项目治理文件，采用三人成员分工、配置管理、文档管理、Git 安全同步和评审闭环规则。</w:t>
      </w:r>
    </w:p>
    <w:p>
      <w:pPr>
        <w:pStyle w:val="2"/>
        <w:keepNext/>
        <w:spacing w:before="160" w:after="100"/>
      </w:pPr>
      <w:r>
        <w:rPr>
          <w:rFonts w:ascii="黑体" w:hAnsi="黑体" w:eastAsia="黑体"/>
          <w:b/>
          <w:color w:val="000000"/>
          <w:sz w:val="26"/>
        </w:rPr>
        <w:t>1.3 计划口径</w:t>
      </w:r>
    </w:p>
    <w:p>
      <w:pPr>
        <w:pStyle w:val="a4"/>
        <w:spacing w:before="0" w:after="60" w:line="336" w:lineRule="auto"/>
      </w:pPr>
      <w:r>
        <w:rPr>
          <w:rFonts w:ascii="宋体" w:hAnsi="宋体" w:eastAsia="宋体"/>
          <w:b w:val="0"/>
          <w:color w:val="000000"/>
          <w:sz w:val="24"/>
        </w:rPr>
        <w:t>• W1 从合同签订日起算，每个 W 表示连续一周。</w:t>
      </w:r>
    </w:p>
    <w:p>
      <w:pPr>
        <w:pStyle w:val="a4"/>
        <w:spacing w:before="0" w:after="60" w:line="336" w:lineRule="auto"/>
      </w:pPr>
      <w:r>
        <w:rPr>
          <w:rFonts w:ascii="宋体" w:hAnsi="宋体" w:eastAsia="宋体"/>
          <w:b w:val="0"/>
          <w:color w:val="000000"/>
          <w:sz w:val="24"/>
        </w:rPr>
        <w:t>• 最底层工作包单次执行周期不超过一周。持续性管理项按周重复形成记录，不将多周跨度视为一个不可验证工作包。</w:t>
      </w:r>
    </w:p>
    <w:p>
      <w:pPr>
        <w:pStyle w:val="a4"/>
        <w:spacing w:before="0" w:after="60" w:line="336" w:lineRule="auto"/>
      </w:pPr>
      <w:r>
        <w:rPr>
          <w:rFonts w:ascii="宋体" w:hAnsi="宋体" w:eastAsia="宋体"/>
          <w:b w:val="0"/>
          <w:color w:val="000000"/>
          <w:sz w:val="24"/>
        </w:rPr>
        <w:t>• M1、M2、M3、M4、M5 的名称、相对时点和主要交付物按用户需求书第 9.1 节原文执行。</w:t>
      </w:r>
    </w:p>
    <w:p>
      <w:pPr>
        <w:pStyle w:val="a4"/>
        <w:spacing w:before="0" w:after="60" w:line="336" w:lineRule="auto"/>
      </w:pPr>
      <w:r>
        <w:rPr>
          <w:rFonts w:ascii="宋体" w:hAnsi="宋体" w:eastAsia="宋体"/>
          <w:b w:val="0"/>
          <w:color w:val="000000"/>
          <w:sz w:val="24"/>
        </w:rPr>
        <w:t>• M4 与 M5 均以试运行满一个月为时间条件。计划在 W20 完成试运行准出证据后组织竣工验收；若甲方验收窗口另行安排，仅调整日历日期，不降低准出条件。</w:t>
      </w:r>
    </w:p>
    <w:p>
      <w:r>
        <w:br w:type="page"/>
      </w:r>
    </w:p>
    <w:p>
      <w:pPr>
        <w:pStyle w:val="1"/>
        <w:keepNext/>
        <w:spacing w:before="240" w:after="160"/>
      </w:pPr>
      <w:r>
        <w:rPr>
          <w:rFonts w:ascii="黑体" w:hAnsi="黑体" w:eastAsia="黑体"/>
          <w:b/>
          <w:color w:val="000000"/>
          <w:sz w:val="30"/>
        </w:rPr>
        <w:t>2 工作分解结构</w:t>
      </w:r>
    </w:p>
    <w:p>
      <w:pPr>
        <w:pStyle w:val="2"/>
        <w:keepNext/>
        <w:spacing w:before="160" w:after="100"/>
      </w:pPr>
      <w:r>
        <w:rPr>
          <w:rFonts w:ascii="黑体" w:hAnsi="黑体" w:eastAsia="黑体"/>
          <w:b/>
          <w:color w:val="000000"/>
          <w:sz w:val="26"/>
        </w:rPr>
        <w:t>2.1 分解原则</w:t>
      </w:r>
    </w:p>
    <w:p>
      <w:pPr>
        <w:spacing w:before="0" w:after="100" w:line="360" w:lineRule="auto"/>
      </w:pPr>
      <w:r>
        <w:rPr>
          <w:rFonts w:ascii="宋体" w:hAnsi="宋体" w:eastAsia="宋体"/>
          <w:b w:val="0"/>
          <w:color w:val="000000"/>
          <w:sz w:val="24"/>
        </w:rPr>
        <w:t>WBS 按可交付成果分为项目管理与控制、需求确认、设计评审、开发与集成、测试与初验、试运行与竣工验收六个一级分支。每个底层工作包必须形成可审查的文件、软件增量、测试记录或签认材料。学习、一般会议和无交付物的协调活动不单列为工作包。</w:t>
      </w:r>
    </w:p>
    <w:p>
      <w:pPr>
        <w:pStyle w:val="2"/>
        <w:keepNext/>
        <w:spacing w:before="160" w:after="100"/>
      </w:pPr>
      <w:r>
        <w:rPr>
          <w:rFonts w:ascii="黑体" w:hAnsi="黑体" w:eastAsia="黑体"/>
          <w:b/>
          <w:color w:val="000000"/>
          <w:sz w:val="26"/>
        </w:rPr>
        <w:t>2.2 WBS 结构</w:t>
      </w:r>
    </w:p>
    <w:p>
      <w:pPr>
        <w:spacing w:before="0" w:after="100" w:line="360" w:lineRule="auto"/>
      </w:pPr>
      <w:r>
        <w:rPr>
          <w:rFonts w:ascii="宋体" w:hAnsi="宋体" w:eastAsia="宋体"/>
          <w:b w:val="0"/>
          <w:color w:val="000000"/>
          <w:sz w:val="24"/>
        </w:rPr>
        <w:t>项目 WBS 结构图见图 2-1。结构图用于快速识别阶段与交付群组，详细输入、依赖和完成判据以表 2-1 为准。</w:t>
      </w:r>
    </w:p>
    <w:p>
      <w:pPr>
        <w:spacing w:before="60" w:after="40"/>
        <w:jc w:val="center"/>
      </w:pPr>
      <w:r>
        <w:drawing>
          <wp:inline xmlns:a="http://schemas.openxmlformats.org/drawingml/2006/main" xmlns:pic="http://schemas.openxmlformats.org/drawingml/2006/picture">
            <wp:extent cx="5715000" cy="3214688"/>
            <wp:docPr id="1" name="图1 项目WBS结构图" title="图1 项目WBS结构图" descr="图1 项目WBS结构图"/>
            <wp:cNvGraphicFramePr>
              <a:graphicFrameLocks noChangeAspect="1"/>
            </wp:cNvGraphicFramePr>
            <a:graphic>
              <a:graphicData uri="http://schemas.openxmlformats.org/drawingml/2006/picture">
                <pic:pic>
                  <pic:nvPicPr>
                    <pic:cNvPr id="0" name="figure-1.png"/>
                    <pic:cNvPicPr/>
                  </pic:nvPicPr>
                  <pic:blipFill>
                    <a:blip r:embed="rId12"/>
                    <a:stretch>
                      <a:fillRect/>
                    </a:stretch>
                  </pic:blipFill>
                  <pic:spPr>
                    <a:xfrm>
                      <a:off x="0" y="0"/>
                      <a:ext cx="5715000" cy="3214688"/>
                    </a:xfrm>
                    <a:prstGeom prst="rect"/>
                  </pic:spPr>
                </pic:pic>
              </a:graphicData>
            </a:graphic>
          </wp:inline>
        </w:drawing>
      </w:r>
    </w:p>
    <w:p>
      <w:pPr>
        <w:spacing w:before="0" w:after="120" w:line="240" w:lineRule="auto"/>
        <w:jc w:val="center"/>
      </w:pPr>
      <w:r>
        <w:rPr>
          <w:rFonts w:ascii="宋体" w:hAnsi="宋体" w:eastAsia="宋体"/>
          <w:b/>
          <w:color w:val="000000"/>
          <w:sz w:val="18"/>
        </w:rPr>
        <w:t>图 2-1　项目 WBS 结构图（工作包级）</w:t>
      </w:r>
    </w:p>
    <w:p>
      <w:pPr>
        <w:sectPr>
          <w:footerReference w:type="default" r:id="rId9"/>
          <w:pgSz w:w="11906" w:h="16838"/>
          <w:pgMar w:top="1440" w:right="1440" w:bottom="1440" w:left="1440" w:header="708" w:footer="708" w:gutter="0"/>
          <w:cols w:space="720"/>
          <w:docGrid w:linePitch="360"/>
        </w:sectPr>
      </w:pPr>
    </w:p>
    <w:p>
      <w:pPr>
        <w:pStyle w:val="2"/>
        <w:keepNext/>
        <w:spacing w:before="160" w:after="100"/>
      </w:pPr>
      <w:r>
        <w:rPr>
          <w:rFonts w:ascii="黑体" w:hAnsi="黑体" w:eastAsia="黑体"/>
          <w:b/>
          <w:color w:val="000000"/>
          <w:sz w:val="26"/>
        </w:rPr>
        <w:t>2.3 WBS 工作包</w:t>
      </w:r>
    </w:p>
    <w:p>
      <w:pPr>
        <w:spacing w:before="0" w:after="120" w:line="240" w:lineRule="auto"/>
        <w:jc w:val="center"/>
      </w:pPr>
      <w:r>
        <w:rPr>
          <w:rFonts w:ascii="宋体" w:hAnsi="宋体" w:eastAsia="宋体"/>
          <w:b/>
          <w:color w:val="000000"/>
          <w:sz w:val="18"/>
        </w:rPr>
        <w:t>表 2-1　项目 WBS 工作包一览表</w:t>
      </w:r>
    </w:p>
    <w:tbl>
      <w:tblPr>
        <w:tblW w:type="dxa" w:w="129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type="dxa" w:w="80"/>
      </w:tblPr>
      <w:tblGrid>
        <w:gridCol w:w="792"/>
        <w:gridCol w:w="1800"/>
        <w:gridCol w:w="648"/>
        <w:gridCol w:w="2088"/>
        <w:gridCol w:w="2232"/>
        <w:gridCol w:w="1656"/>
        <w:gridCol w:w="1224"/>
        <w:gridCol w:w="2520"/>
      </w:tblGrid>
      <w:tr>
        <w:trPr>
          <w:tblHeader w:val="true"/>
        </w:trPr>
        <w:tc>
          <w:tcPr>
            <w:tcW w:type="dxa" w:w="792"/>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5"/>
              </w:rPr>
              <w:t>WBS ID</w:t>
            </w:r>
          </w:p>
        </w:tc>
        <w:tc>
          <w:tcPr>
            <w:tcW w:type="dxa" w:w="1800"/>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5"/>
              </w:rPr>
              <w:t>工作包</w:t>
            </w:r>
          </w:p>
        </w:tc>
        <w:tc>
          <w:tcPr>
            <w:tcW w:type="dxa" w:w="648"/>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5"/>
              </w:rPr>
              <w:t>主责</w:t>
            </w:r>
          </w:p>
        </w:tc>
        <w:tc>
          <w:tcPr>
            <w:tcW w:type="dxa" w:w="2088"/>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5"/>
              </w:rPr>
              <w:t>输入</w:t>
            </w:r>
          </w:p>
        </w:tc>
        <w:tc>
          <w:tcPr>
            <w:tcW w:type="dxa" w:w="2232"/>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5"/>
              </w:rPr>
              <w:t>输出</w:t>
            </w:r>
          </w:p>
        </w:tc>
        <w:tc>
          <w:tcPr>
            <w:tcW w:type="dxa" w:w="1656"/>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5"/>
              </w:rPr>
              <w:t>前置依赖</w:t>
            </w:r>
          </w:p>
        </w:tc>
        <w:tc>
          <w:tcPr>
            <w:tcW w:type="dxa" w:w="1224"/>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5"/>
              </w:rPr>
              <w:t>计划周期</w:t>
            </w:r>
          </w:p>
        </w:tc>
        <w:tc>
          <w:tcPr>
            <w:tcW w:type="dxa" w:w="2520"/>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5"/>
              </w:rPr>
              <w:t>完成判据</w:t>
            </w:r>
          </w:p>
        </w:tc>
      </w:tr>
      <w:tr>
        <w:tc>
          <w:tcPr>
            <w:tcW w:type="dxa" w:w="79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1.1</w:t>
            </w:r>
          </w:p>
        </w:tc>
        <w:tc>
          <w:tcPr>
            <w:tcW w:type="dxa" w:w="180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项目计划基线</w:t>
            </w:r>
          </w:p>
        </w:tc>
        <w:tc>
          <w:tcPr>
            <w:tcW w:type="dxa" w:w="64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A</w:t>
            </w:r>
          </w:p>
        </w:tc>
        <w:tc>
          <w:tcPr>
            <w:tcW w:type="dxa" w:w="2088"/>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合同里程碑、冻结 Baseline、三人资源约束</w:t>
            </w:r>
          </w:p>
        </w:tc>
        <w:tc>
          <w:tcPr>
            <w:tcW w:type="dxa" w:w="2232"/>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项目计划 v1、WBS、甘特图</w:t>
            </w:r>
          </w:p>
        </w:tc>
        <w:tc>
          <w:tcPr>
            <w:tcW w:type="dxa" w:w="165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合同生效</w:t>
            </w:r>
          </w:p>
        </w:tc>
        <w:tc>
          <w:tcPr>
            <w:tcW w:type="dxa" w:w="122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W1，≤1周</w:t>
            </w:r>
          </w:p>
        </w:tc>
        <w:tc>
          <w:tcPr>
            <w:tcW w:type="dxa" w:w="252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里程碑未被改写；工作包责任、依赖、周期和判据齐全；C 完成复核</w:t>
            </w:r>
          </w:p>
        </w:tc>
      </w:tr>
      <w:tr>
        <w:tc>
          <w:tcPr>
            <w:tcW w:type="dxa" w:w="792"/>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1.2</w:t>
            </w:r>
          </w:p>
        </w:tc>
        <w:tc>
          <w:tcPr>
            <w:tcW w:type="dxa" w:w="180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周进度与风险控制包</w:t>
            </w:r>
          </w:p>
        </w:tc>
        <w:tc>
          <w:tcPr>
            <w:tcW w:type="dxa" w:w="648"/>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A</w:t>
            </w:r>
          </w:p>
        </w:tc>
        <w:tc>
          <w:tcPr>
            <w:tcW w:type="dxa" w:w="2088"/>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上周完成证据、风险登记册、问题台账</w:t>
            </w:r>
          </w:p>
        </w:tc>
        <w:tc>
          <w:tcPr>
            <w:tcW w:type="dxa" w:w="2232"/>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周报、更新后的计划偏差和风险状态</w:t>
            </w:r>
          </w:p>
        </w:tc>
        <w:tc>
          <w:tcPr>
            <w:tcW w:type="dxa" w:w="1656"/>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1.1</w:t>
            </w:r>
          </w:p>
        </w:tc>
        <w:tc>
          <w:tcPr>
            <w:tcW w:type="dxa" w:w="122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W1—W20，每周一次，单次≤1周</w:t>
            </w:r>
          </w:p>
        </w:tc>
        <w:tc>
          <w:tcPr>
            <w:tcW w:type="dxa" w:w="252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每周按实际完成量更新；重大风险在24小时内书面报告</w:t>
            </w:r>
          </w:p>
        </w:tc>
      </w:tr>
      <w:tr>
        <w:tc>
          <w:tcPr>
            <w:tcW w:type="dxa" w:w="79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1.3</w:t>
            </w:r>
          </w:p>
        </w:tc>
        <w:tc>
          <w:tcPr>
            <w:tcW w:type="dxa" w:w="180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评审与决策记录包</w:t>
            </w:r>
          </w:p>
        </w:tc>
        <w:tc>
          <w:tcPr>
            <w:tcW w:type="dxa" w:w="64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A</w:t>
            </w:r>
          </w:p>
        </w:tc>
        <w:tc>
          <w:tcPr>
            <w:tcW w:type="dxa" w:w="2088"/>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阶段交付物、评审意见</w:t>
            </w:r>
          </w:p>
        </w:tc>
        <w:tc>
          <w:tcPr>
            <w:tcW w:type="dxa" w:w="2232"/>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评审纪要、决定和行动项</w:t>
            </w:r>
          </w:p>
        </w:tc>
        <w:tc>
          <w:tcPr>
            <w:tcW w:type="dxa" w:w="165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各阶段交付包</w:t>
            </w:r>
          </w:p>
        </w:tc>
        <w:tc>
          <w:tcPr>
            <w:tcW w:type="dxa" w:w="122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M1/M2/M3/M5所在周，单次≤1周</w:t>
            </w:r>
          </w:p>
        </w:tc>
        <w:tc>
          <w:tcPr>
            <w:tcW w:type="dxa" w:w="252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意见均有责任人与关闭证据；未关闭阻断项不得准出</w:t>
            </w:r>
          </w:p>
        </w:tc>
      </w:tr>
      <w:tr>
        <w:tc>
          <w:tcPr>
            <w:tcW w:type="dxa" w:w="792"/>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1.4</w:t>
            </w:r>
          </w:p>
        </w:tc>
        <w:tc>
          <w:tcPr>
            <w:tcW w:type="dxa" w:w="180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配置与变更控制包</w:t>
            </w:r>
          </w:p>
        </w:tc>
        <w:tc>
          <w:tcPr>
            <w:tcW w:type="dxa" w:w="648"/>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A</w:t>
            </w:r>
          </w:p>
        </w:tc>
        <w:tc>
          <w:tcPr>
            <w:tcW w:type="dxa" w:w="2088"/>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版本库、变更申请、影响分析</w:t>
            </w:r>
          </w:p>
        </w:tc>
        <w:tc>
          <w:tcPr>
            <w:tcW w:type="dxa" w:w="2232"/>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基线清单、变更记录、里程碑代码快照</w:t>
            </w:r>
          </w:p>
        </w:tc>
        <w:tc>
          <w:tcPr>
            <w:tcW w:type="dxa" w:w="1656"/>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1.1</w:t>
            </w:r>
          </w:p>
        </w:tc>
        <w:tc>
          <w:tcPr>
            <w:tcW w:type="dxa" w:w="122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W1—W20，每周核对，单次≤1周</w:t>
            </w:r>
          </w:p>
        </w:tc>
        <w:tc>
          <w:tcPr>
            <w:tcW w:type="dxa" w:w="252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文档与代码版本一致；需求变更取得双方书面确认</w:t>
            </w:r>
          </w:p>
        </w:tc>
      </w:tr>
      <w:tr>
        <w:tc>
          <w:tcPr>
            <w:tcW w:type="dxa" w:w="79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2.1</w:t>
            </w:r>
          </w:p>
        </w:tc>
        <w:tc>
          <w:tcPr>
            <w:tcW w:type="dxa" w:w="180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需求条款与范围包</w:t>
            </w:r>
          </w:p>
        </w:tc>
        <w:tc>
          <w:tcPr>
            <w:tcW w:type="dxa" w:w="64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C</w:t>
            </w:r>
          </w:p>
        </w:tc>
        <w:tc>
          <w:tcPr>
            <w:tcW w:type="dxa" w:w="2088"/>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用户需求书、冻结 Baseline、澄清记录</w:t>
            </w:r>
          </w:p>
        </w:tc>
        <w:tc>
          <w:tcPr>
            <w:tcW w:type="dxa" w:w="2232"/>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需求条款目录、范围与责任边界清单</w:t>
            </w:r>
          </w:p>
        </w:tc>
        <w:tc>
          <w:tcPr>
            <w:tcW w:type="dxa" w:w="165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1.1</w:t>
            </w:r>
          </w:p>
        </w:tc>
        <w:tc>
          <w:tcPr>
            <w:tcW w:type="dxa" w:w="122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W1，≤1周</w:t>
            </w:r>
          </w:p>
        </w:tc>
        <w:tc>
          <w:tcPr>
            <w:tcW w:type="dxa" w:w="252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39条FR、34条★、关键数字与范围边界可追溯</w:t>
            </w:r>
          </w:p>
        </w:tc>
      </w:tr>
      <w:tr>
        <w:tc>
          <w:tcPr>
            <w:tcW w:type="dxa" w:w="792"/>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2.2</w:t>
            </w:r>
          </w:p>
        </w:tc>
        <w:tc>
          <w:tcPr>
            <w:tcW w:type="dxa" w:w="180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业务流程与角色包</w:t>
            </w:r>
          </w:p>
        </w:tc>
        <w:tc>
          <w:tcPr>
            <w:tcW w:type="dxa" w:w="648"/>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C</w:t>
            </w:r>
          </w:p>
        </w:tc>
        <w:tc>
          <w:tcPr>
            <w:tcW w:type="dxa" w:w="2088"/>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需求条款、业务流程、用户角色</w:t>
            </w:r>
          </w:p>
        </w:tc>
        <w:tc>
          <w:tcPr>
            <w:tcW w:type="dxa" w:w="2232"/>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业务流程说明、角色权限输入</w:t>
            </w:r>
          </w:p>
        </w:tc>
        <w:tc>
          <w:tcPr>
            <w:tcW w:type="dxa" w:w="1656"/>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2.1</w:t>
            </w:r>
          </w:p>
        </w:tc>
        <w:tc>
          <w:tcPr>
            <w:tcW w:type="dxa" w:w="122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W1，≤1周</w:t>
            </w:r>
          </w:p>
        </w:tc>
        <w:tc>
          <w:tcPr>
            <w:tcW w:type="dxa" w:w="252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五类端到端流程及角色职责覆盖完整，无新增业务事实</w:t>
            </w:r>
          </w:p>
        </w:tc>
      </w:tr>
      <w:tr>
        <w:tc>
          <w:tcPr>
            <w:tcW w:type="dxa" w:w="79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2.3</w:t>
            </w:r>
          </w:p>
        </w:tc>
        <w:tc>
          <w:tcPr>
            <w:tcW w:type="dxa" w:w="180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软件需求规格说明书包</w:t>
            </w:r>
          </w:p>
        </w:tc>
        <w:tc>
          <w:tcPr>
            <w:tcW w:type="dxa" w:w="64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C</w:t>
            </w:r>
          </w:p>
        </w:tc>
        <w:tc>
          <w:tcPr>
            <w:tcW w:type="dxa" w:w="2088"/>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2.1、2.2、技术约束</w:t>
            </w:r>
          </w:p>
        </w:tc>
        <w:tc>
          <w:tcPr>
            <w:tcW w:type="dxa" w:w="2232"/>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SRS 评审稿</w:t>
            </w:r>
          </w:p>
        </w:tc>
        <w:tc>
          <w:tcPr>
            <w:tcW w:type="dxa" w:w="165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2.1、2.2</w:t>
            </w:r>
          </w:p>
        </w:tc>
        <w:tc>
          <w:tcPr>
            <w:tcW w:type="dxa" w:w="122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W2，≤1周</w:t>
            </w:r>
          </w:p>
        </w:tc>
        <w:tc>
          <w:tcPr>
            <w:tcW w:type="dxa" w:w="252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需求完整、明确、可验证；★无负偏离</w:t>
            </w:r>
          </w:p>
        </w:tc>
      </w:tr>
      <w:tr>
        <w:tc>
          <w:tcPr>
            <w:tcW w:type="dxa" w:w="792"/>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2.4</w:t>
            </w:r>
          </w:p>
        </w:tc>
        <w:tc>
          <w:tcPr>
            <w:tcW w:type="dxa" w:w="180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需求追踪与验收基准包</w:t>
            </w:r>
          </w:p>
        </w:tc>
        <w:tc>
          <w:tcPr>
            <w:tcW w:type="dxa" w:w="648"/>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C</w:t>
            </w:r>
          </w:p>
        </w:tc>
        <w:tc>
          <w:tcPr>
            <w:tcW w:type="dxa" w:w="2088"/>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SRS、合规矩阵、验收条款</w:t>
            </w:r>
          </w:p>
        </w:tc>
        <w:tc>
          <w:tcPr>
            <w:tcW w:type="dxa" w:w="2232"/>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RTM 初版、验收准则清单</w:t>
            </w:r>
          </w:p>
        </w:tc>
        <w:tc>
          <w:tcPr>
            <w:tcW w:type="dxa" w:w="1656"/>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2.3</w:t>
            </w:r>
          </w:p>
        </w:tc>
        <w:tc>
          <w:tcPr>
            <w:tcW w:type="dxa" w:w="122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W2，≤1周</w:t>
            </w:r>
          </w:p>
        </w:tc>
        <w:tc>
          <w:tcPr>
            <w:tcW w:type="dxa" w:w="252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每条需求挂接设计方向、验证方式和预期证据</w:t>
            </w:r>
          </w:p>
        </w:tc>
      </w:tr>
      <w:tr>
        <w:tc>
          <w:tcPr>
            <w:tcW w:type="dxa" w:w="79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2.5</w:t>
            </w:r>
          </w:p>
        </w:tc>
        <w:tc>
          <w:tcPr>
            <w:tcW w:type="dxa" w:w="180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M1 需求确认包</w:t>
            </w:r>
          </w:p>
        </w:tc>
        <w:tc>
          <w:tcPr>
            <w:tcW w:type="dxa" w:w="64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A</w:t>
            </w:r>
          </w:p>
        </w:tc>
        <w:tc>
          <w:tcPr>
            <w:tcW w:type="dxa" w:w="2088"/>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2.3、2.4、评审意见</w:t>
            </w:r>
          </w:p>
        </w:tc>
        <w:tc>
          <w:tcPr>
            <w:tcW w:type="dxa" w:w="2232"/>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需求评审记录、需求确认书签署版</w:t>
            </w:r>
          </w:p>
        </w:tc>
        <w:tc>
          <w:tcPr>
            <w:tcW w:type="dxa" w:w="165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2.3、2.4</w:t>
            </w:r>
          </w:p>
        </w:tc>
        <w:tc>
          <w:tcPr>
            <w:tcW w:type="dxa" w:w="122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W2，≤1周</w:t>
            </w:r>
          </w:p>
        </w:tc>
        <w:tc>
          <w:tcPr>
            <w:tcW w:type="dxa" w:w="252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SRS评审通过并签署需求确认书，满足M1原文条件</w:t>
            </w:r>
          </w:p>
        </w:tc>
      </w:tr>
      <w:tr>
        <w:tc>
          <w:tcPr>
            <w:tcW w:type="dxa" w:w="792"/>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3.1</w:t>
            </w:r>
          </w:p>
        </w:tc>
        <w:tc>
          <w:tcPr>
            <w:tcW w:type="dxa" w:w="180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总体架构设计包</w:t>
            </w:r>
          </w:p>
        </w:tc>
        <w:tc>
          <w:tcPr>
            <w:tcW w:type="dxa" w:w="648"/>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B</w:t>
            </w:r>
          </w:p>
        </w:tc>
        <w:tc>
          <w:tcPr>
            <w:tcW w:type="dxa" w:w="2088"/>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M1确认包、技术方案V0.6</w:t>
            </w:r>
          </w:p>
        </w:tc>
        <w:tc>
          <w:tcPr>
            <w:tcW w:type="dxa" w:w="2232"/>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概要设计、部署与集成视图</w:t>
            </w:r>
          </w:p>
        </w:tc>
        <w:tc>
          <w:tcPr>
            <w:tcW w:type="dxa" w:w="1656"/>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2.5</w:t>
            </w:r>
          </w:p>
        </w:tc>
        <w:tc>
          <w:tcPr>
            <w:tcW w:type="dxa" w:w="122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W3，≤1周</w:t>
            </w:r>
          </w:p>
        </w:tc>
        <w:tc>
          <w:tcPr>
            <w:tcW w:type="dxa" w:w="252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分层解耦、Web+H5、私有化和容器化边界明确</w:t>
            </w:r>
          </w:p>
        </w:tc>
      </w:tr>
      <w:tr>
        <w:tc>
          <w:tcPr>
            <w:tcW w:type="dxa" w:w="79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3.2</w:t>
            </w:r>
          </w:p>
        </w:tc>
        <w:tc>
          <w:tcPr>
            <w:tcW w:type="dxa" w:w="180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数据与数据库设计包</w:t>
            </w:r>
          </w:p>
        </w:tc>
        <w:tc>
          <w:tcPr>
            <w:tcW w:type="dxa" w:w="64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B</w:t>
            </w:r>
          </w:p>
        </w:tc>
        <w:tc>
          <w:tcPr>
            <w:tcW w:type="dxa" w:w="2088"/>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SRS、数据要求、初始化责任</w:t>
            </w:r>
          </w:p>
        </w:tc>
        <w:tc>
          <w:tcPr>
            <w:tcW w:type="dxa" w:w="2232"/>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数据模型、数据库设计、初始化模板</w:t>
            </w:r>
          </w:p>
        </w:tc>
        <w:tc>
          <w:tcPr>
            <w:tcW w:type="dxa" w:w="165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2.5</w:t>
            </w:r>
          </w:p>
        </w:tc>
        <w:tc>
          <w:tcPr>
            <w:tcW w:type="dxa" w:w="122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W3，≤1周</w:t>
            </w:r>
          </w:p>
        </w:tc>
        <w:tc>
          <w:tcPr>
            <w:tcW w:type="dxa" w:w="252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核心实体、审计、空间和初始化校验规则齐全</w:t>
            </w:r>
          </w:p>
        </w:tc>
      </w:tr>
      <w:tr>
        <w:tc>
          <w:tcPr>
            <w:tcW w:type="dxa" w:w="792"/>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3.3</w:t>
            </w:r>
          </w:p>
        </w:tc>
        <w:tc>
          <w:tcPr>
            <w:tcW w:type="dxa" w:w="180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接口设计与契约包</w:t>
            </w:r>
          </w:p>
        </w:tc>
        <w:tc>
          <w:tcPr>
            <w:tcW w:type="dxa" w:w="648"/>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B</w:t>
            </w:r>
          </w:p>
        </w:tc>
        <w:tc>
          <w:tcPr>
            <w:tcW w:type="dxa" w:w="2088"/>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外部依赖清单、接口资料</w:t>
            </w:r>
          </w:p>
        </w:tc>
        <w:tc>
          <w:tcPr>
            <w:tcW w:type="dxa" w:w="2232"/>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接口设计、OpenAPI、字段与异常规则</w:t>
            </w:r>
          </w:p>
        </w:tc>
        <w:tc>
          <w:tcPr>
            <w:tcW w:type="dxa" w:w="1656"/>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3.1、甲方接口资料</w:t>
            </w:r>
          </w:p>
        </w:tc>
        <w:tc>
          <w:tcPr>
            <w:tcW w:type="dxa" w:w="122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W4，≤1周</w:t>
            </w:r>
          </w:p>
        </w:tc>
        <w:tc>
          <w:tcPr>
            <w:tcW w:type="dxa" w:w="252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版本、鉴权、幂等、超时、重试、回执与降级可验证</w:t>
            </w:r>
          </w:p>
        </w:tc>
      </w:tr>
      <w:tr>
        <w:tc>
          <w:tcPr>
            <w:tcW w:type="dxa" w:w="79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3.4</w:t>
            </w:r>
          </w:p>
        </w:tc>
        <w:tc>
          <w:tcPr>
            <w:tcW w:type="dxa" w:w="180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安全与部署设计包</w:t>
            </w:r>
          </w:p>
        </w:tc>
        <w:tc>
          <w:tcPr>
            <w:tcW w:type="dxa" w:w="64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B</w:t>
            </w:r>
          </w:p>
        </w:tc>
        <w:tc>
          <w:tcPr>
            <w:tcW w:type="dxa" w:w="2088"/>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安全条款、甲方环境清单</w:t>
            </w:r>
          </w:p>
        </w:tc>
        <w:tc>
          <w:tcPr>
            <w:tcW w:type="dxa" w:w="2232"/>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安全设计、部署方案、离线制品方案</w:t>
            </w:r>
          </w:p>
        </w:tc>
        <w:tc>
          <w:tcPr>
            <w:tcW w:type="dxa" w:w="165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3.1、甲方环境条件</w:t>
            </w:r>
          </w:p>
        </w:tc>
        <w:tc>
          <w:tcPr>
            <w:tcW w:type="dxa" w:w="122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W4，≤1周</w:t>
            </w:r>
          </w:p>
        </w:tc>
        <w:tc>
          <w:tcPr>
            <w:tcW w:type="dxa" w:w="252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应用安全责任、备份恢复、隔离部署和高危清零路径明确</w:t>
            </w:r>
          </w:p>
        </w:tc>
      </w:tr>
      <w:tr>
        <w:tc>
          <w:tcPr>
            <w:tcW w:type="dxa" w:w="792"/>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3.5</w:t>
            </w:r>
          </w:p>
        </w:tc>
        <w:tc>
          <w:tcPr>
            <w:tcW w:type="dxa" w:w="180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详细设计包</w:t>
            </w:r>
          </w:p>
        </w:tc>
        <w:tc>
          <w:tcPr>
            <w:tcW w:type="dxa" w:w="648"/>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B</w:t>
            </w:r>
          </w:p>
        </w:tc>
        <w:tc>
          <w:tcPr>
            <w:tcW w:type="dxa" w:w="2088"/>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3.1—3.4、SRS</w:t>
            </w:r>
          </w:p>
        </w:tc>
        <w:tc>
          <w:tcPr>
            <w:tcW w:type="dxa" w:w="2232"/>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详细设计说明书</w:t>
            </w:r>
          </w:p>
        </w:tc>
        <w:tc>
          <w:tcPr>
            <w:tcW w:type="dxa" w:w="1656"/>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3.1、3.2、3.3、3.4</w:t>
            </w:r>
          </w:p>
        </w:tc>
        <w:tc>
          <w:tcPr>
            <w:tcW w:type="dxa" w:w="122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W5，≤1周</w:t>
            </w:r>
          </w:p>
        </w:tc>
        <w:tc>
          <w:tcPr>
            <w:tcW w:type="dxa" w:w="252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模块、流程、状态、数据、接口及异常处理可实现、可测试</w:t>
            </w:r>
          </w:p>
        </w:tc>
      </w:tr>
      <w:tr>
        <w:tc>
          <w:tcPr>
            <w:tcW w:type="dxa" w:w="79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3.6</w:t>
            </w:r>
          </w:p>
        </w:tc>
        <w:tc>
          <w:tcPr>
            <w:tcW w:type="dxa" w:w="180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测试计划与用例框架包</w:t>
            </w:r>
          </w:p>
        </w:tc>
        <w:tc>
          <w:tcPr>
            <w:tcW w:type="dxa" w:w="64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C</w:t>
            </w:r>
          </w:p>
        </w:tc>
        <w:tc>
          <w:tcPr>
            <w:tcW w:type="dxa" w:w="2088"/>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SRS、详细设计、验收指标</w:t>
            </w:r>
          </w:p>
        </w:tc>
        <w:tc>
          <w:tcPr>
            <w:tcW w:type="dxa" w:w="2232"/>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测试计划、测试设计框架、RTM更新</w:t>
            </w:r>
          </w:p>
        </w:tc>
        <w:tc>
          <w:tcPr>
            <w:tcW w:type="dxa" w:w="165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3.5</w:t>
            </w:r>
          </w:p>
        </w:tc>
        <w:tc>
          <w:tcPr>
            <w:tcW w:type="dxa" w:w="122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W5，≤1周</w:t>
            </w:r>
          </w:p>
        </w:tc>
        <w:tc>
          <w:tcPr>
            <w:tcW w:type="dxa" w:w="252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单元、集成、系统、性能、安全、兼容、验收层级齐全</w:t>
            </w:r>
          </w:p>
        </w:tc>
      </w:tr>
      <w:tr>
        <w:tc>
          <w:tcPr>
            <w:tcW w:type="dxa" w:w="792"/>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3.7</w:t>
            </w:r>
          </w:p>
        </w:tc>
        <w:tc>
          <w:tcPr>
            <w:tcW w:type="dxa" w:w="180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视频通道连通证据包</w:t>
            </w:r>
          </w:p>
        </w:tc>
        <w:tc>
          <w:tcPr>
            <w:tcW w:type="dxa" w:w="648"/>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B</w:t>
            </w:r>
          </w:p>
        </w:tc>
        <w:tc>
          <w:tcPr>
            <w:tcW w:type="dxa" w:w="2088"/>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视频接口资料、账号、授权、环境</w:t>
            </w:r>
          </w:p>
        </w:tc>
        <w:tc>
          <w:tcPr>
            <w:tcW w:type="dxa" w:w="2232"/>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目录、实时取流、录像检索与异常记录</w:t>
            </w:r>
          </w:p>
        </w:tc>
        <w:tc>
          <w:tcPr>
            <w:tcW w:type="dxa" w:w="1656"/>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3.3、甲方视频条件</w:t>
            </w:r>
          </w:p>
        </w:tc>
        <w:tc>
          <w:tcPr>
            <w:tcW w:type="dxa" w:w="122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W5，≤1周</w:t>
            </w:r>
          </w:p>
        </w:tc>
        <w:tc>
          <w:tcPr>
            <w:tcW w:type="dxa" w:w="252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M2前完成真实连通；历史回放与首帧验证方法、结果留痕</w:t>
            </w:r>
          </w:p>
        </w:tc>
      </w:tr>
      <w:tr>
        <w:tc>
          <w:tcPr>
            <w:tcW w:type="dxa" w:w="79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3.8</w:t>
            </w:r>
          </w:p>
        </w:tc>
        <w:tc>
          <w:tcPr>
            <w:tcW w:type="dxa" w:w="180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消息通道连通证据包</w:t>
            </w:r>
          </w:p>
        </w:tc>
        <w:tc>
          <w:tcPr>
            <w:tcW w:type="dxa" w:w="64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B</w:t>
            </w:r>
          </w:p>
        </w:tc>
        <w:tc>
          <w:tcPr>
            <w:tcW w:type="dxa" w:w="2088"/>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通道资料、账号/签名/配额、环境</w:t>
            </w:r>
          </w:p>
        </w:tc>
        <w:tc>
          <w:tcPr>
            <w:tcW w:type="dxa" w:w="2232"/>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发送、回执、重试与降级记录</w:t>
            </w:r>
          </w:p>
        </w:tc>
        <w:tc>
          <w:tcPr>
            <w:tcW w:type="dxa" w:w="165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3.3、甲方消息条件</w:t>
            </w:r>
          </w:p>
        </w:tc>
        <w:tc>
          <w:tcPr>
            <w:tcW w:type="dxa" w:w="122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W6，≤1周</w:t>
            </w:r>
          </w:p>
        </w:tc>
        <w:tc>
          <w:tcPr>
            <w:tcW w:type="dxa" w:w="252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M2前完成真实连通；并行与到达率后续实测口径明确</w:t>
            </w:r>
          </w:p>
        </w:tc>
      </w:tr>
      <w:tr>
        <w:tc>
          <w:tcPr>
            <w:tcW w:type="dxa" w:w="792"/>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3.9</w:t>
            </w:r>
          </w:p>
        </w:tc>
        <w:tc>
          <w:tcPr>
            <w:tcW w:type="dxa" w:w="180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M2 设计评审包</w:t>
            </w:r>
          </w:p>
        </w:tc>
        <w:tc>
          <w:tcPr>
            <w:tcW w:type="dxa" w:w="648"/>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A</w:t>
            </w:r>
          </w:p>
        </w:tc>
        <w:tc>
          <w:tcPr>
            <w:tcW w:type="dxa" w:w="2088"/>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3.1—3.8、评审意见</w:t>
            </w:r>
          </w:p>
        </w:tc>
        <w:tc>
          <w:tcPr>
            <w:tcW w:type="dxa" w:w="2232"/>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设计评审记录、五类设计文档与测试计划定版</w:t>
            </w:r>
          </w:p>
        </w:tc>
        <w:tc>
          <w:tcPr>
            <w:tcW w:type="dxa" w:w="1656"/>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3.1—3.8</w:t>
            </w:r>
          </w:p>
        </w:tc>
        <w:tc>
          <w:tcPr>
            <w:tcW w:type="dxa" w:w="122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W6，≤1周</w:t>
            </w:r>
          </w:p>
        </w:tc>
        <w:tc>
          <w:tcPr>
            <w:tcW w:type="dxa" w:w="252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概要、详细、数据库、接口和测试计划通过评审；视频与消息连通结论纳入输入</w:t>
            </w:r>
          </w:p>
        </w:tc>
      </w:tr>
      <w:tr>
        <w:tc>
          <w:tcPr>
            <w:tcW w:type="dxa" w:w="79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4.1</w:t>
            </w:r>
          </w:p>
        </w:tc>
        <w:tc>
          <w:tcPr>
            <w:tcW w:type="dxa" w:w="180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公共基础与中台适配增量</w:t>
            </w:r>
          </w:p>
        </w:tc>
        <w:tc>
          <w:tcPr>
            <w:tcW w:type="dxa" w:w="64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B</w:t>
            </w:r>
          </w:p>
        </w:tc>
        <w:tc>
          <w:tcPr>
            <w:tcW w:type="dxa" w:w="2088"/>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M2设计包、中台接口条件</w:t>
            </w:r>
          </w:p>
        </w:tc>
        <w:tc>
          <w:tcPr>
            <w:tcW w:type="dxa" w:w="2232"/>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身份、组织、权限、消息、工作流、文件与审计基础增量</w:t>
            </w:r>
          </w:p>
        </w:tc>
        <w:tc>
          <w:tcPr>
            <w:tcW w:type="dxa" w:w="165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3.9</w:t>
            </w:r>
          </w:p>
        </w:tc>
        <w:tc>
          <w:tcPr>
            <w:tcW w:type="dxa" w:w="122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W7，≤1周</w:t>
            </w:r>
          </w:p>
        </w:tc>
        <w:tc>
          <w:tcPr>
            <w:tcW w:type="dxa" w:w="252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公共能力按接口契约运行，异常和降级路径可演示</w:t>
            </w:r>
          </w:p>
        </w:tc>
      </w:tr>
      <w:tr>
        <w:tc>
          <w:tcPr>
            <w:tcW w:type="dxa" w:w="792"/>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4.2</w:t>
            </w:r>
          </w:p>
        </w:tc>
        <w:tc>
          <w:tcPr>
            <w:tcW w:type="dxa" w:w="180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预案与基础配置增量</w:t>
            </w:r>
          </w:p>
        </w:tc>
        <w:tc>
          <w:tcPr>
            <w:tcW w:type="dxa" w:w="648"/>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B</w:t>
            </w:r>
          </w:p>
        </w:tc>
        <w:tc>
          <w:tcPr>
            <w:tcW w:type="dxa" w:w="2088"/>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SRS、流程与模板设计</w:t>
            </w:r>
          </w:p>
        </w:tc>
        <w:tc>
          <w:tcPr>
            <w:tcW w:type="dxa" w:w="2232"/>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F-01、F-07 可运行增量</w:t>
            </w:r>
          </w:p>
        </w:tc>
        <w:tc>
          <w:tcPr>
            <w:tcW w:type="dxa" w:w="1656"/>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4.1</w:t>
            </w:r>
          </w:p>
        </w:tc>
        <w:tc>
          <w:tcPr>
            <w:tcW w:type="dxa" w:w="122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W7，≤1周</w:t>
            </w:r>
          </w:p>
        </w:tc>
        <w:tc>
          <w:tcPr>
            <w:tcW w:type="dxa" w:w="252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预案、类型、流程、任务、模板和版本用例通过</w:t>
            </w:r>
          </w:p>
        </w:tc>
      </w:tr>
      <w:tr>
        <w:tc>
          <w:tcPr>
            <w:tcW w:type="dxa" w:w="79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4.3</w:t>
            </w:r>
          </w:p>
        </w:tc>
        <w:tc>
          <w:tcPr>
            <w:tcW w:type="dxa" w:w="180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资源与值班增量</w:t>
            </w:r>
          </w:p>
        </w:tc>
        <w:tc>
          <w:tcPr>
            <w:tcW w:type="dxa" w:w="64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B</w:t>
            </w:r>
          </w:p>
        </w:tc>
        <w:tc>
          <w:tcPr>
            <w:tcW w:type="dxa" w:w="2088"/>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数据设计、地图与消息接口</w:t>
            </w:r>
          </w:p>
        </w:tc>
        <w:tc>
          <w:tcPr>
            <w:tcW w:type="dxa" w:w="2232"/>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F-03、F-06 可运行增量</w:t>
            </w:r>
          </w:p>
        </w:tc>
        <w:tc>
          <w:tcPr>
            <w:tcW w:type="dxa" w:w="165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4.1</w:t>
            </w:r>
          </w:p>
        </w:tc>
        <w:tc>
          <w:tcPr>
            <w:tcW w:type="dxa" w:w="122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W8，≤1周</w:t>
            </w:r>
          </w:p>
        </w:tc>
        <w:tc>
          <w:tcPr>
            <w:tcW w:type="dxa" w:w="252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人员、物资、盘点、点位、打卡和预警链路可验证</w:t>
            </w:r>
          </w:p>
        </w:tc>
      </w:tr>
      <w:tr>
        <w:tc>
          <w:tcPr>
            <w:tcW w:type="dxa" w:w="792"/>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4.4</w:t>
            </w:r>
          </w:p>
        </w:tc>
        <w:tc>
          <w:tcPr>
            <w:tcW w:type="dxa" w:w="180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演练管理增量</w:t>
            </w:r>
          </w:p>
        </w:tc>
        <w:tc>
          <w:tcPr>
            <w:tcW w:type="dxa" w:w="648"/>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B</w:t>
            </w:r>
          </w:p>
        </w:tc>
        <w:tc>
          <w:tcPr>
            <w:tcW w:type="dxa" w:w="2088"/>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预案增量、任务与消息能力</w:t>
            </w:r>
          </w:p>
        </w:tc>
        <w:tc>
          <w:tcPr>
            <w:tcW w:type="dxa" w:w="2232"/>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F-04 可运行增量</w:t>
            </w:r>
          </w:p>
        </w:tc>
        <w:tc>
          <w:tcPr>
            <w:tcW w:type="dxa" w:w="1656"/>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4.2、4.1</w:t>
            </w:r>
          </w:p>
        </w:tc>
        <w:tc>
          <w:tcPr>
            <w:tcW w:type="dxa" w:w="122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W9，≤1周</w:t>
            </w:r>
          </w:p>
        </w:tc>
        <w:tc>
          <w:tcPr>
            <w:tcW w:type="dxa" w:w="252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计划、自动任务、执行、评估和改进闭环用例通过</w:t>
            </w:r>
          </w:p>
        </w:tc>
      </w:tr>
      <w:tr>
        <w:tc>
          <w:tcPr>
            <w:tcW w:type="dxa" w:w="79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4.5</w:t>
            </w:r>
          </w:p>
        </w:tc>
        <w:tc>
          <w:tcPr>
            <w:tcW w:type="dxa" w:w="180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事件处置与任务增量</w:t>
            </w:r>
          </w:p>
        </w:tc>
        <w:tc>
          <w:tcPr>
            <w:tcW w:type="dxa" w:w="64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B</w:t>
            </w:r>
          </w:p>
        </w:tc>
        <w:tc>
          <w:tcPr>
            <w:tcW w:type="dxa" w:w="2088"/>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预案增量、审批与消息能力</w:t>
            </w:r>
          </w:p>
        </w:tc>
        <w:tc>
          <w:tcPr>
            <w:tcW w:type="dxa" w:w="2232"/>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F-05 及任务调度可运行增量</w:t>
            </w:r>
          </w:p>
        </w:tc>
        <w:tc>
          <w:tcPr>
            <w:tcW w:type="dxa" w:w="165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4.2、4.1</w:t>
            </w:r>
          </w:p>
        </w:tc>
        <w:tc>
          <w:tcPr>
            <w:tcW w:type="dxa" w:w="122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W10，≤1周</w:t>
            </w:r>
          </w:p>
        </w:tc>
        <w:tc>
          <w:tcPr>
            <w:tcW w:type="dxa" w:w="252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接报、核实、启动、处置、关闭、调查与留痕链路贯通</w:t>
            </w:r>
          </w:p>
        </w:tc>
      </w:tr>
      <w:tr>
        <w:tc>
          <w:tcPr>
            <w:tcW w:type="dxa" w:w="792"/>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4.6</w:t>
            </w:r>
          </w:p>
        </w:tc>
        <w:tc>
          <w:tcPr>
            <w:tcW w:type="dxa" w:w="180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指挥一张图与视频增量</w:t>
            </w:r>
          </w:p>
        </w:tc>
        <w:tc>
          <w:tcPr>
            <w:tcW w:type="dxa" w:w="648"/>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B</w:t>
            </w:r>
          </w:p>
        </w:tc>
        <w:tc>
          <w:tcPr>
            <w:tcW w:type="dxa" w:w="2088"/>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事件增量、地图、定位、视频接口</w:t>
            </w:r>
          </w:p>
        </w:tc>
        <w:tc>
          <w:tcPr>
            <w:tcW w:type="dxa" w:w="2232"/>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F-02 可运行增量</w:t>
            </w:r>
          </w:p>
        </w:tc>
        <w:tc>
          <w:tcPr>
            <w:tcW w:type="dxa" w:w="1656"/>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4.5、3.7</w:t>
            </w:r>
          </w:p>
        </w:tc>
        <w:tc>
          <w:tcPr>
            <w:tcW w:type="dxa" w:w="122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W11，≤1周</w:t>
            </w:r>
          </w:p>
        </w:tc>
        <w:tc>
          <w:tcPr>
            <w:tcW w:type="dxa" w:w="252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事件、人员、视频、物资在同一态势视图关联展示</w:t>
            </w:r>
          </w:p>
        </w:tc>
      </w:tr>
      <w:tr>
        <w:tc>
          <w:tcPr>
            <w:tcW w:type="dxa" w:w="79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4.7</w:t>
            </w:r>
          </w:p>
        </w:tc>
        <w:tc>
          <w:tcPr>
            <w:tcW w:type="dxa" w:w="180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H5 移动业务增量</w:t>
            </w:r>
          </w:p>
        </w:tc>
        <w:tc>
          <w:tcPr>
            <w:tcW w:type="dxa" w:w="64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B</w:t>
            </w:r>
          </w:p>
        </w:tc>
        <w:tc>
          <w:tcPr>
            <w:tcW w:type="dxa" w:w="2088"/>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事件、任务、演练、值班、资源接口</w:t>
            </w:r>
          </w:p>
        </w:tc>
        <w:tc>
          <w:tcPr>
            <w:tcW w:type="dxa" w:w="2232"/>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F-08 H5 包及宿主集成增量</w:t>
            </w:r>
          </w:p>
        </w:tc>
        <w:tc>
          <w:tcPr>
            <w:tcW w:type="dxa" w:w="165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4.3—4.6、甲方宿主条件</w:t>
            </w:r>
          </w:p>
        </w:tc>
        <w:tc>
          <w:tcPr>
            <w:tcW w:type="dxa" w:w="122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W12，≤1周</w:t>
            </w:r>
          </w:p>
        </w:tc>
        <w:tc>
          <w:tcPr>
            <w:tcW w:type="dxa" w:w="252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六类H5业务可用；不包含另建原生APP</w:t>
            </w:r>
          </w:p>
        </w:tc>
      </w:tr>
      <w:tr>
        <w:tc>
          <w:tcPr>
            <w:tcW w:type="dxa" w:w="792"/>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4.8</w:t>
            </w:r>
          </w:p>
        </w:tc>
        <w:tc>
          <w:tcPr>
            <w:tcW w:type="dxa" w:w="180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应急与安防视图增量</w:t>
            </w:r>
          </w:p>
        </w:tc>
        <w:tc>
          <w:tcPr>
            <w:tcW w:type="dxa" w:w="648"/>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B</w:t>
            </w:r>
          </w:p>
        </w:tc>
        <w:tc>
          <w:tcPr>
            <w:tcW w:type="dxa" w:w="2088"/>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业务数据、安防接口、统计设计</w:t>
            </w:r>
          </w:p>
        </w:tc>
        <w:tc>
          <w:tcPr>
            <w:tcW w:type="dxa" w:w="2232"/>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F-09、F-10 可运行增量</w:t>
            </w:r>
          </w:p>
        </w:tc>
        <w:tc>
          <w:tcPr>
            <w:tcW w:type="dxa" w:w="1656"/>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4.5、4.6</w:t>
            </w:r>
          </w:p>
        </w:tc>
        <w:tc>
          <w:tcPr>
            <w:tcW w:type="dxa" w:w="122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W13，≤1周</w:t>
            </w:r>
          </w:p>
        </w:tc>
        <w:tc>
          <w:tcPr>
            <w:tcW w:type="dxa" w:w="252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筛选、钻取、定位、跳转和刷新用例可执行</w:t>
            </w:r>
          </w:p>
        </w:tc>
      </w:tr>
      <w:tr>
        <w:tc>
          <w:tcPr>
            <w:tcW w:type="dxa" w:w="79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4.9</w:t>
            </w:r>
          </w:p>
        </w:tc>
        <w:tc>
          <w:tcPr>
            <w:tcW w:type="dxa" w:w="180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物联网与信息发布联动包</w:t>
            </w:r>
          </w:p>
        </w:tc>
        <w:tc>
          <w:tcPr>
            <w:tcW w:type="dxa" w:w="64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B</w:t>
            </w:r>
          </w:p>
        </w:tc>
        <w:tc>
          <w:tcPr>
            <w:tcW w:type="dxa" w:w="2088"/>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接口契约、既有系统条件</w:t>
            </w:r>
          </w:p>
        </w:tc>
        <w:tc>
          <w:tcPr>
            <w:tcW w:type="dxa" w:w="2232"/>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物联网、信息发布适配与联动记录</w:t>
            </w:r>
          </w:p>
        </w:tc>
        <w:tc>
          <w:tcPr>
            <w:tcW w:type="dxa" w:w="165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3.3、4.5</w:t>
            </w:r>
          </w:p>
        </w:tc>
        <w:tc>
          <w:tcPr>
            <w:tcW w:type="dxa" w:w="122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W14第1—2个工作日，≤1周</w:t>
            </w:r>
          </w:p>
        </w:tc>
        <w:tc>
          <w:tcPr>
            <w:tcW w:type="dxa" w:w="252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正常、异常、重试、回执和降级场景均有证据</w:t>
            </w:r>
          </w:p>
        </w:tc>
      </w:tr>
      <w:tr>
        <w:tc>
          <w:tcPr>
            <w:tcW w:type="dxa" w:w="792"/>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4.10</w:t>
            </w:r>
          </w:p>
        </w:tc>
        <w:tc>
          <w:tcPr>
            <w:tcW w:type="dxa" w:w="180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门禁与消防报警联动包</w:t>
            </w:r>
          </w:p>
        </w:tc>
        <w:tc>
          <w:tcPr>
            <w:tcW w:type="dxa" w:w="648"/>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B</w:t>
            </w:r>
          </w:p>
        </w:tc>
        <w:tc>
          <w:tcPr>
            <w:tcW w:type="dxa" w:w="2088"/>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授权机制、安全联锁、报警接口</w:t>
            </w:r>
          </w:p>
        </w:tc>
        <w:tc>
          <w:tcPr>
            <w:tcW w:type="dxa" w:w="2232"/>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受控门禁、消防/报警接入与人工降级记录</w:t>
            </w:r>
          </w:p>
        </w:tc>
        <w:tc>
          <w:tcPr>
            <w:tcW w:type="dxa" w:w="1656"/>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3.3、4.5</w:t>
            </w:r>
          </w:p>
        </w:tc>
        <w:tc>
          <w:tcPr>
            <w:tcW w:type="dxa" w:w="122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W14第3—4个工作日，≤1周</w:t>
            </w:r>
          </w:p>
        </w:tc>
        <w:tc>
          <w:tcPr>
            <w:tcW w:type="dxa" w:w="252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不绕过既有安全联锁；授权、回执、失败告警和人工处置可追溯</w:t>
            </w:r>
          </w:p>
        </w:tc>
      </w:tr>
      <w:tr>
        <w:tc>
          <w:tcPr>
            <w:tcW w:type="dxa" w:w="79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4.11</w:t>
            </w:r>
          </w:p>
        </w:tc>
        <w:tc>
          <w:tcPr>
            <w:tcW w:type="dxa" w:w="180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性能与可靠性加固包</w:t>
            </w:r>
          </w:p>
        </w:tc>
        <w:tc>
          <w:tcPr>
            <w:tcW w:type="dxa" w:w="64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B</w:t>
            </w:r>
          </w:p>
        </w:tc>
        <w:tc>
          <w:tcPr>
            <w:tcW w:type="dxa" w:w="2088"/>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集成增量、性能指标、故障场景</w:t>
            </w:r>
          </w:p>
        </w:tc>
        <w:tc>
          <w:tcPr>
            <w:tcW w:type="dxa" w:w="2232"/>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性能优化记录、容错与恢复方案</w:t>
            </w:r>
          </w:p>
        </w:tc>
        <w:tc>
          <w:tcPr>
            <w:tcW w:type="dxa" w:w="165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4.6—4.10</w:t>
            </w:r>
          </w:p>
        </w:tc>
        <w:tc>
          <w:tcPr>
            <w:tcW w:type="dxa" w:w="122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W15，≤1周</w:t>
            </w:r>
          </w:p>
        </w:tc>
        <w:tc>
          <w:tcPr>
            <w:tcW w:type="dxa" w:w="252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关键指标具备可执行测试条件，故障恢复路径完整</w:t>
            </w:r>
          </w:p>
        </w:tc>
      </w:tr>
      <w:tr>
        <w:tc>
          <w:tcPr>
            <w:tcW w:type="dxa" w:w="792"/>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4.12</w:t>
            </w:r>
          </w:p>
        </w:tc>
        <w:tc>
          <w:tcPr>
            <w:tcW w:type="dxa" w:w="180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数据初始化候选包</w:t>
            </w:r>
          </w:p>
        </w:tc>
        <w:tc>
          <w:tcPr>
            <w:tcW w:type="dxa" w:w="648"/>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B</w:t>
            </w:r>
          </w:p>
        </w:tc>
        <w:tc>
          <w:tcPr>
            <w:tcW w:type="dxa" w:w="2088"/>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甲方真实源数据、模板与映射；C提供数据规则、对账口径与符合性输入</w:t>
            </w:r>
          </w:p>
        </w:tc>
        <w:tc>
          <w:tcPr>
            <w:tcW w:type="dxa" w:w="2232"/>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清洗转换结果、导入记录、技术校验和对账</w:t>
            </w:r>
          </w:p>
        </w:tc>
        <w:tc>
          <w:tcPr>
            <w:tcW w:type="dxa" w:w="1656"/>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3.2、甲方数据条件</w:t>
            </w:r>
          </w:p>
        </w:tc>
        <w:tc>
          <w:tcPr>
            <w:tcW w:type="dxa" w:w="122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W14第5个工作日，≤1周</w:t>
            </w:r>
          </w:p>
        </w:tc>
        <w:tc>
          <w:tcPr>
            <w:tcW w:type="dxa" w:w="252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B完成模板、映射、清洗、转换、导入和技术校验；C完成数据规则、关键数字与对账口径核对；不补造缺失业务事实</w:t>
            </w:r>
          </w:p>
        </w:tc>
      </w:tr>
      <w:tr>
        <w:tc>
          <w:tcPr>
            <w:tcW w:type="dxa" w:w="79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4.13</w:t>
            </w:r>
          </w:p>
        </w:tc>
        <w:tc>
          <w:tcPr>
            <w:tcW w:type="dxa" w:w="180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初验部署候选包</w:t>
            </w:r>
          </w:p>
        </w:tc>
        <w:tc>
          <w:tcPr>
            <w:tcW w:type="dxa" w:w="64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B</w:t>
            </w:r>
          </w:p>
        </w:tc>
        <w:tc>
          <w:tcPr>
            <w:tcW w:type="dxa" w:w="2088"/>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集成版本、环境条件、离线制品</w:t>
            </w:r>
          </w:p>
        </w:tc>
        <w:tc>
          <w:tcPr>
            <w:tcW w:type="dxa" w:w="2232"/>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甲方环境可运行系统、构建脚本、容器镜像、初始化脚本</w:t>
            </w:r>
          </w:p>
        </w:tc>
        <w:tc>
          <w:tcPr>
            <w:tcW w:type="dxa" w:w="165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4.11、4.12</w:t>
            </w:r>
          </w:p>
        </w:tc>
        <w:tc>
          <w:tcPr>
            <w:tcW w:type="dxa" w:w="122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W16第1—2个工作日，≤1周</w:t>
            </w:r>
          </w:p>
        </w:tc>
        <w:tc>
          <w:tcPr>
            <w:tcW w:type="dxa" w:w="252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Web与H5在甲方环境可访问；部署、回滚和健康检查有记录</w:t>
            </w:r>
          </w:p>
        </w:tc>
      </w:tr>
      <w:tr>
        <w:tc>
          <w:tcPr>
            <w:tcW w:type="dxa" w:w="792"/>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5.1</w:t>
            </w:r>
          </w:p>
        </w:tc>
        <w:tc>
          <w:tcPr>
            <w:tcW w:type="dxa" w:w="180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单元与集成测试证据包</w:t>
            </w:r>
          </w:p>
        </w:tc>
        <w:tc>
          <w:tcPr>
            <w:tcW w:type="dxa" w:w="648"/>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B</w:t>
            </w:r>
          </w:p>
        </w:tc>
        <w:tc>
          <w:tcPr>
            <w:tcW w:type="dxa" w:w="2088"/>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各增量、测试用例</w:t>
            </w:r>
          </w:p>
        </w:tc>
        <w:tc>
          <w:tcPr>
            <w:tcW w:type="dxa" w:w="2232"/>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单元与集成测试报告、覆盖率记录</w:t>
            </w:r>
          </w:p>
        </w:tc>
        <w:tc>
          <w:tcPr>
            <w:tcW w:type="dxa" w:w="1656"/>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4.2—4.11</w:t>
            </w:r>
          </w:p>
        </w:tc>
        <w:tc>
          <w:tcPr>
            <w:tcW w:type="dxa" w:w="122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W15第4—5个工作日，≤1周</w:t>
            </w:r>
          </w:p>
        </w:tc>
        <w:tc>
          <w:tcPr>
            <w:tcW w:type="dxa" w:w="252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核心模块单元测试覆盖率不低于70%；接口缺陷有闭环</w:t>
            </w:r>
          </w:p>
        </w:tc>
      </w:tr>
      <w:tr>
        <w:tc>
          <w:tcPr>
            <w:tcW w:type="dxa" w:w="79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5.2</w:t>
            </w:r>
          </w:p>
        </w:tc>
        <w:tc>
          <w:tcPr>
            <w:tcW w:type="dxa" w:w="180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系统功能与追踪验证包</w:t>
            </w:r>
          </w:p>
        </w:tc>
        <w:tc>
          <w:tcPr>
            <w:tcW w:type="dxa" w:w="64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C</w:t>
            </w:r>
          </w:p>
        </w:tc>
        <w:tc>
          <w:tcPr>
            <w:tcW w:type="dxa" w:w="2088"/>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4.13、RTM、测试设计</w:t>
            </w:r>
          </w:p>
        </w:tc>
        <w:tc>
          <w:tcPr>
            <w:tcW w:type="dxa" w:w="2232"/>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系统测试记录、RTM更新</w:t>
            </w:r>
          </w:p>
        </w:tc>
        <w:tc>
          <w:tcPr>
            <w:tcW w:type="dxa" w:w="165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4.13、5.1</w:t>
            </w:r>
          </w:p>
        </w:tc>
        <w:tc>
          <w:tcPr>
            <w:tcW w:type="dxa" w:w="122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W16第3—5个工作日，≤1周</w:t>
            </w:r>
          </w:p>
        </w:tc>
        <w:tc>
          <w:tcPr>
            <w:tcW w:type="dxa" w:w="252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39条FR及全部★均有执行结果和证据位置</w:t>
            </w:r>
          </w:p>
        </w:tc>
      </w:tr>
      <w:tr>
        <w:tc>
          <w:tcPr>
            <w:tcW w:type="dxa" w:w="792"/>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5.3</w:t>
            </w:r>
          </w:p>
        </w:tc>
        <w:tc>
          <w:tcPr>
            <w:tcW w:type="dxa" w:w="180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性能与兼容验证包</w:t>
            </w:r>
          </w:p>
        </w:tc>
        <w:tc>
          <w:tcPr>
            <w:tcW w:type="dxa" w:w="648"/>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B</w:t>
            </w:r>
          </w:p>
        </w:tc>
        <w:tc>
          <w:tcPr>
            <w:tcW w:type="dxa" w:w="2088"/>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4.13、性能指标、终端矩阵</w:t>
            </w:r>
          </w:p>
        </w:tc>
        <w:tc>
          <w:tcPr>
            <w:tcW w:type="dxa" w:w="2232"/>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性能、容量、浏览器与H5兼容报告</w:t>
            </w:r>
          </w:p>
        </w:tc>
        <w:tc>
          <w:tcPr>
            <w:tcW w:type="dxa" w:w="1656"/>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4.13</w:t>
            </w:r>
          </w:p>
        </w:tc>
        <w:tc>
          <w:tcPr>
            <w:tcW w:type="dxa" w:w="122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W16第3—4个工作日，≤1周</w:t>
            </w:r>
          </w:p>
        </w:tc>
        <w:tc>
          <w:tcPr>
            <w:tcW w:type="dxa" w:w="252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需求书规定的全部性能指标逐项实测并记录结果</w:t>
            </w:r>
          </w:p>
        </w:tc>
      </w:tr>
      <w:tr>
        <w:tc>
          <w:tcPr>
            <w:tcW w:type="dxa" w:w="79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5.4</w:t>
            </w:r>
          </w:p>
        </w:tc>
        <w:tc>
          <w:tcPr>
            <w:tcW w:type="dxa" w:w="180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安全与可移植验证包</w:t>
            </w:r>
          </w:p>
        </w:tc>
        <w:tc>
          <w:tcPr>
            <w:tcW w:type="dxa" w:w="64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B</w:t>
            </w:r>
          </w:p>
        </w:tc>
        <w:tc>
          <w:tcPr>
            <w:tcW w:type="dxa" w:w="2088"/>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安全设计、离线制品、干净环境</w:t>
            </w:r>
          </w:p>
        </w:tc>
        <w:tc>
          <w:tcPr>
            <w:tcW w:type="dxa" w:w="2232"/>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SCA、扫描、渗透复测、独立部署记录</w:t>
            </w:r>
          </w:p>
        </w:tc>
        <w:tc>
          <w:tcPr>
            <w:tcW w:type="dxa" w:w="165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4.13</w:t>
            </w:r>
          </w:p>
        </w:tc>
        <w:tc>
          <w:tcPr>
            <w:tcW w:type="dxa" w:w="122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W16第5个工作日，≤1周</w:t>
            </w:r>
          </w:p>
        </w:tc>
        <w:tc>
          <w:tcPr>
            <w:tcW w:type="dxa" w:w="252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高危漏洞为0；非乙方人员按手册一次完成独立部署</w:t>
            </w:r>
          </w:p>
        </w:tc>
      </w:tr>
      <w:tr>
        <w:tc>
          <w:tcPr>
            <w:tcW w:type="dxa" w:w="792"/>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5.5</w:t>
            </w:r>
          </w:p>
        </w:tc>
        <w:tc>
          <w:tcPr>
            <w:tcW w:type="dxa" w:w="180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M3 初验包</w:t>
            </w:r>
          </w:p>
        </w:tc>
        <w:tc>
          <w:tcPr>
            <w:tcW w:type="dxa" w:w="648"/>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A</w:t>
            </w:r>
          </w:p>
        </w:tc>
        <w:tc>
          <w:tcPr>
            <w:tcW w:type="dxa" w:w="2088"/>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5.1—5.4、缺陷状态、交付清单</w:t>
            </w:r>
          </w:p>
        </w:tc>
        <w:tc>
          <w:tcPr>
            <w:tcW w:type="dxa" w:w="2232"/>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阶段测试报告、初验申请、初验记录</w:t>
            </w:r>
          </w:p>
        </w:tc>
        <w:tc>
          <w:tcPr>
            <w:tcW w:type="dxa" w:w="1656"/>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5.1—5.4</w:t>
            </w:r>
          </w:p>
        </w:tc>
        <w:tc>
          <w:tcPr>
            <w:tcW w:type="dxa" w:w="122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W16第5个工作日，≤1周</w:t>
            </w:r>
          </w:p>
        </w:tc>
        <w:tc>
          <w:tcPr>
            <w:tcW w:type="dxa" w:w="252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可运行系统部署于甲方环境；阶段测试完成；初步验收结论形成</w:t>
            </w:r>
          </w:p>
        </w:tc>
      </w:tr>
      <w:tr>
        <w:tc>
          <w:tcPr>
            <w:tcW w:type="dxa" w:w="79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6.1</w:t>
            </w:r>
          </w:p>
        </w:tc>
        <w:tc>
          <w:tcPr>
            <w:tcW w:type="dxa" w:w="180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试运行启动与培训包</w:t>
            </w:r>
          </w:p>
        </w:tc>
        <w:tc>
          <w:tcPr>
            <w:tcW w:type="dxa" w:w="64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A</w:t>
            </w:r>
          </w:p>
        </w:tc>
        <w:tc>
          <w:tcPr>
            <w:tcW w:type="dxa" w:w="2088"/>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M3初验包、培训材料、运行方案</w:t>
            </w:r>
          </w:p>
        </w:tc>
        <w:tc>
          <w:tcPr>
            <w:tcW w:type="dxa" w:w="2232"/>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培训课件/录屏/签到/考核、试运行启动记录</w:t>
            </w:r>
          </w:p>
        </w:tc>
        <w:tc>
          <w:tcPr>
            <w:tcW w:type="dxa" w:w="165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5.5</w:t>
            </w:r>
          </w:p>
        </w:tc>
        <w:tc>
          <w:tcPr>
            <w:tcW w:type="dxa" w:w="122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W17，≤1周</w:t>
            </w:r>
          </w:p>
        </w:tc>
        <w:tc>
          <w:tcPr>
            <w:tcW w:type="dxa" w:w="252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指挥人员培训1天；值班/安保、处置、物资管理各半天；系统管理员培训1天；桌面推演式实操完成，试运行监测启用</w:t>
            </w:r>
          </w:p>
        </w:tc>
      </w:tr>
      <w:tr>
        <w:tc>
          <w:tcPr>
            <w:tcW w:type="dxa" w:w="792"/>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6.2</w:t>
            </w:r>
          </w:p>
        </w:tc>
        <w:tc>
          <w:tcPr>
            <w:tcW w:type="dxa" w:w="180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试运行第一周证据包</w:t>
            </w:r>
          </w:p>
        </w:tc>
        <w:tc>
          <w:tcPr>
            <w:tcW w:type="dxa" w:w="648"/>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A</w:t>
            </w:r>
          </w:p>
        </w:tc>
        <w:tc>
          <w:tcPr>
            <w:tcW w:type="dxa" w:w="2088"/>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运行监测、服务工单、缺陷清单</w:t>
            </w:r>
          </w:p>
        </w:tc>
        <w:tc>
          <w:tcPr>
            <w:tcW w:type="dxa" w:w="2232"/>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W17运行日志、工单和修复记录</w:t>
            </w:r>
          </w:p>
        </w:tc>
        <w:tc>
          <w:tcPr>
            <w:tcW w:type="dxa" w:w="1656"/>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6.1</w:t>
            </w:r>
          </w:p>
        </w:tc>
        <w:tc>
          <w:tcPr>
            <w:tcW w:type="dxa" w:w="122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W17，≤1周</w:t>
            </w:r>
          </w:p>
        </w:tc>
        <w:tc>
          <w:tcPr>
            <w:tcW w:type="dxa" w:w="252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运行事件、可用性和缺陷均有日级记录</w:t>
            </w:r>
          </w:p>
        </w:tc>
      </w:tr>
      <w:tr>
        <w:tc>
          <w:tcPr>
            <w:tcW w:type="dxa" w:w="79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6.3</w:t>
            </w:r>
          </w:p>
        </w:tc>
        <w:tc>
          <w:tcPr>
            <w:tcW w:type="dxa" w:w="180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试运行第二周证据包</w:t>
            </w:r>
          </w:p>
        </w:tc>
        <w:tc>
          <w:tcPr>
            <w:tcW w:type="dxa" w:w="64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A</w:t>
            </w:r>
          </w:p>
        </w:tc>
        <w:tc>
          <w:tcPr>
            <w:tcW w:type="dxa" w:w="2088"/>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上周记录、修复版本</w:t>
            </w:r>
          </w:p>
        </w:tc>
        <w:tc>
          <w:tcPr>
            <w:tcW w:type="dxa" w:w="2232"/>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W18运行日志、回归结果</w:t>
            </w:r>
          </w:p>
        </w:tc>
        <w:tc>
          <w:tcPr>
            <w:tcW w:type="dxa" w:w="165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6.2</w:t>
            </w:r>
          </w:p>
        </w:tc>
        <w:tc>
          <w:tcPr>
            <w:tcW w:type="dxa" w:w="122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W18，≤1周</w:t>
            </w:r>
          </w:p>
        </w:tc>
        <w:tc>
          <w:tcPr>
            <w:tcW w:type="dxa" w:w="252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已修复缺陷回归通过，剩余问题有责任人与时限</w:t>
            </w:r>
          </w:p>
        </w:tc>
      </w:tr>
      <w:tr>
        <w:tc>
          <w:tcPr>
            <w:tcW w:type="dxa" w:w="792"/>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6.4</w:t>
            </w:r>
          </w:p>
        </w:tc>
        <w:tc>
          <w:tcPr>
            <w:tcW w:type="dxa" w:w="180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真实应急演练支撑包</w:t>
            </w:r>
          </w:p>
        </w:tc>
        <w:tc>
          <w:tcPr>
            <w:tcW w:type="dxa" w:w="648"/>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B</w:t>
            </w:r>
          </w:p>
        </w:tc>
        <w:tc>
          <w:tcPr>
            <w:tcW w:type="dxa" w:w="2088"/>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甲方应急预案、试运行系统、演练方案</w:t>
            </w:r>
          </w:p>
        </w:tc>
        <w:tc>
          <w:tcPr>
            <w:tcW w:type="dxa" w:w="2232"/>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至少一次真实应急演练系统支撑记录</w:t>
            </w:r>
          </w:p>
        </w:tc>
        <w:tc>
          <w:tcPr>
            <w:tcW w:type="dxa" w:w="1656"/>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6.2、甲方演练条件</w:t>
            </w:r>
          </w:p>
        </w:tc>
        <w:tc>
          <w:tcPr>
            <w:tcW w:type="dxa" w:w="122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W18—W19择一周，≤1周</w:t>
            </w:r>
          </w:p>
        </w:tc>
        <w:tc>
          <w:tcPr>
            <w:tcW w:type="dxa" w:w="252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事件、指挥、任务、消息、联动与审计证据完整</w:t>
            </w:r>
          </w:p>
        </w:tc>
      </w:tr>
      <w:tr>
        <w:tc>
          <w:tcPr>
            <w:tcW w:type="dxa" w:w="79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6.5</w:t>
            </w:r>
          </w:p>
        </w:tc>
        <w:tc>
          <w:tcPr>
            <w:tcW w:type="dxa" w:w="180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试运行第三周与恢复证据包</w:t>
            </w:r>
          </w:p>
        </w:tc>
        <w:tc>
          <w:tcPr>
            <w:tcW w:type="dxa" w:w="64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B</w:t>
            </w:r>
          </w:p>
        </w:tc>
        <w:tc>
          <w:tcPr>
            <w:tcW w:type="dxa" w:w="2088"/>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试运行系统、备份、故障场景、运行监测</w:t>
            </w:r>
          </w:p>
        </w:tc>
        <w:tc>
          <w:tcPr>
            <w:tcW w:type="dxa" w:w="2232"/>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W19运行日志、工单/缺陷记录、故障演练、恢复计时和数据核验记录</w:t>
            </w:r>
          </w:p>
        </w:tc>
        <w:tc>
          <w:tcPr>
            <w:tcW w:type="dxa" w:w="165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6.3</w:t>
            </w:r>
          </w:p>
        </w:tc>
        <w:tc>
          <w:tcPr>
            <w:tcW w:type="dxa" w:w="122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W19，≤1周</w:t>
            </w:r>
          </w:p>
        </w:tc>
        <w:tc>
          <w:tcPr>
            <w:tcW w:type="dxa" w:w="252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W19运行事件、可用性和缺陷均有日级记录；单点故障恢复时间不超过2小时，恢复后数据一致</w:t>
            </w:r>
          </w:p>
        </w:tc>
      </w:tr>
      <w:tr>
        <w:tc>
          <w:tcPr>
            <w:tcW w:type="dxa" w:w="792"/>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6.6</w:t>
            </w:r>
          </w:p>
        </w:tc>
        <w:tc>
          <w:tcPr>
            <w:tcW w:type="dxa" w:w="180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试运行第四周与M4准出包</w:t>
            </w:r>
          </w:p>
        </w:tc>
        <w:tc>
          <w:tcPr>
            <w:tcW w:type="dxa" w:w="648"/>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A</w:t>
            </w:r>
          </w:p>
        </w:tc>
        <w:tc>
          <w:tcPr>
            <w:tcW w:type="dxa" w:w="2088"/>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W17—W19运行记录、缺陷与演练证据、运行监测</w:t>
            </w:r>
          </w:p>
        </w:tc>
        <w:tc>
          <w:tcPr>
            <w:tcW w:type="dxa" w:w="2232"/>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W20运行日志、四周运行记录汇编、试运行报告、用户手册与部署运维手册定稿</w:t>
            </w:r>
          </w:p>
        </w:tc>
        <w:tc>
          <w:tcPr>
            <w:tcW w:type="dxa" w:w="1656"/>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6.2、6.3、6.5</w:t>
            </w:r>
          </w:p>
        </w:tc>
        <w:tc>
          <w:tcPr>
            <w:tcW w:type="dxa" w:w="122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W20第1—4个工作日，≤1周</w:t>
            </w:r>
          </w:p>
        </w:tc>
        <w:tc>
          <w:tcPr>
            <w:tcW w:type="dxa" w:w="252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W20运行事件、可用性和缺陷均有日级记录；四周记录可逐周回指；试运行满1个月、可用率不低于99.5%，M4交付物齐全</w:t>
            </w:r>
          </w:p>
        </w:tc>
      </w:tr>
      <w:tr>
        <w:tc>
          <w:tcPr>
            <w:tcW w:type="dxa" w:w="79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6.7</w:t>
            </w:r>
          </w:p>
        </w:tc>
        <w:tc>
          <w:tcPr>
            <w:tcW w:type="dxa" w:w="180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竣工验收交付包</w:t>
            </w:r>
          </w:p>
        </w:tc>
        <w:tc>
          <w:tcPr>
            <w:tcW w:type="dxa" w:w="64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A</w:t>
            </w:r>
          </w:p>
        </w:tc>
        <w:tc>
          <w:tcPr>
            <w:tcW w:type="dxa" w:w="2088"/>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6.6、全套软件/文档/数据/其他交付物</w:t>
            </w:r>
          </w:p>
        </w:tc>
        <w:tc>
          <w:tcPr>
            <w:tcW w:type="dxa" w:w="2232"/>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验收申请、全套交付物、竣工验收报告</w:t>
            </w:r>
          </w:p>
        </w:tc>
        <w:tc>
          <w:tcPr>
            <w:tcW w:type="dxa" w:w="165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6.6</w:t>
            </w:r>
          </w:p>
        </w:tc>
        <w:tc>
          <w:tcPr>
            <w:tcW w:type="dxa" w:w="122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W20第5个工作日，≤1周</w:t>
            </w:r>
          </w:p>
        </w:tc>
        <w:tc>
          <w:tcPr>
            <w:tcW w:type="dxa" w:w="252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软件（源码/构建、镜像、初始化脚本、H5包）、文档（计划/SRS/设计/测试/用户/部署运维/培训/开源许可证说明/RTM/试运行/项目总结报告）、数据初始化成果、演练/培训记录及质保承诺函齐全；功能用例通过率100%，四系统联动、安全复测和独立部署通过；签署竣工验收报告</w:t>
            </w:r>
          </w:p>
        </w:tc>
      </w:tr>
      <w:tr>
        <w:tc>
          <w:tcPr>
            <w:tcW w:type="dxa" w:w="792"/>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6.8</w:t>
            </w:r>
          </w:p>
        </w:tc>
        <w:tc>
          <w:tcPr>
            <w:tcW w:type="dxa" w:w="180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质保与SLA服务启动包</w:t>
            </w:r>
          </w:p>
        </w:tc>
        <w:tc>
          <w:tcPr>
            <w:tcW w:type="dxa" w:w="648"/>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A</w:t>
            </w:r>
          </w:p>
        </w:tc>
        <w:tc>
          <w:tcPr>
            <w:tcW w:type="dxa" w:w="2088"/>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6.7、服务条款、支持渠道信息</w:t>
            </w:r>
          </w:p>
        </w:tc>
        <w:tc>
          <w:tcPr>
            <w:tcW w:type="dxa" w:w="2232"/>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12个月质保服务计划、三级SLA台账、7×24应急申告与7×12远程支持渠道记录</w:t>
            </w:r>
          </w:p>
        </w:tc>
        <w:tc>
          <w:tcPr>
            <w:tcW w:type="dxa" w:w="1656"/>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M5竣工验收</w:t>
            </w:r>
          </w:p>
        </w:tc>
        <w:tc>
          <w:tcPr>
            <w:tcW w:type="dxa" w:w="122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5"/>
              </w:rPr>
              <w:t>M5所在周，≤1周</w:t>
            </w:r>
          </w:p>
        </w:tc>
        <w:tc>
          <w:tcPr>
            <w:tcW w:type="dxa" w:w="252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5"/>
              </w:rPr>
              <w:t>一级故障30分钟响应、4小时恢复/临时方案；二级30分钟响应、2小时解决、最迟1工作日；三级8小时响应、2小时意见、5工作日解决；渠道与责任人可追溯</w:t>
            </w:r>
          </w:p>
        </w:tc>
      </w:tr>
      <w:tr>
        <w:tc>
          <w:tcPr>
            <w:tcW w:type="dxa" w:w="79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6.9</w:t>
            </w:r>
          </w:p>
        </w:tc>
        <w:tc>
          <w:tcPr>
            <w:tcW w:type="dxa" w:w="180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服务期满报告包</w:t>
            </w:r>
          </w:p>
        </w:tc>
        <w:tc>
          <w:tcPr>
            <w:tcW w:type="dxa" w:w="64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A</w:t>
            </w:r>
          </w:p>
        </w:tc>
        <w:tc>
          <w:tcPr>
            <w:tcW w:type="dxa" w:w="2088"/>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12个月服务台账、故障与支持记录</w:t>
            </w:r>
          </w:p>
        </w:tc>
        <w:tc>
          <w:tcPr>
            <w:tcW w:type="dxa" w:w="2232"/>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服务期满报告</w:t>
            </w:r>
          </w:p>
        </w:tc>
        <w:tc>
          <w:tcPr>
            <w:tcW w:type="dxa" w:w="165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6.8、服务期满</w:t>
            </w:r>
          </w:p>
        </w:tc>
        <w:tc>
          <w:tcPr>
            <w:tcW w:type="dxa" w:w="122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5"/>
              </w:rPr>
              <w:t>服务期满所在周，≤1周</w:t>
            </w:r>
          </w:p>
        </w:tc>
        <w:tc>
          <w:tcPr>
            <w:tcW w:type="dxa" w:w="252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5"/>
              </w:rPr>
              <w:t>12个月服务记录、SLA执行情况和遗留事项形成可核验报告</w:t>
            </w:r>
          </w:p>
        </w:tc>
      </w:tr>
    </w:tbl>
    <w:p>
      <w:pPr>
        <w:spacing w:after="40"/>
      </w:pPr>
    </w:p>
    <w:p>
      <w:r>
        <w:br w:type="page"/>
      </w:r>
    </w:p>
    <w:p>
      <w:pPr>
        <w:pStyle w:val="1"/>
        <w:keepNext/>
        <w:spacing w:before="240" w:after="160"/>
      </w:pPr>
      <w:r>
        <w:rPr>
          <w:rFonts w:ascii="黑体" w:hAnsi="黑体" w:eastAsia="黑体"/>
          <w:b/>
          <w:color w:val="000000"/>
          <w:sz w:val="30"/>
        </w:rPr>
        <w:t>3 总体进度甘特图与里程碑</w:t>
      </w:r>
    </w:p>
    <w:p>
      <w:pPr>
        <w:pStyle w:val="2"/>
        <w:keepNext/>
        <w:spacing w:before="160" w:after="100"/>
      </w:pPr>
      <w:r>
        <w:rPr>
          <w:rFonts w:ascii="黑体" w:hAnsi="黑体" w:eastAsia="黑体"/>
          <w:b/>
          <w:color w:val="000000"/>
          <w:sz w:val="26"/>
        </w:rPr>
        <w:t>3.1 阶段安排</w:t>
      </w:r>
    </w:p>
    <w:tbl>
      <w:tblPr>
        <w:tblW w:type="dxa" w:w="1094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type="dxa" w:w="80"/>
      </w:tblPr>
      <w:tblGrid>
        <w:gridCol w:w="1944"/>
        <w:gridCol w:w="1440"/>
        <w:gridCol w:w="5472"/>
        <w:gridCol w:w="2088"/>
      </w:tblGrid>
      <w:tr>
        <w:trPr>
          <w:tblHeader w:val="true"/>
        </w:trPr>
        <w:tc>
          <w:tcPr>
            <w:tcW w:type="dxa" w:w="1944"/>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8"/>
              </w:rPr>
              <w:t>阶段</w:t>
            </w:r>
          </w:p>
        </w:tc>
        <w:tc>
          <w:tcPr>
            <w:tcW w:type="dxa" w:w="1440"/>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8"/>
              </w:rPr>
              <w:t>周期</w:t>
            </w:r>
          </w:p>
        </w:tc>
        <w:tc>
          <w:tcPr>
            <w:tcW w:type="dxa" w:w="5472"/>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8"/>
              </w:rPr>
              <w:t>主要成果</w:t>
            </w:r>
          </w:p>
        </w:tc>
        <w:tc>
          <w:tcPr>
            <w:tcW w:type="dxa" w:w="2088"/>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8"/>
              </w:rPr>
              <w:t>阶段出口</w:t>
            </w:r>
          </w:p>
        </w:tc>
      </w:tr>
      <w:tr>
        <w:tc>
          <w:tcPr>
            <w:tcW w:type="dxa" w:w="194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8"/>
              </w:rPr>
              <w:t>需求确认</w:t>
            </w:r>
          </w:p>
        </w:tc>
        <w:tc>
          <w:tcPr>
            <w:tcW w:type="dxa" w:w="1440"/>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8"/>
              </w:rPr>
              <w:t>W1—W2</w:t>
            </w:r>
          </w:p>
        </w:tc>
        <w:tc>
          <w:tcPr>
            <w:tcW w:type="dxa" w:w="5472"/>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8"/>
              </w:rPr>
              <w:t>SRS、RTM初版、需求确认书</w:t>
            </w:r>
          </w:p>
        </w:tc>
        <w:tc>
          <w:tcPr>
            <w:tcW w:type="dxa" w:w="208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8"/>
              </w:rPr>
              <w:t>M1</w:t>
            </w:r>
          </w:p>
        </w:tc>
      </w:tr>
      <w:tr>
        <w:tc>
          <w:tcPr>
            <w:tcW w:type="dxa" w:w="194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8"/>
              </w:rPr>
              <w:t>设计评审</w:t>
            </w:r>
          </w:p>
        </w:tc>
        <w:tc>
          <w:tcPr>
            <w:tcW w:type="dxa" w:w="1440"/>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8"/>
              </w:rPr>
              <w:t>W3—W6</w:t>
            </w:r>
          </w:p>
        </w:tc>
        <w:tc>
          <w:tcPr>
            <w:tcW w:type="dxa" w:w="5472"/>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8"/>
              </w:rPr>
              <w:t>概要、详细、数据库、接口设计和测试计划；视频/消息连通记录</w:t>
            </w:r>
          </w:p>
        </w:tc>
        <w:tc>
          <w:tcPr>
            <w:tcW w:type="dxa" w:w="2088"/>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8"/>
              </w:rPr>
              <w:t>M2</w:t>
            </w:r>
          </w:p>
        </w:tc>
      </w:tr>
      <w:tr>
        <w:tc>
          <w:tcPr>
            <w:tcW w:type="dxa" w:w="194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8"/>
              </w:rPr>
              <w:t>开发与集成</w:t>
            </w:r>
          </w:p>
        </w:tc>
        <w:tc>
          <w:tcPr>
            <w:tcW w:type="dxa" w:w="1440"/>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8"/>
              </w:rPr>
              <w:t>W7—W15</w:t>
            </w:r>
          </w:p>
        </w:tc>
        <w:tc>
          <w:tcPr>
            <w:tcW w:type="dxa" w:w="5472"/>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8"/>
              </w:rPr>
              <w:t>Web、H5、数据接口、集成增量、W14数据初始化候选和离线制品</w:t>
            </w:r>
          </w:p>
        </w:tc>
        <w:tc>
          <w:tcPr>
            <w:tcW w:type="dxa" w:w="208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8"/>
              </w:rPr>
              <w:t>进入系统测试</w:t>
            </w:r>
          </w:p>
        </w:tc>
      </w:tr>
      <w:tr>
        <w:tc>
          <w:tcPr>
            <w:tcW w:type="dxa" w:w="194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8"/>
              </w:rPr>
              <w:t>测试与初验</w:t>
            </w:r>
          </w:p>
        </w:tc>
        <w:tc>
          <w:tcPr>
            <w:tcW w:type="dxa" w:w="1440"/>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8"/>
              </w:rPr>
              <w:t>W15—W16</w:t>
            </w:r>
          </w:p>
        </w:tc>
        <w:tc>
          <w:tcPr>
            <w:tcW w:type="dxa" w:w="5472"/>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8"/>
              </w:rPr>
              <w:t>单元、集成、系统、性能、兼容、安全和可移植验证证据</w:t>
            </w:r>
          </w:p>
        </w:tc>
        <w:tc>
          <w:tcPr>
            <w:tcW w:type="dxa" w:w="2088"/>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8"/>
              </w:rPr>
              <w:t>M3</w:t>
            </w:r>
          </w:p>
        </w:tc>
      </w:tr>
      <w:tr>
        <w:tc>
          <w:tcPr>
            <w:tcW w:type="dxa" w:w="194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8"/>
              </w:rPr>
              <w:t>试运行与验收</w:t>
            </w:r>
          </w:p>
        </w:tc>
        <w:tc>
          <w:tcPr>
            <w:tcW w:type="dxa" w:w="1440"/>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8"/>
              </w:rPr>
              <w:t>W17—W20</w:t>
            </w:r>
          </w:p>
        </w:tc>
        <w:tc>
          <w:tcPr>
            <w:tcW w:type="dxa" w:w="5472"/>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8"/>
              </w:rPr>
              <w:t>培训、W17—W20逐周运行记录、真实演练、恢复演练、定稿文档和验收包</w:t>
            </w:r>
          </w:p>
        </w:tc>
        <w:tc>
          <w:tcPr>
            <w:tcW w:type="dxa" w:w="2088"/>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8"/>
              </w:rPr>
              <w:t>M4后M5</w:t>
            </w:r>
          </w:p>
        </w:tc>
      </w:tr>
    </w:tbl>
    <w:p>
      <w:pPr>
        <w:spacing w:after="40"/>
      </w:pPr>
    </w:p>
    <w:p>
      <w:pPr>
        <w:spacing w:before="60" w:after="40"/>
        <w:jc w:val="center"/>
      </w:pPr>
      <w:r>
        <w:drawing>
          <wp:inline xmlns:a="http://schemas.openxmlformats.org/drawingml/2006/main" xmlns:pic="http://schemas.openxmlformats.org/drawingml/2006/picture">
            <wp:extent cx="8549640" cy="4809172"/>
            <wp:docPr id="2" name="图2 项目阶段与正式里程碑时间轴" title="图2 项目阶段与正式里程碑时间轴" descr="图2 项目阶段与正式里程碑时间轴"/>
            <wp:cNvGraphicFramePr>
              <a:graphicFrameLocks noChangeAspect="1"/>
            </wp:cNvGraphicFramePr>
            <a:graphic>
              <a:graphicData uri="http://schemas.openxmlformats.org/drawingml/2006/picture">
                <pic:pic>
                  <pic:nvPicPr>
                    <pic:cNvPr id="0" name="figure-2.png"/>
                    <pic:cNvPicPr/>
                  </pic:nvPicPr>
                  <pic:blipFill>
                    <a:blip r:embed="rId13"/>
                    <a:stretch>
                      <a:fillRect/>
                    </a:stretch>
                  </pic:blipFill>
                  <pic:spPr>
                    <a:xfrm>
                      <a:off x="0" y="0"/>
                      <a:ext cx="8549640" cy="4809172"/>
                    </a:xfrm>
                    <a:prstGeom prst="rect"/>
                  </pic:spPr>
                </pic:pic>
              </a:graphicData>
            </a:graphic>
          </wp:inline>
        </w:drawing>
      </w:r>
    </w:p>
    <w:p>
      <w:pPr>
        <w:spacing w:before="0" w:after="120" w:line="240" w:lineRule="auto"/>
        <w:jc w:val="center"/>
      </w:pPr>
      <w:r>
        <w:rPr>
          <w:rFonts w:ascii="宋体" w:hAnsi="宋体" w:eastAsia="宋体"/>
          <w:b/>
          <w:color w:val="000000"/>
          <w:sz w:val="18"/>
        </w:rPr>
        <w:t>图 3-1　项目阶段与正式里程碑时间轴</w:t>
      </w:r>
    </w:p>
    <w:p>
      <w:pPr>
        <w:pStyle w:val="2"/>
        <w:keepNext/>
        <w:spacing w:before="160" w:after="100"/>
      </w:pPr>
      <w:r>
        <w:rPr>
          <w:rFonts w:ascii="黑体" w:hAnsi="黑体" w:eastAsia="黑体"/>
          <w:b/>
          <w:color w:val="000000"/>
          <w:sz w:val="26"/>
        </w:rPr>
        <w:t>3.2 任务依赖与关键路径</w:t>
      </w:r>
    </w:p>
    <w:p>
      <w:pPr>
        <w:spacing w:before="0" w:after="100" w:line="360" w:lineRule="auto"/>
      </w:pPr>
      <w:r>
        <w:rPr>
          <w:rFonts w:ascii="宋体" w:hAnsi="宋体" w:eastAsia="宋体"/>
          <w:b w:val="0"/>
          <w:color w:val="000000"/>
          <w:sz w:val="24"/>
        </w:rPr>
        <w:t>需求确认是设计工作的输入，设计评审是开发与集成的准入门槛。甲方提供的视频、消息、宿主 APP、部署环境和真实业务数据直接影响对应工作包；其中视频与统一消息通道必须在 M2 前完成真实连通性验证。</w:t>
      </w:r>
    </w:p>
    <w:p>
      <w:pPr>
        <w:spacing w:before="0" w:after="100" w:line="360" w:lineRule="auto"/>
      </w:pPr>
      <w:r>
        <w:rPr>
          <w:rFonts w:ascii="宋体" w:hAnsi="宋体" w:eastAsia="宋体"/>
          <w:b w:val="0"/>
          <w:color w:val="000000"/>
          <w:sz w:val="24"/>
        </w:rPr>
        <w:t>计划关键路径为：需求条款与 SRS → M1需求确认 → 总体及详细设计 → 视频/消息连通验证 → M2设计评审 → 公共基础与核心业务增量 → 指挥与H5集成 → 外部系统联动 → W14数据初始化候选与W15性能加固 → W15后段单元/集成测试 → W16前段初验部署 → W16性能兼容、安全可移植与功能追踪验证 → M3初验 → W17—W20逐周试运行与真实演练 → W20前段M4试运行准出 → W20后段M5竣工验收。</w:t>
      </w:r>
    </w:p>
    <w:p>
      <w:pPr>
        <w:spacing w:before="0" w:after="100" w:line="360" w:lineRule="auto"/>
      </w:pPr>
      <w:r>
        <w:rPr>
          <w:rFonts w:ascii="宋体" w:hAnsi="宋体" w:eastAsia="宋体"/>
          <w:b w:val="0"/>
          <w:color w:val="000000"/>
          <w:sz w:val="24"/>
        </w:rPr>
        <w:t>数据初始化技术实施由 B 在 W14第5个工作日完成，C 仅提供规则、对账口径与符合性输入；W15—W16 的 B 主责工作按 WBS 所列工作日顺序执行，不以同周并列掩盖前置依赖。文档编制和测试设计与开发并行推进，但均受阶段评审门禁控制。任一关键路径工作包未满足完成判据，A 不得将后续里程碑写成已达成。</w:t>
      </w:r>
    </w:p>
    <w:p>
      <w:pPr>
        <w:pStyle w:val="2"/>
        <w:keepNext/>
        <w:spacing w:before="160" w:after="100"/>
      </w:pPr>
      <w:r>
        <w:rPr>
          <w:rFonts w:ascii="黑体" w:hAnsi="黑体" w:eastAsia="黑体"/>
          <w:b/>
          <w:color w:val="000000"/>
          <w:sz w:val="26"/>
        </w:rPr>
        <w:t>3.3 甘特图</w:t>
      </w:r>
    </w:p>
    <w:p>
      <w:pPr>
        <w:spacing w:before="0" w:after="100" w:line="360" w:lineRule="auto"/>
      </w:pPr>
      <w:r>
        <w:rPr>
          <w:rFonts w:ascii="宋体" w:hAnsi="宋体" w:eastAsia="宋体"/>
          <w:b w:val="0"/>
          <w:color w:val="000000"/>
          <w:sz w:val="24"/>
        </w:rPr>
        <w:t>总体进度甘特图见图 3-2。图中实心色条表示计划执行周，菱形表示正式里程碑；周次均为合同签订后的相对周次。</w:t>
      </w:r>
    </w:p>
    <w:p>
      <w:pPr>
        <w:spacing w:before="60" w:after="40"/>
        <w:jc w:val="center"/>
      </w:pPr>
      <w:r>
        <w:drawing>
          <wp:inline xmlns:a="http://schemas.openxmlformats.org/drawingml/2006/main" xmlns:pic="http://schemas.openxmlformats.org/drawingml/2006/picture">
            <wp:extent cx="8549640" cy="4809172"/>
            <wp:docPr id="3" name="图3 项目总体进度甘特图" title="图3 项目总体进度甘特图" descr="图3 项目总体进度甘特图"/>
            <wp:cNvGraphicFramePr>
              <a:graphicFrameLocks noChangeAspect="1"/>
            </wp:cNvGraphicFramePr>
            <a:graphic>
              <a:graphicData uri="http://schemas.openxmlformats.org/drawingml/2006/picture">
                <pic:pic>
                  <pic:nvPicPr>
                    <pic:cNvPr id="0" name="figure-3.png"/>
                    <pic:cNvPicPr/>
                  </pic:nvPicPr>
                  <pic:blipFill>
                    <a:blip r:embed="rId14"/>
                    <a:stretch>
                      <a:fillRect/>
                    </a:stretch>
                  </pic:blipFill>
                  <pic:spPr>
                    <a:xfrm>
                      <a:off x="0" y="0"/>
                      <a:ext cx="8549640" cy="4809172"/>
                    </a:xfrm>
                    <a:prstGeom prst="rect"/>
                  </pic:spPr>
                </pic:pic>
              </a:graphicData>
            </a:graphic>
          </wp:inline>
        </w:drawing>
      </w:r>
    </w:p>
    <w:p>
      <w:pPr>
        <w:spacing w:before="0" w:after="120" w:line="240" w:lineRule="auto"/>
        <w:jc w:val="center"/>
      </w:pPr>
      <w:r>
        <w:rPr>
          <w:rFonts w:ascii="宋体" w:hAnsi="宋体" w:eastAsia="宋体"/>
          <w:b/>
          <w:color w:val="000000"/>
          <w:sz w:val="18"/>
        </w:rPr>
        <w:t>图 3-2　项目总体进度甘特图</w:t>
      </w:r>
    </w:p>
    <w:p>
      <w:pPr>
        <w:pStyle w:val="2"/>
        <w:keepNext/>
        <w:spacing w:before="160" w:after="100"/>
      </w:pPr>
      <w:r>
        <w:rPr>
          <w:rFonts w:ascii="黑体" w:hAnsi="黑体" w:eastAsia="黑体"/>
          <w:b/>
          <w:color w:val="000000"/>
          <w:sz w:val="26"/>
        </w:rPr>
        <w:t>3.4 正式里程碑与准出条件</w:t>
      </w:r>
    </w:p>
    <w:p>
      <w:pPr>
        <w:spacing w:before="0" w:after="120" w:line="240" w:lineRule="auto"/>
        <w:jc w:val="center"/>
      </w:pPr>
      <w:r>
        <w:rPr>
          <w:rFonts w:ascii="宋体" w:hAnsi="宋体" w:eastAsia="宋体"/>
          <w:b/>
          <w:color w:val="000000"/>
          <w:sz w:val="18"/>
        </w:rPr>
        <w:t>表 3-2　正式里程碑计划与准出条件</w:t>
      </w:r>
    </w:p>
    <w:tbl>
      <w:tblPr>
        <w:tblW w:type="dxa" w:w="1310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type="dxa" w:w="80"/>
      </w:tblPr>
      <w:tblGrid>
        <w:gridCol w:w="2376"/>
        <w:gridCol w:w="2232"/>
        <w:gridCol w:w="8496"/>
      </w:tblGrid>
      <w:tr>
        <w:trPr>
          <w:tblHeader w:val="true"/>
        </w:trPr>
        <w:tc>
          <w:tcPr>
            <w:tcW w:type="dxa" w:w="2376"/>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8"/>
              </w:rPr>
              <w:t>里程碑</w:t>
            </w:r>
          </w:p>
        </w:tc>
        <w:tc>
          <w:tcPr>
            <w:tcW w:type="dxa" w:w="2232"/>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8"/>
              </w:rPr>
              <w:t>正式时间节点</w:t>
            </w:r>
          </w:p>
        </w:tc>
        <w:tc>
          <w:tcPr>
            <w:tcW w:type="dxa" w:w="8496"/>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8"/>
              </w:rPr>
              <w:t>主要交付物与准出条件</w:t>
            </w:r>
          </w:p>
        </w:tc>
      </w:tr>
      <w:tr>
        <w:tc>
          <w:tcPr>
            <w:tcW w:type="dxa" w:w="2376"/>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8"/>
              </w:rPr>
              <w:t>M1 需求确认</w:t>
            </w:r>
          </w:p>
        </w:tc>
        <w:tc>
          <w:tcPr>
            <w:tcW w:type="dxa" w:w="223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8"/>
              </w:rPr>
              <w:t>合同签订后 2 周</w:t>
            </w:r>
          </w:p>
        </w:tc>
        <w:tc>
          <w:tcPr>
            <w:tcW w:type="dxa" w:w="849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8"/>
              </w:rPr>
              <w:t>《软件需求规格说明书》（GB/T 9385），需求评审通过并签署需求确认书。</w:t>
            </w:r>
          </w:p>
        </w:tc>
      </w:tr>
      <w:tr>
        <w:tc>
          <w:tcPr>
            <w:tcW w:type="dxa" w:w="2376"/>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8"/>
              </w:rPr>
              <w:t>M2 设计评审</w:t>
            </w:r>
          </w:p>
        </w:tc>
        <w:tc>
          <w:tcPr>
            <w:tcW w:type="dxa" w:w="2232"/>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8"/>
              </w:rPr>
              <w:t>合同签订后 6 周</w:t>
            </w:r>
          </w:p>
        </w:tc>
        <w:tc>
          <w:tcPr>
            <w:tcW w:type="dxa" w:w="8496"/>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8"/>
              </w:rPr>
              <w:t>《概要设计说明书》《详细设计说明书》《数据库设计说明书》《接口设计说明书》《测试计划》。</w:t>
            </w:r>
          </w:p>
        </w:tc>
      </w:tr>
      <w:tr>
        <w:tc>
          <w:tcPr>
            <w:tcW w:type="dxa" w:w="2376"/>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8"/>
              </w:rPr>
              <w:t>M3 初验（功能具备）</w:t>
            </w:r>
          </w:p>
        </w:tc>
        <w:tc>
          <w:tcPr>
            <w:tcW w:type="dxa" w:w="223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8"/>
              </w:rPr>
              <w:t>合同签订后 16 周</w:t>
            </w:r>
          </w:p>
        </w:tc>
        <w:tc>
          <w:tcPr>
            <w:tcW w:type="dxa" w:w="849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8"/>
              </w:rPr>
              <w:t>可运行系统（部署于甲方环境，含 Web 端与移动端）、阶段测试报告、初步验收。</w:t>
            </w:r>
          </w:p>
        </w:tc>
      </w:tr>
      <w:tr>
        <w:tc>
          <w:tcPr>
            <w:tcW w:type="dxa" w:w="2376"/>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8"/>
              </w:rPr>
              <w:t>M4 试运行</w:t>
            </w:r>
          </w:p>
        </w:tc>
        <w:tc>
          <w:tcPr>
            <w:tcW w:type="dxa" w:w="2232"/>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8"/>
              </w:rPr>
              <w:t>初验后 4 周</w:t>
            </w:r>
          </w:p>
        </w:tc>
        <w:tc>
          <w:tcPr>
            <w:tcW w:type="dxa" w:w="8496"/>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8"/>
              </w:rPr>
              <w:t>W17—W20逐周运行记录及缺陷修复记录、用户手册与部署运维手册定稿；试运行期间完成至少 1 次真实应急演练的系统支撑验证。</w:t>
            </w:r>
          </w:p>
        </w:tc>
      </w:tr>
      <w:tr>
        <w:tc>
          <w:tcPr>
            <w:tcW w:type="dxa" w:w="2376"/>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8"/>
              </w:rPr>
              <w:t>M5 竣工验收</w:t>
            </w:r>
          </w:p>
        </w:tc>
        <w:tc>
          <w:tcPr>
            <w:tcW w:type="dxa" w:w="223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8"/>
              </w:rPr>
              <w:t>试运行满 1 个月</w:t>
            </w:r>
          </w:p>
        </w:tc>
        <w:tc>
          <w:tcPr>
            <w:tcW w:type="dxa" w:w="849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8"/>
              </w:rPr>
              <w:t>M4准出后组织；全套交付物（含软件、文档、数据、演练/培训记录和质保承诺函）、验收测试通过、签署竣工验收报告。</w:t>
            </w:r>
          </w:p>
        </w:tc>
      </w:tr>
    </w:tbl>
    <w:p>
      <w:pPr>
        <w:spacing w:after="40"/>
      </w:pPr>
    </w:p>
    <w:p>
      <w:pPr>
        <w:spacing w:before="0" w:after="100" w:line="360" w:lineRule="auto"/>
      </w:pPr>
      <w:r>
        <w:rPr>
          <w:rFonts w:ascii="宋体" w:hAnsi="宋体" w:eastAsia="宋体"/>
          <w:b w:val="0"/>
          <w:color w:val="000000"/>
          <w:sz w:val="24"/>
        </w:rPr>
        <w:t>依据用户需求书第 9.1 节补充要求，视频监控和统一消息通道须在 M2 评审前完成真实连通性验证，验证结论作为 M2 评审输入。</w:t>
      </w:r>
    </w:p>
    <w:p>
      <w:pPr>
        <w:pStyle w:val="2"/>
        <w:keepNext/>
        <w:spacing w:before="160" w:after="100"/>
      </w:pPr>
      <w:r>
        <w:rPr>
          <w:rFonts w:ascii="黑体" w:hAnsi="黑体" w:eastAsia="黑体"/>
          <w:b/>
          <w:color w:val="000000"/>
          <w:sz w:val="26"/>
        </w:rPr>
        <w:t>3.5 M5 验收门禁</w:t>
      </w:r>
    </w:p>
    <w:p>
      <w:pPr>
        <w:spacing w:before="0" w:after="100" w:line="360" w:lineRule="auto"/>
      </w:pPr>
      <w:r>
        <w:rPr>
          <w:rFonts w:ascii="宋体" w:hAnsi="宋体" w:eastAsia="宋体"/>
          <w:b w:val="0"/>
          <w:color w:val="000000"/>
          <w:sz w:val="24"/>
        </w:rPr>
        <w:t>竣工验收按需求书第10章执行。功能需求逐条执行验收用例，通过率为100%；性能指标在部署环境实测；完成视频监控、信息发布、物联网平台和统一业务运行中台的端到端联动测试及一次模拟突发事件全流程联合演练；高危漏洞清零；非乙方人员在干净环境按部署手册一次完成独立部署。未满足项进入缺陷或变更流程，不得以计划完成替代验收证据。</w:t>
      </w:r>
    </w:p>
    <w:p>
      <w:pPr>
        <w:sectPr>
          <w:pgSz w:w="16838" w:h="11906" w:orient="landscape"/>
          <w:pgMar w:top="1440" w:right="1440" w:bottom="1440" w:left="1440" w:header="708" w:footer="708" w:gutter="0"/>
          <w:cols w:space="720"/>
          <w:docGrid w:linePitch="360"/>
        </w:sectPr>
      </w:pPr>
    </w:p>
    <w:p>
      <w:pPr>
        <w:pStyle w:val="1"/>
        <w:keepNext/>
        <w:spacing w:before="240" w:after="160"/>
      </w:pPr>
      <w:r>
        <w:rPr>
          <w:rFonts w:ascii="黑体" w:hAnsi="黑体" w:eastAsia="黑体"/>
          <w:b/>
          <w:color w:val="000000"/>
          <w:sz w:val="30"/>
        </w:rPr>
        <w:t>4 三人成员职责与交付责任</w:t>
      </w:r>
    </w:p>
    <w:tbl>
      <w:tblPr>
        <w:tblW w:type="dxa" w:w="900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type="dxa" w:w="80"/>
      </w:tblPr>
      <w:tblGrid>
        <w:gridCol w:w="792"/>
        <w:gridCol w:w="1584"/>
        <w:gridCol w:w="3168"/>
        <w:gridCol w:w="3456"/>
      </w:tblGrid>
      <w:tr>
        <w:trPr>
          <w:tblHeader w:val="true"/>
        </w:trPr>
        <w:tc>
          <w:tcPr>
            <w:tcW w:type="dxa" w:w="792"/>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8"/>
              </w:rPr>
              <w:t>成员</w:t>
            </w:r>
          </w:p>
        </w:tc>
        <w:tc>
          <w:tcPr>
            <w:tcW w:type="dxa" w:w="1584"/>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8"/>
              </w:rPr>
              <w:t>项目角色</w:t>
            </w:r>
          </w:p>
        </w:tc>
        <w:tc>
          <w:tcPr>
            <w:tcW w:type="dxa" w:w="3168"/>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8"/>
              </w:rPr>
              <w:t>主责交付</w:t>
            </w:r>
          </w:p>
        </w:tc>
        <w:tc>
          <w:tcPr>
            <w:tcW w:type="dxa" w:w="3456"/>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8"/>
              </w:rPr>
              <w:t>关键复核责任</w:t>
            </w:r>
          </w:p>
        </w:tc>
      </w:tr>
      <w:tr>
        <w:tc>
          <w:tcPr>
            <w:tcW w:type="dxa" w:w="79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8"/>
              </w:rPr>
              <w:t>A</w:t>
            </w:r>
          </w:p>
        </w:tc>
        <w:tc>
          <w:tcPr>
            <w:tcW w:type="dxa" w:w="158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8"/>
              </w:rPr>
              <w:t>项目经理 PM / 总编</w:t>
            </w:r>
          </w:p>
        </w:tc>
        <w:tc>
          <w:tcPr>
            <w:tcW w:type="dxa" w:w="3168"/>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8"/>
              </w:rPr>
              <w:t>项目计划、周报与风险协调、评审组织、初验与试运行组织、培训与竣工交付包、跨文档一致性</w:t>
            </w:r>
          </w:p>
        </w:tc>
        <w:tc>
          <w:tcPr>
            <w:tcW w:type="dxa" w:w="345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8"/>
              </w:rPr>
              <w:t>复核 B 的技术产物，确认里程碑门禁和交付完整性</w:t>
            </w:r>
          </w:p>
        </w:tc>
      </w:tr>
      <w:tr>
        <w:tc>
          <w:tcPr>
            <w:tcW w:type="dxa" w:w="792"/>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8"/>
              </w:rPr>
              <w:t>B</w:t>
            </w:r>
          </w:p>
        </w:tc>
        <w:tc>
          <w:tcPr>
            <w:tcW w:type="dxa" w:w="158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8"/>
              </w:rPr>
              <w:t>技术负责人 / 架构与实现</w:t>
            </w:r>
          </w:p>
        </w:tc>
        <w:tc>
          <w:tcPr>
            <w:tcW w:type="dxa" w:w="3168"/>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8"/>
              </w:rPr>
              <w:t>总体与详细设计、数据库与接口设计、可运行系统、部署制品、接口联调、性能/安全/恢复验证</w:t>
            </w:r>
          </w:p>
        </w:tc>
        <w:tc>
          <w:tcPr>
            <w:tcW w:type="dxa" w:w="3456"/>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8"/>
              </w:rPr>
              <w:t>复核 C 的需求与合规输入，保证技术实现和证据可执行</w:t>
            </w:r>
          </w:p>
        </w:tc>
      </w:tr>
      <w:tr>
        <w:tc>
          <w:tcPr>
            <w:tcW w:type="dxa" w:w="792"/>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8"/>
              </w:rPr>
              <w:t>C</w:t>
            </w:r>
          </w:p>
        </w:tc>
        <w:tc>
          <w:tcPr>
            <w:tcW w:type="dxa" w:w="158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8"/>
              </w:rPr>
              <w:t>需求与合规负责人</w:t>
            </w:r>
          </w:p>
        </w:tc>
        <w:tc>
          <w:tcPr>
            <w:tcW w:type="dxa" w:w="3168"/>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8"/>
              </w:rPr>
              <w:t>SRS、需求追踪、条款与关键数字核对、测试设计与功能追踪、符合性检查</w:t>
            </w:r>
          </w:p>
        </w:tc>
        <w:tc>
          <w:tcPr>
            <w:tcW w:type="dxa" w:w="3456"/>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8"/>
              </w:rPr>
              <w:t>复核 A 的项目计划完整性、一致性及正式里程碑口径</w:t>
            </w:r>
          </w:p>
        </w:tc>
      </w:tr>
    </w:tbl>
    <w:p>
      <w:pPr>
        <w:spacing w:after="40"/>
      </w:pPr>
    </w:p>
    <w:p>
      <w:pPr>
        <w:spacing w:before="60" w:after="40"/>
        <w:jc w:val="center"/>
      </w:pPr>
      <w:r>
        <w:drawing>
          <wp:inline xmlns:a="http://schemas.openxmlformats.org/drawingml/2006/main" xmlns:pic="http://schemas.openxmlformats.org/drawingml/2006/picture">
            <wp:extent cx="5715000" cy="3214688"/>
            <wp:docPr id="4" name="图4 三人成员职责与交付关系" title="图4 三人成员职责与交付关系" descr="图4 三人成员职责与交付关系"/>
            <wp:cNvGraphicFramePr>
              <a:graphicFrameLocks noChangeAspect="1"/>
            </wp:cNvGraphicFramePr>
            <a:graphic>
              <a:graphicData uri="http://schemas.openxmlformats.org/drawingml/2006/picture">
                <pic:pic>
                  <pic:nvPicPr>
                    <pic:cNvPr id="0" name="figure-4.png"/>
                    <pic:cNvPicPr/>
                  </pic:nvPicPr>
                  <pic:blipFill>
                    <a:blip r:embed="rId15"/>
                    <a:stretch>
                      <a:fillRect/>
                    </a:stretch>
                  </pic:blipFill>
                  <pic:spPr>
                    <a:xfrm>
                      <a:off x="0" y="0"/>
                      <a:ext cx="5715000" cy="3214688"/>
                    </a:xfrm>
                    <a:prstGeom prst="rect"/>
                  </pic:spPr>
                </pic:pic>
              </a:graphicData>
            </a:graphic>
          </wp:inline>
        </w:drawing>
      </w:r>
    </w:p>
    <w:p>
      <w:pPr>
        <w:spacing w:before="0" w:after="120" w:line="240" w:lineRule="auto"/>
        <w:jc w:val="center"/>
      </w:pPr>
      <w:r>
        <w:rPr>
          <w:rFonts w:ascii="宋体" w:hAnsi="宋体" w:eastAsia="宋体"/>
          <w:b/>
          <w:color w:val="000000"/>
          <w:sz w:val="18"/>
        </w:rPr>
        <w:t>图 4-1　三人成员职责与交付关系</w:t>
      </w:r>
    </w:p>
    <w:p>
      <w:pPr>
        <w:spacing w:before="0" w:after="100" w:line="360" w:lineRule="auto"/>
      </w:pPr>
      <w:r>
        <w:rPr>
          <w:rFonts w:ascii="宋体" w:hAnsi="宋体" w:eastAsia="宋体"/>
          <w:b w:val="0"/>
          <w:color w:val="000000"/>
          <w:sz w:val="24"/>
        </w:rPr>
        <w:t>职责关系见图 4-1。三名成员可以为同一交付物提供输入或复核，但每份正式产物只设一名主责。复核意见通过 Issue 或评审记录交回主责修改，复核人依据关闭证据确认，不维护另一套正式版本。</w:t>
      </w:r>
    </w:p>
    <w:p>
      <w:r>
        <w:br w:type="page"/>
      </w:r>
    </w:p>
    <w:p>
      <w:pPr>
        <w:pStyle w:val="1"/>
        <w:keepNext/>
        <w:spacing w:before="240" w:after="160"/>
      </w:pPr>
      <w:r>
        <w:rPr>
          <w:rFonts w:ascii="黑体" w:hAnsi="黑体" w:eastAsia="黑体"/>
          <w:b/>
          <w:color w:val="000000"/>
          <w:sz w:val="30"/>
        </w:rPr>
        <w:t>5 沟通、配置、文档与 Git 管理</w:t>
      </w:r>
    </w:p>
    <w:p>
      <w:pPr>
        <w:pStyle w:val="2"/>
        <w:keepNext/>
        <w:spacing w:before="160" w:after="100"/>
      </w:pPr>
      <w:r>
        <w:rPr>
          <w:rFonts w:ascii="黑体" w:hAnsi="黑体" w:eastAsia="黑体"/>
          <w:b/>
          <w:color w:val="000000"/>
          <w:sz w:val="26"/>
        </w:rPr>
        <w:t>5.1 沟通与报告</w:t>
      </w:r>
    </w:p>
    <w:p>
      <w:pPr>
        <w:spacing w:before="0" w:after="100" w:line="360" w:lineRule="auto"/>
      </w:pPr>
      <w:r>
        <w:rPr>
          <w:rFonts w:ascii="宋体" w:hAnsi="宋体" w:eastAsia="宋体"/>
          <w:b w:val="0"/>
          <w:color w:val="000000"/>
          <w:sz w:val="24"/>
        </w:rPr>
        <w:t>乙方在合同签订后1周内提交详细项目计划。项目执行期间每周形成周报，内容包括本周进展、下周计划和风险。评审、接口条件、验收窗口与交付签认均形成书面记录。重大风险在识别后24小时内书面报告甲方。</w:t>
      </w:r>
    </w:p>
    <w:p>
      <w:pPr>
        <w:pStyle w:val="2"/>
        <w:keepNext/>
        <w:spacing w:before="160" w:after="100"/>
      </w:pPr>
      <w:r>
        <w:rPr>
          <w:rFonts w:ascii="黑体" w:hAnsi="黑体" w:eastAsia="黑体"/>
          <w:b/>
          <w:color w:val="000000"/>
          <w:sz w:val="26"/>
        </w:rPr>
        <w:t>5.2 配置与文档管理</w:t>
      </w:r>
    </w:p>
    <w:p>
      <w:pPr>
        <w:pStyle w:val="a4"/>
        <w:spacing w:before="0" w:after="60" w:line="336" w:lineRule="auto"/>
      </w:pPr>
      <w:r>
        <w:rPr>
          <w:rFonts w:ascii="宋体" w:hAnsi="宋体" w:eastAsia="宋体"/>
          <w:b w:val="0"/>
          <w:color w:val="000000"/>
          <w:sz w:val="24"/>
        </w:rPr>
        <w:t>• 代码、脚本、配置、文档和测试证据纳入统一版本控制，交付版本建立可追溯标签或基线。</w:t>
      </w:r>
    </w:p>
    <w:p>
      <w:pPr>
        <w:pStyle w:val="a4"/>
        <w:spacing w:before="0" w:after="60" w:line="336" w:lineRule="auto"/>
      </w:pPr>
      <w:r>
        <w:rPr>
          <w:rFonts w:ascii="宋体" w:hAnsi="宋体" w:eastAsia="宋体"/>
          <w:b w:val="0"/>
          <w:color w:val="000000"/>
          <w:sz w:val="24"/>
        </w:rPr>
        <w:t>• 文档采用明确的版本号、修订记录、主责和复核状态。需求、设计、测试与实际系统保持双向追踪。</w:t>
      </w:r>
    </w:p>
    <w:p>
      <w:pPr>
        <w:pStyle w:val="a4"/>
        <w:spacing w:before="0" w:after="60" w:line="336" w:lineRule="auto"/>
      </w:pPr>
      <w:r>
        <w:rPr>
          <w:rFonts w:ascii="宋体" w:hAnsi="宋体" w:eastAsia="宋体"/>
          <w:b w:val="0"/>
          <w:color w:val="000000"/>
          <w:sz w:val="24"/>
        </w:rPr>
        <w:t>• M1、M2、M3和M5前执行配置审计，核对源代码、构建制品、数据库脚本、配置项、接口契约、文档和测试证据的一致性。</w:t>
      </w:r>
    </w:p>
    <w:p>
      <w:pPr>
        <w:pStyle w:val="a4"/>
        <w:spacing w:before="0" w:after="60" w:line="336" w:lineRule="auto"/>
      </w:pPr>
      <w:r>
        <w:rPr>
          <w:rFonts w:ascii="宋体" w:hAnsi="宋体" w:eastAsia="宋体"/>
          <w:b w:val="0"/>
          <w:color w:val="000000"/>
          <w:sz w:val="24"/>
        </w:rPr>
        <w:t>• 甲方可在里程碑节点获取代码快照。对外提交可编辑源文件与PDF，交付格式和内容遵守用户需求书。</w:t>
      </w:r>
    </w:p>
    <w:p>
      <w:pPr>
        <w:pStyle w:val="2"/>
        <w:keepNext/>
        <w:spacing w:before="160" w:after="100"/>
      </w:pPr>
      <w:r>
        <w:rPr>
          <w:rFonts w:ascii="黑体" w:hAnsi="黑体" w:eastAsia="黑体"/>
          <w:b/>
          <w:color w:val="000000"/>
          <w:sz w:val="26"/>
        </w:rPr>
        <w:t>5.3 Git 工作安排</w:t>
      </w:r>
    </w:p>
    <w:p>
      <w:pPr>
        <w:spacing w:before="0" w:after="100" w:line="360" w:lineRule="auto"/>
      </w:pPr>
      <w:r>
        <w:rPr>
          <w:rFonts w:ascii="宋体" w:hAnsi="宋体" w:eastAsia="宋体"/>
          <w:b w:val="0"/>
          <w:color w:val="000000"/>
          <w:sz w:val="24"/>
        </w:rPr>
        <w:t>项目主线使用受控的 master。每项正式任务开始与结束均获取远程最新状态；只允许快进或保留双方历史的普通合并，禁止强制推送和历史重写。提交前检查差异、敏感信息、原始资料和案例事实污染。评审问题修复后由主责提交，复核记录与交付版本共同归档。</w:t>
      </w:r>
    </w:p>
    <w:p>
      <w:pPr>
        <w:pStyle w:val="2"/>
        <w:keepNext/>
        <w:spacing w:before="160" w:after="100"/>
      </w:pPr>
      <w:r>
        <w:rPr>
          <w:rFonts w:ascii="黑体" w:hAnsi="黑体" w:eastAsia="黑体"/>
          <w:b/>
          <w:color w:val="000000"/>
          <w:sz w:val="26"/>
        </w:rPr>
        <w:t>5.4 变更控制</w:t>
      </w:r>
    </w:p>
    <w:p>
      <w:pPr>
        <w:spacing w:before="0" w:after="100" w:line="360" w:lineRule="auto"/>
      </w:pPr>
      <w:r>
        <w:rPr>
          <w:rFonts w:ascii="宋体" w:hAnsi="宋体" w:eastAsia="宋体"/>
          <w:b w:val="0"/>
          <w:color w:val="000000"/>
          <w:sz w:val="24"/>
        </w:rPr>
        <w:t>需求变更须由双方书面确认，并附范围、进度、技术、测试、数据、风险和交付影响分析。若变更影响冻结 Baseline 或正式里程碑，先登记 Issue 和变更记录，经评审确认后发布新版本；旧版本继续保留。</w:t>
      </w:r>
    </w:p>
    <w:p>
      <w:pPr>
        <w:pStyle w:val="2"/>
        <w:keepNext/>
        <w:spacing w:before="160" w:after="100"/>
      </w:pPr>
      <w:r>
        <w:rPr>
          <w:rFonts w:ascii="黑体" w:hAnsi="黑体" w:eastAsia="黑体"/>
          <w:b/>
          <w:color w:val="000000"/>
          <w:sz w:val="26"/>
        </w:rPr>
        <w:t>5.5 质保与服务安排</w:t>
      </w:r>
    </w:p>
    <w:p>
      <w:pPr>
        <w:spacing w:before="0" w:after="100" w:line="360" w:lineRule="auto"/>
      </w:pPr>
      <w:r>
        <w:rPr>
          <w:rFonts w:ascii="宋体" w:hAnsi="宋体" w:eastAsia="宋体"/>
          <w:b w:val="0"/>
          <w:color w:val="000000"/>
          <w:sz w:val="24"/>
        </w:rPr>
        <w:t>M5 后进入 12 个月质保服务期。A 维护服务台账与渠道记录，B 按三级 SLA 提供技术支持：一级故障 30 分钟响应、4 小时恢复或临时方案；二级故障 30 分钟响应、2 小时解决、最迟 1 个工作日；三级故障 8 小时响应、2 小时提出意见、5 个工作日解决。应急申告渠道为 7×24，远程支持渠道为 7×12；服务期满由 A 依据台账形成服务期满报告。该安排对应 WBS 6.8、6.9，不改变 M1—M5 正式里程碑。</w:t>
      </w:r>
    </w:p>
    <w:p>
      <w:r>
        <w:br w:type="page"/>
      </w:r>
    </w:p>
    <w:p>
      <w:pPr>
        <w:pStyle w:val="1"/>
        <w:keepNext/>
        <w:spacing w:before="240" w:after="160"/>
      </w:pPr>
      <w:r>
        <w:rPr>
          <w:rFonts w:ascii="黑体" w:hAnsi="黑体" w:eastAsia="黑体"/>
          <w:b/>
          <w:color w:val="000000"/>
          <w:sz w:val="30"/>
        </w:rPr>
        <w:t>6 风险与计划联动</w:t>
      </w:r>
    </w:p>
    <w:tbl>
      <w:tblPr>
        <w:tblW w:type="dxa" w:w="900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type="dxa" w:w="80"/>
      </w:tblPr>
      <w:tblGrid>
        <w:gridCol w:w="936"/>
        <w:gridCol w:w="2160"/>
        <w:gridCol w:w="1584"/>
        <w:gridCol w:w="4320"/>
      </w:tblGrid>
      <w:tr>
        <w:trPr>
          <w:tblHeader w:val="true"/>
        </w:trPr>
        <w:tc>
          <w:tcPr>
            <w:tcW w:type="dxa" w:w="936"/>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7"/>
              </w:rPr>
              <w:t>风险类别</w:t>
            </w:r>
          </w:p>
        </w:tc>
        <w:tc>
          <w:tcPr>
            <w:tcW w:type="dxa" w:w="2160"/>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7"/>
              </w:rPr>
              <w:t>计划触发信号</w:t>
            </w:r>
          </w:p>
        </w:tc>
        <w:tc>
          <w:tcPr>
            <w:tcW w:type="dxa" w:w="1584"/>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7"/>
              </w:rPr>
              <w:t>关联工作包</w:t>
            </w:r>
          </w:p>
        </w:tc>
        <w:tc>
          <w:tcPr>
            <w:tcW w:type="dxa" w:w="4320"/>
            <w:vAlign w:val="center"/>
            <w:tcMar>
              <w:top w:w="70" w:type="dxa"/>
              <w:start w:w="80" w:type="dxa"/>
              <w:bottom w:w="70" w:type="dxa"/>
              <w:end w:w="80" w:type="dxa"/>
            </w:tcMar>
            <w:shd w:fill="172B3A"/>
          </w:tcPr>
          <w:p>
            <w:pPr>
              <w:spacing w:before="0" w:after="0" w:line="252" w:lineRule="auto"/>
              <w:jc w:val="center"/>
            </w:pPr>
            <w:r>
              <w:rPr>
                <w:rFonts w:ascii="宋体" w:hAnsi="宋体" w:eastAsia="宋体"/>
                <w:b/>
                <w:color w:val="FFFFFF"/>
                <w:sz w:val="17"/>
              </w:rPr>
              <w:t>计划响应</w:t>
            </w:r>
          </w:p>
        </w:tc>
      </w:tr>
      <w:tr>
        <w:tc>
          <w:tcPr>
            <w:tcW w:type="dxa" w:w="936"/>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7"/>
              </w:rPr>
              <w:t>接口对接</w:t>
            </w:r>
          </w:p>
        </w:tc>
        <w:tc>
          <w:tcPr>
            <w:tcW w:type="dxa" w:w="216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7"/>
              </w:rPr>
              <w:t>资料、账号、授权、环境或联调窗口未按计划具备；协议差异导致验证失败</w:t>
            </w:r>
          </w:p>
        </w:tc>
        <w:tc>
          <w:tcPr>
            <w:tcW w:type="dxa" w:w="158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7"/>
              </w:rPr>
              <w:t>3.3、3.7、3.8、4.9、4.10</w:t>
            </w:r>
          </w:p>
        </w:tc>
        <w:tc>
          <w:tcPr>
            <w:tcW w:type="dxa" w:w="432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7"/>
              </w:rPr>
              <w:t>A纳入周报并协调甲方前置；B保留契约、异常与降级证据；M2前视频/消息连通未完成则不得准出</w:t>
            </w:r>
          </w:p>
        </w:tc>
      </w:tr>
      <w:tr>
        <w:tc>
          <w:tcPr>
            <w:tcW w:type="dxa" w:w="936"/>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7"/>
              </w:rPr>
              <w:t>性能</w:t>
            </w:r>
          </w:p>
        </w:tc>
        <w:tc>
          <w:tcPr>
            <w:tcW w:type="dxa" w:w="216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7"/>
              </w:rPr>
              <w:t>秒级响应、并行推送、到达率、刷新、并发或报表指标预检不达标</w:t>
            </w:r>
          </w:p>
        </w:tc>
        <w:tc>
          <w:tcPr>
            <w:tcW w:type="dxa" w:w="158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7"/>
              </w:rPr>
              <w:t>4.11、5.3</w:t>
            </w:r>
          </w:p>
        </w:tc>
        <w:tc>
          <w:tcPr>
            <w:tcW w:type="dxa" w:w="432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7"/>
              </w:rPr>
              <w:t>B提前建立测试数据与监测口径，安排加固与复测；未达标不得进入验收结论</w:t>
            </w:r>
          </w:p>
        </w:tc>
      </w:tr>
      <w:tr>
        <w:tc>
          <w:tcPr>
            <w:tcW w:type="dxa" w:w="936"/>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7"/>
              </w:rPr>
              <w:t>数据</w:t>
            </w:r>
          </w:p>
        </w:tc>
        <w:tc>
          <w:tcPr>
            <w:tcW w:type="dxa" w:w="216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7"/>
              </w:rPr>
              <w:t>真实业务数据迟到、字段缺失、坐标或编码质量不足</w:t>
            </w:r>
          </w:p>
        </w:tc>
        <w:tc>
          <w:tcPr>
            <w:tcW w:type="dxa" w:w="158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7"/>
              </w:rPr>
              <w:t>3.2、4.12、5.2</w:t>
            </w:r>
          </w:p>
        </w:tc>
        <w:tc>
          <w:tcPr>
            <w:tcW w:type="dxa" w:w="432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7"/>
              </w:rPr>
              <w:t>C登记缺口并由甲方确认业务事实；B执行模板、映射、清洗、导入和技术校验，不补造数据</w:t>
            </w:r>
          </w:p>
        </w:tc>
      </w:tr>
      <w:tr>
        <w:tc>
          <w:tcPr>
            <w:tcW w:type="dxa" w:w="936"/>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7"/>
              </w:rPr>
              <w:t>进度</w:t>
            </w:r>
          </w:p>
        </w:tc>
        <w:tc>
          <w:tcPr>
            <w:tcW w:type="dxa" w:w="216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7"/>
              </w:rPr>
              <w:t>关键路径工作包延期或阶段阻断项未关闭</w:t>
            </w:r>
          </w:p>
        </w:tc>
        <w:tc>
          <w:tcPr>
            <w:tcW w:type="dxa" w:w="1584"/>
            <w:vAlign w:val="center"/>
            <w:tcMar>
              <w:top w:w="70" w:type="dxa"/>
              <w:start w:w="80" w:type="dxa"/>
              <w:bottom w:w="70" w:type="dxa"/>
              <w:end w:w="80" w:type="dxa"/>
            </w:tcMar>
            <w:shd w:fill="EEF4F9"/>
          </w:tcPr>
          <w:p>
            <w:pPr>
              <w:spacing w:before="0" w:after="0" w:line="252" w:lineRule="auto"/>
              <w:jc w:val="center"/>
            </w:pPr>
            <w:r>
              <w:rPr>
                <w:rFonts w:ascii="宋体" w:hAnsi="宋体" w:eastAsia="宋体"/>
                <w:b w:val="0"/>
                <w:color w:val="000000"/>
                <w:sz w:val="17"/>
              </w:rPr>
              <w:t>1.2、1.3及全部关键路径工作包</w:t>
            </w:r>
          </w:p>
        </w:tc>
        <w:tc>
          <w:tcPr>
            <w:tcW w:type="dxa" w:w="4320"/>
            <w:vAlign w:val="center"/>
            <w:tcMar>
              <w:top w:w="70" w:type="dxa"/>
              <w:start w:w="80" w:type="dxa"/>
              <w:bottom w:w="70" w:type="dxa"/>
              <w:end w:w="80" w:type="dxa"/>
            </w:tcMar>
            <w:shd w:fill="EEF4F9"/>
          </w:tcPr>
          <w:p>
            <w:pPr>
              <w:spacing w:before="0" w:after="0" w:line="252" w:lineRule="auto"/>
              <w:jc w:val="left"/>
            </w:pPr>
            <w:r>
              <w:rPr>
                <w:rFonts w:ascii="宋体" w:hAnsi="宋体" w:eastAsia="宋体"/>
                <w:b w:val="0"/>
                <w:color w:val="000000"/>
                <w:sz w:val="17"/>
              </w:rPr>
              <w:t>A更新偏差与影响，优先保护正式里程碑和强制范围；需要调整时走书面变更</w:t>
            </w:r>
          </w:p>
        </w:tc>
      </w:tr>
      <w:tr>
        <w:tc>
          <w:tcPr>
            <w:tcW w:type="dxa" w:w="936"/>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7"/>
              </w:rPr>
              <w:t>人员</w:t>
            </w:r>
          </w:p>
        </w:tc>
        <w:tc>
          <w:tcPr>
            <w:tcW w:type="dxa" w:w="216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7"/>
              </w:rPr>
              <w:t>三人成员关键职责冲突、不可用或复核积压</w:t>
            </w:r>
          </w:p>
        </w:tc>
        <w:tc>
          <w:tcPr>
            <w:tcW w:type="dxa" w:w="1584"/>
            <w:vAlign w:val="center"/>
            <w:tcMar>
              <w:top w:w="70" w:type="dxa"/>
              <w:start w:w="80" w:type="dxa"/>
              <w:bottom w:w="70" w:type="dxa"/>
              <w:end w:w="80" w:type="dxa"/>
            </w:tcMar>
          </w:tcPr>
          <w:p>
            <w:pPr>
              <w:spacing w:before="0" w:after="0" w:line="252" w:lineRule="auto"/>
              <w:jc w:val="center"/>
            </w:pPr>
            <w:r>
              <w:rPr>
                <w:rFonts w:ascii="宋体" w:hAnsi="宋体" w:eastAsia="宋体"/>
                <w:b w:val="0"/>
                <w:color w:val="000000"/>
                <w:sz w:val="17"/>
              </w:rPr>
              <w:t>1.2、4、5、6各阶段</w:t>
            </w:r>
          </w:p>
        </w:tc>
        <w:tc>
          <w:tcPr>
            <w:tcW w:type="dxa" w:w="4320"/>
            <w:vAlign w:val="center"/>
            <w:tcMar>
              <w:top w:w="70" w:type="dxa"/>
              <w:start w:w="80" w:type="dxa"/>
              <w:bottom w:w="70" w:type="dxa"/>
              <w:end w:w="80" w:type="dxa"/>
            </w:tcMar>
          </w:tcPr>
          <w:p>
            <w:pPr>
              <w:spacing w:before="0" w:after="0" w:line="252" w:lineRule="auto"/>
              <w:jc w:val="left"/>
            </w:pPr>
            <w:r>
              <w:rPr>
                <w:rFonts w:ascii="宋体" w:hAnsi="宋体" w:eastAsia="宋体"/>
                <w:b w:val="0"/>
                <w:color w:val="000000"/>
                <w:sz w:val="17"/>
              </w:rPr>
              <w:t>A按主责优先级重新安排并行项，保留主责与复核分离；不得以缺少复核直接标记完成</w:t>
            </w:r>
          </w:p>
        </w:tc>
      </w:tr>
    </w:tbl>
    <w:p>
      <w:pPr>
        <w:spacing w:after="40"/>
      </w:pPr>
    </w:p>
    <w:p>
      <w:pPr>
        <w:spacing w:before="0" w:after="100" w:line="360" w:lineRule="auto"/>
      </w:pPr>
      <w:r>
        <w:rPr>
          <w:rFonts w:ascii="宋体" w:hAnsi="宋体" w:eastAsia="宋体"/>
          <w:b w:val="0"/>
          <w:color w:val="000000"/>
          <w:sz w:val="24"/>
        </w:rPr>
        <w:t>风险登记册随周报滚动更新。风险状态变化必须反映到相关工作包的开始条件、剩余工期、责任人和验证证据。项目计划只定义联动机制，风险编号、概率、影响等级和关闭证据在《风险登记册 v1》中维护。</w:t>
      </w:r>
    </w:p>
    <w:p>
      <w:r>
        <w:br w:type="page"/>
      </w:r>
    </w:p>
    <w:p>
      <w:pPr>
        <w:pStyle w:val="1"/>
        <w:keepNext/>
        <w:spacing w:before="240" w:after="160"/>
      </w:pPr>
      <w:r>
        <w:rPr>
          <w:rFonts w:ascii="黑体" w:hAnsi="黑体" w:eastAsia="黑体"/>
          <w:b/>
          <w:color w:val="000000"/>
          <w:sz w:val="30"/>
        </w:rPr>
        <w:t>7 计划维护</w:t>
      </w:r>
    </w:p>
    <w:p>
      <w:pPr>
        <w:spacing w:before="0" w:after="100" w:line="360" w:lineRule="auto"/>
      </w:pPr>
      <w:r>
        <w:rPr>
          <w:rFonts w:ascii="宋体" w:hAnsi="宋体" w:eastAsia="宋体"/>
          <w:b w:val="0"/>
          <w:color w:val="000000"/>
          <w:sz w:val="24"/>
        </w:rPr>
        <w:t>本计划 V1.0 进入 C 的计划完整性与一致性复核。执行期间 A 每周根据真实完成证据更新滚动计划，不追溯修改已发生记录。对不影响正式里程碑、范围和验收标准的内部任务调整，在周报记录原因和影响；涉及需求、范围、责任、关键数字、正式里程碑或验收条件的调整，必须取得书面确认并按变更流程升版。</w:t>
      </w:r>
    </w:p>
    <w:sectPr w:rsidR="0008685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4DD20" w14:textId="77777777" w:rsidR="00897032" w:rsidRDefault="00897032">
      <w:r>
        <w:separator/>
      </w:r>
    </w:p>
  </w:endnote>
  <w:endnote w:type="continuationSeparator" w:id="0">
    <w:p w14:paraId="01DA5D2A" w14:textId="77777777" w:rsidR="00897032" w:rsidRDefault="008970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D0D3A" w14:textId="77777777" w:rsidR="00086855" w:rsidRDefault="002D0979">
    <w:pPr>
      <w:jc w:val="center"/>
    </w:pPr>
    <w:r>
      <w:rPr>
        <w:color w:val="000000"/>
        <w:sz w:val="18"/>
        <w:szCs w:val="18"/>
      </w:rPr>
      <w:fldChar w:fldCharType="begin"/>
    </w:r>
    <w:r>
      <w:rPr>
        <w:color w:val="000000"/>
        <w:sz w:val="18"/>
        <w:szCs w:val="18"/>
      </w:rPr>
      <w:instrText>PAGE</w:instrText>
    </w:r>
    <w:r>
      <w:rPr>
        <w:color w:val="000000"/>
        <w:sz w:val="18"/>
        <w:szCs w:val="18"/>
      </w:rPr>
      <w:fldChar w:fldCharType="separate"/>
    </w:r>
    <w:r w:rsidR="0055490C">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F6F63" w14:textId="77777777" w:rsidR="00897032" w:rsidRDefault="00897032">
      <w:r>
        <w:separator/>
      </w:r>
    </w:p>
  </w:footnote>
  <w:footnote w:type="continuationSeparator" w:id="0">
    <w:p w14:paraId="33B079EA" w14:textId="77777777" w:rsidR="00897032" w:rsidRDefault="008970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D022BD"/>
    <w:multiLevelType w:val="hybridMultilevel"/>
    <w:tmpl w:val="B9626610"/>
    <w:lvl w:ilvl="0" w:tplc="113A4ADE">
      <w:start w:val="1"/>
      <w:numFmt w:val="bullet"/>
      <w:lvlText w:val="●"/>
      <w:lvlJc w:val="left"/>
      <w:pPr>
        <w:ind w:left="720" w:hanging="360"/>
      </w:pPr>
    </w:lvl>
    <w:lvl w:ilvl="1" w:tplc="75547356">
      <w:start w:val="1"/>
      <w:numFmt w:val="bullet"/>
      <w:lvlText w:val="○"/>
      <w:lvlJc w:val="left"/>
      <w:pPr>
        <w:ind w:left="1440" w:hanging="360"/>
      </w:pPr>
    </w:lvl>
    <w:lvl w:ilvl="2" w:tplc="2F983E52">
      <w:start w:val="1"/>
      <w:numFmt w:val="bullet"/>
      <w:lvlText w:val="■"/>
      <w:lvlJc w:val="left"/>
      <w:pPr>
        <w:ind w:left="2160" w:hanging="360"/>
      </w:pPr>
    </w:lvl>
    <w:lvl w:ilvl="3" w:tplc="58DC5C90">
      <w:start w:val="1"/>
      <w:numFmt w:val="bullet"/>
      <w:lvlText w:val="●"/>
      <w:lvlJc w:val="left"/>
      <w:pPr>
        <w:ind w:left="2880" w:hanging="360"/>
      </w:pPr>
    </w:lvl>
    <w:lvl w:ilvl="4" w:tplc="882A3432">
      <w:start w:val="1"/>
      <w:numFmt w:val="bullet"/>
      <w:lvlText w:val="○"/>
      <w:lvlJc w:val="left"/>
      <w:pPr>
        <w:ind w:left="3600" w:hanging="360"/>
      </w:pPr>
    </w:lvl>
    <w:lvl w:ilvl="5" w:tplc="C764E66A">
      <w:start w:val="1"/>
      <w:numFmt w:val="bullet"/>
      <w:lvlText w:val="■"/>
      <w:lvlJc w:val="left"/>
      <w:pPr>
        <w:ind w:left="4320" w:hanging="360"/>
      </w:pPr>
    </w:lvl>
    <w:lvl w:ilvl="6" w:tplc="0A245604">
      <w:start w:val="1"/>
      <w:numFmt w:val="bullet"/>
      <w:lvlText w:val="●"/>
      <w:lvlJc w:val="left"/>
      <w:pPr>
        <w:ind w:left="5040" w:hanging="360"/>
      </w:pPr>
    </w:lvl>
    <w:lvl w:ilvl="7" w:tplc="509CD9CE">
      <w:start w:val="1"/>
      <w:numFmt w:val="bullet"/>
      <w:lvlText w:val="●"/>
      <w:lvlJc w:val="left"/>
      <w:pPr>
        <w:ind w:left="5760" w:hanging="360"/>
      </w:pPr>
    </w:lvl>
    <w:lvl w:ilvl="8" w:tplc="5330F1C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855"/>
    <w:rsid w:val="00086855"/>
    <w:rsid w:val="002D0979"/>
    <w:rsid w:val="0055490C"/>
    <w:rsid w:val="00897032"/>
    <w:rsid w:val="00C67C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EF757C"/>
  <w15:docId w15:val="{17884C19-89ED-48A1-A5FD-07816DE2664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宋体" w:hAnsi="宋体" w:eastAsia="宋体"/>
      <w:color w:val="000000"/>
      <w:sz w:val="24"/>
    </w:rPr>
  </w:style>
  <w:style w:type="paragraph" w:styleId="1">
    <w:name w:val="heading 1"/>
    <w:uiPriority w:val="9"/>
    <w:qFormat/>
    <w:pPr>
      <w:outlineLvl w:val="0"/>
    </w:pPr>
    <w:rPr>
      <w:rFonts w:ascii="黑体" w:hAnsi="黑体" w:eastAsia="黑体"/>
      <w:color w:val="000000"/>
      <w:sz w:val="30"/>
      <w:szCs w:val="32"/>
    </w:rPr>
  </w:style>
  <w:style w:type="paragraph" w:styleId="2">
    <w:name w:val="heading 2"/>
    <w:uiPriority w:val="9"/>
    <w:semiHidden/>
    <w:unhideWhenUsed/>
    <w:qFormat/>
    <w:pPr>
      <w:outlineLvl w:val="1"/>
    </w:pPr>
    <w:rPr>
      <w:rFonts w:ascii="黑体" w:hAnsi="黑体" w:eastAsia="黑体"/>
      <w:color w:val="000000"/>
      <w:sz w:val="26"/>
      <w:szCs w:val="26"/>
    </w:rPr>
  </w:style>
  <w:style w:type="paragraph" w:styleId="3">
    <w:name w:val="heading 3"/>
    <w:uiPriority w:val="9"/>
    <w:semiHidden/>
    <w:unhideWhenUsed/>
    <w:qFormat/>
    <w:pPr>
      <w:outlineLvl w:val="2"/>
    </w:pPr>
    <w:rPr>
      <w:color w:val="000000"/>
      <w:sz w:val="24"/>
      <w:szCs w:val="24"/>
    </w:rPr>
  </w:style>
  <w:style w:type="paragraph" w:styleId="4">
    <w:name w:val="heading 4"/>
    <w:uiPriority w:val="9"/>
    <w:semiHidden/>
    <w:unhideWhenUsed/>
    <w:qFormat/>
    <w:pPr>
      <w:outlineLvl w:val="3"/>
    </w:pPr>
    <w:rPr>
      <w:i/>
      <w:iCs/>
      <w:color w:val="000000"/>
    </w:rPr>
  </w:style>
  <w:style w:type="paragraph" w:styleId="5">
    <w:name w:val="heading 5"/>
    <w:uiPriority w:val="9"/>
    <w:semiHidden/>
    <w:unhideWhenUsed/>
    <w:qFormat/>
    <w:pPr>
      <w:outlineLvl w:val="4"/>
    </w:pPr>
    <w:rPr>
      <w:color w:val="000000"/>
    </w:rPr>
  </w:style>
  <w:style w:type="paragraph" w:styleId="6">
    <w:name w:val="heading 6"/>
    <w:uiPriority w:val="9"/>
    <w:semiHidden/>
    <w:unhideWhenUsed/>
    <w:qFormat/>
    <w:pPr>
      <w:outlineLvl w:val="5"/>
    </w:pPr>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color w:val="000000"/>
      <w:sz w:val="56"/>
      <w:szCs w:val="56"/>
    </w:rPr>
  </w:style>
  <w:style w:type="paragraph" w:customStyle="1" w:styleId="10">
    <w:name w:val="要点1"/>
    <w:qFormat/>
    <w:rPr>
      <w:b/>
      <w:bCs/>
      <w:color w:val="000000"/>
    </w:rPr>
  </w:style>
  <w:style w:type="paragraph" w:styleId="a4">
    <w:name w:val="List Paragraph"/>
    <w:qFormat/>
    <w:rPr>
      <w:rFonts w:ascii="宋体" w:hAnsi="宋体" w:eastAsia="宋体"/>
      <w:color w:val="000000"/>
      <w:sz w:val="24"/>
    </w:rPr>
  </w:style>
  <w:style w:type="character" w:styleId="a5">
    <w:name w:val="Hyperlink"/>
    <w:uiPriority w:val="99"/>
    <w:unhideWhenUsed/>
    <w:rPr>
      <w:color w:val="000000"/>
      <w:u w:val="single"/>
    </w:rPr>
  </w:style>
  <w:style w:type="character" w:styleId="a6">
    <w:name w:val="footnote reference"/>
    <w:uiPriority w:val="99"/>
    <w:semiHidden/>
    <w:unhideWhenUsed/>
    <w:rPr>
      <w:color w:val="000000"/>
      <w:vertAlign w:val="superscript"/>
    </w:rPr>
  </w:style>
  <w:style w:type="paragraph" w:styleId="a7">
    <w:name w:val="footnote text"/>
    <w:link w:val="a8"/>
    <w:uiPriority w:val="99"/>
    <w:semiHidden/>
    <w:unhideWhenUsed/>
    <w:rPr>
      <w:color w:val="000000"/>
    </w:rPr>
  </w:style>
  <w:style w:type="character" w:customStyle="1" w:styleId="a8">
    <w:name w:val="脚注文本 字符"/>
    <w:link w:val="a7"/>
    <w:uiPriority w:val="99"/>
    <w:semiHidden/>
    <w:unhideWhenUsed/>
    <w:rPr>
      <w:color w:val="000000"/>
      <w:sz w:val="20"/>
      <w:szCs w:val="20"/>
    </w:rPr>
  </w:style>
  <w:style w:type="character" w:styleId="a9">
    <w:name w:val="endnote reference"/>
    <w:uiPriority w:val="99"/>
    <w:semiHidden/>
    <w:unhideWhenUsed/>
    <w:rPr>
      <w:color w:val="000000"/>
      <w:vertAlign w:val="superscript"/>
    </w:rPr>
  </w:style>
  <w:style w:type="paragraph" w:styleId="aa">
    <w:name w:val="endnote text"/>
    <w:link w:val="ab"/>
    <w:uiPriority w:val="99"/>
    <w:semiHidden/>
    <w:unhideWhenUsed/>
    <w:rPr>
      <w:color w:val="000000"/>
    </w:rPr>
  </w:style>
  <w:style w:type="character" w:customStyle="1" w:styleId="ab">
    <w:name w:val="尾注文本 字符"/>
    <w:link w:val="aa"/>
    <w:uiPriority w:val="99"/>
    <w:semiHidden/>
    <w:unhideWhenUsed/>
    <w:rPr>
      <w:color w:val="000000"/>
      <w:sz w:val="20"/>
      <w:szCs w:val="20"/>
    </w:rPr>
  </w:style>
  <w:style w:type="paragraph" w:styleId="ac">
    <w:name w:val="header"/>
    <w:basedOn w:val="a"/>
    <w:link w:val="ad"/>
    <w:uiPriority w:val="99"/>
    <w:unhideWhenUsed/>
    <w:rsid w:val="0055490C"/>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55490C"/>
    <w:rPr>
      <w:sz w:val="18"/>
      <w:szCs w:val="18"/>
    </w:rPr>
  </w:style>
  <w:style w:type="paragraph" w:styleId="ae">
    <w:name w:val="footer"/>
    <w:basedOn w:val="a"/>
    <w:link w:val="af"/>
    <w:uiPriority w:val="99"/>
    <w:unhideWhenUsed/>
    <w:rsid w:val="0055490C"/>
    <w:pPr>
      <w:tabs>
        <w:tab w:val="center" w:pos="4153"/>
        <w:tab w:val="right" w:pos="8306"/>
      </w:tabs>
      <w:snapToGrid w:val="0"/>
      <w:jc w:val="left"/>
    </w:pPr>
    <w:rPr>
      <w:sz w:val="18"/>
      <w:szCs w:val="18"/>
    </w:rPr>
  </w:style>
  <w:style w:type="character" w:customStyle="1" w:styleId="af">
    <w:name w:val="页脚 字符"/>
    <w:basedOn w:val="a0"/>
    <w:link w:val="ae"/>
    <w:uiPriority w:val="99"/>
    <w:rsid w:val="0055490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353</Words>
  <Characters>2013</Characters>
  <Application>Microsoft Office Word</Application>
  <DocSecurity>0</DocSecurity>
  <Lines>16</Lines>
  <Paragraphs>4</Paragraphs>
  <ScaleCrop>false</ScaleCrop>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某自然博物馆智能运营中心建设项目 应急管理子系统 项目计划 v1</dc:title>
  <dc:creator>项目组成员 A</dc:creator>
  <cp:lastModifiedBy>晓雷 李</cp:lastModifiedBy>
  <cp:revision>2</cp:revision>
  <dcterms:created xsi:type="dcterms:W3CDTF">2026-08-14T14:45:00Z</dcterms:created>
  <dcterms:modified xsi:type="dcterms:W3CDTF">2026-09-06T14:24:00Z</dcterms:modified>
  <dc:subject>WBS 甘特图 里程碑与项目管理安排</dc:subject>
  <dc:description>依据 BASELINE-G1-V0.1 与用户需求书编制，待成员 C 复核</dc:description>
</cp:coreProperties>
</file>