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rPr>
        <w:t>FRESHCOP</w:t>
      </w:r>
    </w:p>
    <w:p>
      <w:pPr>
        <w:pStyle w:val="Title"/>
        <w:jc w:val="center"/>
      </w:pPr>
      <w:r>
        <w:rPr>
          <w:rFonts w:ascii="Aptos" w:hAnsi="Aptos"/>
        </w:rPr>
        <w:t>Chapitre 4 consolidé</w:t>
      </w:r>
    </w:p>
    <w:p>
      <w:pPr>
        <w:jc w:val="center"/>
      </w:pPr>
      <w:r>
        <w:rPr>
          <w:rFonts w:ascii="Aptos" w:hAnsi="Aptos"/>
          <w:b/>
          <w:color w:val="1F4E79"/>
          <w:sz w:val="32"/>
        </w:rPr>
        <w:t>Modèle thermique dynamique, inconfort estival et dimensionnement de la production de froid</w:t>
      </w:r>
    </w:p>
    <w:p>
      <w:pPr>
        <w:jc w:val="center"/>
      </w:pPr>
      <w:r>
        <w:rPr>
          <w:rFonts w:ascii="Aptos" w:hAnsi="Aptos"/>
          <w:color w:val="696969"/>
          <w:sz w:val="22"/>
        </w:rPr>
        <w:t>Version professionnelle de travail</w:t>
      </w:r>
    </w:p>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3"/>
        <w:gridCol w:w="5043"/>
      </w:tblGrid>
      <w:tr>
        <w:tc>
          <w:tcPr>
            <w:tcW w:type="dxa" w:w="2835"/>
            <w:shd w:fill="D9EAF7"/>
            <w:vAlign w:val="center"/>
          </w:tcPr>
          <w:p>
            <w:r/>
            <w:r>
              <w:rPr>
                <w:b/>
                <w:color w:val="000000"/>
                <w:sz w:val="18"/>
              </w:rPr>
              <w:t>Item</w:t>
            </w:r>
          </w:p>
        </w:tc>
        <w:tc>
          <w:tcPr>
            <w:tcW w:type="dxa" w:w="6236"/>
            <w:shd w:fill="D9EAF7"/>
            <w:vAlign w:val="center"/>
          </w:tcPr>
          <w:p>
            <w:r/>
            <w:r>
              <w:rPr>
                <w:b/>
                <w:color w:val="000000"/>
                <w:sz w:val="18"/>
              </w:rPr>
              <w:t>Contenu</w:t>
            </w:r>
          </w:p>
        </w:tc>
      </w:tr>
      <w:tr>
        <w:tc>
          <w:tcPr>
            <w:tcW w:type="dxa" w:w="5043"/>
            <w:vAlign w:val="center"/>
          </w:tcPr>
          <w:p>
            <w:r/>
            <w:r>
              <w:rPr>
                <w:b w:val="0"/>
                <w:sz w:val="18"/>
              </w:rPr>
              <w:t>Période de calibration</w:t>
            </w:r>
          </w:p>
        </w:tc>
        <w:tc>
          <w:tcPr>
            <w:tcW w:type="dxa" w:w="5043"/>
            <w:vAlign w:val="center"/>
          </w:tcPr>
          <w:p>
            <w:r/>
            <w:r>
              <w:rPr>
                <w:b w:val="0"/>
                <w:sz w:val="18"/>
              </w:rPr>
              <w:t>22/05/2026 au 30/06/2026 - 960 points horaires après arrêt du chauffage collectif</w:t>
            </w:r>
          </w:p>
        </w:tc>
      </w:tr>
      <w:tr>
        <w:tc>
          <w:tcPr>
            <w:tcW w:type="dxa" w:w="5043"/>
            <w:vAlign w:val="center"/>
          </w:tcPr>
          <w:p>
            <w:r/>
            <w:r>
              <w:rPr>
                <w:b w:val="0"/>
                <w:sz w:val="18"/>
              </w:rPr>
              <w:t>Périmètre technique</w:t>
            </w:r>
          </w:p>
        </w:tc>
        <w:tc>
          <w:tcPr>
            <w:tcW w:type="dxa" w:w="5043"/>
            <w:vAlign w:val="center"/>
          </w:tcPr>
          <w:p>
            <w:r/>
            <w:r>
              <w:rPr>
                <w:b w:val="0"/>
                <w:sz w:val="18"/>
              </w:rPr>
              <w:t>Analyse thermique moyenne de résidence, projection 2050, inconfort nocturne, comparaison 2 MW / 2,5 MW / 3 MW</w:t>
            </w:r>
          </w:p>
        </w:tc>
      </w:tr>
      <w:tr>
        <w:tc>
          <w:tcPr>
            <w:tcW w:type="dxa" w:w="5043"/>
            <w:vAlign w:val="center"/>
          </w:tcPr>
          <w:p>
            <w:r/>
            <w:r>
              <w:rPr>
                <w:b w:val="0"/>
                <w:sz w:val="18"/>
              </w:rPr>
              <w:t>Règle de dimensionnement</w:t>
            </w:r>
          </w:p>
        </w:tc>
        <w:tc>
          <w:tcPr>
            <w:tcW w:type="dxa" w:w="5043"/>
            <w:vAlign w:val="center"/>
          </w:tcPr>
          <w:p>
            <w:r/>
            <w:r>
              <w:rPr>
                <w:b w:val="0"/>
                <w:sz w:val="18"/>
              </w:rPr>
              <w:t>Lecture sur le scénario de pointe horaire réactif avec chambres à 24 °C la nuit</w:t>
            </w:r>
          </w:p>
        </w:tc>
      </w:tr>
      <w:tr>
        <w:tc>
          <w:tcPr>
            <w:tcW w:type="dxa" w:w="5043"/>
            <w:vAlign w:val="center"/>
          </w:tcPr>
          <w:p>
            <w:r/>
            <w:r>
              <w:rPr>
                <w:b w:val="0"/>
                <w:sz w:val="18"/>
              </w:rPr>
              <w:t>Statut</w:t>
            </w:r>
          </w:p>
        </w:tc>
        <w:tc>
          <w:tcPr>
            <w:tcW w:type="dxa" w:w="5043"/>
            <w:vAlign w:val="center"/>
          </w:tcPr>
          <w:p>
            <w:r/>
            <w:r>
              <w:rPr>
                <w:b w:val="0"/>
                <w:sz w:val="18"/>
              </w:rPr>
              <w:t>Pré-dimensionnement technique ; non substituable à une étude thermique détaillée par bureau d’études</w:t>
            </w:r>
          </w:p>
        </w:tc>
      </w:tr>
    </w:tbl>
    <w:p/>
    <w:p>
      <w:r>
        <w:rPr>
          <w:rFonts w:ascii="Aptos" w:hAnsi="Aptos"/>
        </w:rPr>
        <w:br w:type="page"/>
      </w:r>
    </w:p>
    <w:p>
      <w:pPr>
        <w:pStyle w:val="Heading1"/>
      </w:pPr>
      <w:r>
        <w:rPr>
          <w:rFonts w:ascii="Aptos" w:hAnsi="Aptos"/>
        </w:rPr>
        <w:t>Synthèse exécutive</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6"/>
      </w:tblGrid>
      <w:tr>
        <w:tc>
          <w:tcPr>
            <w:tcW w:type="dxa" w:w="9071"/>
            <w:shd w:fill="EEF5FB"/>
          </w:tcPr>
          <w:p>
            <w:r/>
            <w:r>
              <w:rPr>
                <w:b/>
                <w:color w:val="1F4E79"/>
                <w:sz w:val="20"/>
              </w:rPr>
              <w:t>Conclusion de dimensionnement</w:t>
            </w:r>
          </w:p>
          <w:p>
            <w:pPr>
              <w:spacing w:before="60"/>
            </w:pPr>
            <w:r>
              <w:rPr>
                <w:sz w:val="18"/>
              </w:rPr>
              <w:t>Le dimensionnement doit être jugé sur le pic horaire non contraint, les heures de saturation et le confort nocturne rendu aux occupants. Dans le scénario 2050 avec chambres à 24 °C la nuit, le pic réactif atteint environ 2,65 MW. Les capacités 2 MW et 2,5 MW ne disposent pas d’une marge suffisante ; 3 MW est l’enveloppe cohérente à étudier, avec une marge positive mais limitée.</w:t>
            </w:r>
          </w:p>
        </w:tc>
      </w:tr>
    </w:tbl>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3"/>
        <w:gridCol w:w="5043"/>
      </w:tblGrid>
      <w:tr>
        <w:tc>
          <w:tcPr>
            <w:tcW w:type="dxa" w:w="2835"/>
            <w:shd w:fill="D9EAF7"/>
            <w:vAlign w:val="center"/>
          </w:tcPr>
          <w:p>
            <w:r/>
            <w:r>
              <w:rPr>
                <w:b/>
                <w:color w:val="000000"/>
                <w:sz w:val="18"/>
              </w:rPr>
              <w:t>Question</w:t>
            </w:r>
          </w:p>
        </w:tc>
        <w:tc>
          <w:tcPr>
            <w:tcW w:type="dxa" w:w="6236"/>
            <w:shd w:fill="D9EAF7"/>
            <w:vAlign w:val="center"/>
          </w:tcPr>
          <w:p>
            <w:r/>
            <w:r>
              <w:rPr>
                <w:b/>
                <w:color w:val="000000"/>
                <w:sz w:val="18"/>
              </w:rPr>
              <w:t>Réponse technique consolidée</w:t>
            </w:r>
          </w:p>
        </w:tc>
      </w:tr>
      <w:tr>
        <w:tc>
          <w:tcPr>
            <w:tcW w:type="dxa" w:w="5043"/>
            <w:vAlign w:val="center"/>
          </w:tcPr>
          <w:p>
            <w:r/>
            <w:r>
              <w:rPr>
                <w:b w:val="0"/>
                <w:sz w:val="18"/>
              </w:rPr>
              <w:t>Ce que montrent les mesures</w:t>
            </w:r>
          </w:p>
        </w:tc>
        <w:tc>
          <w:tcPr>
            <w:tcW w:type="dxa" w:w="5043"/>
            <w:vAlign w:val="center"/>
          </w:tcPr>
          <w:p>
            <w:r/>
            <w:r>
              <w:rPr>
                <w:b w:val="0"/>
                <w:sz w:val="18"/>
              </w:rPr>
              <w:t>Après arrêt du chauffage collectif, la température intérieure moyenne AB/CD atteint 26,21 °C avec un maximum mesuré de 32,70 °C. Le bâtiment conserve la chaleur la nuit et accumule sur plusieurs jours.</w:t>
            </w:r>
          </w:p>
        </w:tc>
      </w:tr>
      <w:tr>
        <w:tc>
          <w:tcPr>
            <w:tcW w:type="dxa" w:w="5043"/>
            <w:vAlign w:val="center"/>
          </w:tcPr>
          <w:p>
            <w:r/>
            <w:r>
              <w:rPr>
                <w:b w:val="0"/>
                <w:sz w:val="18"/>
              </w:rPr>
              <w:t>Ce que reproduit le modèle</w:t>
            </w:r>
          </w:p>
        </w:tc>
        <w:tc>
          <w:tcPr>
            <w:tcW w:type="dxa" w:w="5043"/>
            <w:vAlign w:val="center"/>
          </w:tcPr>
          <w:p>
            <w:r/>
            <w:r>
              <w:rPr>
                <w:b w:val="0"/>
                <w:sz w:val="18"/>
              </w:rPr>
              <w:t>Le modèle RC apparent reproduit la dynamique moyenne : inertie forte, déphasage, refroidissement nocturne faible et montée progressive pendant les séquences chaudes.</w:t>
            </w:r>
          </w:p>
        </w:tc>
      </w:tr>
      <w:tr>
        <w:tc>
          <w:tcPr>
            <w:tcW w:type="dxa" w:w="5043"/>
            <w:vAlign w:val="center"/>
          </w:tcPr>
          <w:p>
            <w:r/>
            <w:r>
              <w:rPr>
                <w:b w:val="0"/>
                <w:sz w:val="18"/>
              </w:rPr>
              <w:t>Ce qui se passe sans rafraîchissement</w:t>
            </w:r>
          </w:p>
        </w:tc>
        <w:tc>
          <w:tcPr>
            <w:tcW w:type="dxa" w:w="5043"/>
            <w:vAlign w:val="center"/>
          </w:tcPr>
          <w:p>
            <w:r/>
            <w:r>
              <w:rPr>
                <w:b w:val="0"/>
                <w:sz w:val="18"/>
              </w:rPr>
              <w:t>Le scénario libre 2050 génère des températures intérieures supérieures à 33 °C et une forte progression des nuits chaudes.</w:t>
            </w:r>
          </w:p>
        </w:tc>
      </w:tr>
      <w:tr>
        <w:tc>
          <w:tcPr>
            <w:tcW w:type="dxa" w:w="5043"/>
            <w:vAlign w:val="center"/>
          </w:tcPr>
          <w:p>
            <w:r/>
            <w:r>
              <w:rPr>
                <w:b w:val="0"/>
                <w:sz w:val="18"/>
              </w:rPr>
              <w:t>Critère d’inconfort retenu</w:t>
            </w:r>
          </w:p>
        </w:tc>
        <w:tc>
          <w:tcPr>
            <w:tcW w:type="dxa" w:w="5043"/>
            <w:vAlign w:val="center"/>
          </w:tcPr>
          <w:p>
            <w:r/>
            <w:r>
              <w:rPr>
                <w:b w:val="0"/>
                <w:sz w:val="18"/>
              </w:rPr>
              <w:t>Nombre de nuits où un seuil de température est dépassé pendant au moins 6 heures entre 22 h et 7 h. Cette métrique est lisible par les occupants et directement liée au sommeil.</w:t>
            </w:r>
          </w:p>
        </w:tc>
      </w:tr>
      <w:tr>
        <w:tc>
          <w:tcPr>
            <w:tcW w:type="dxa" w:w="5043"/>
            <w:vAlign w:val="center"/>
          </w:tcPr>
          <w:p>
            <w:r/>
            <w:r>
              <w:rPr>
                <w:b w:val="0"/>
                <w:sz w:val="18"/>
              </w:rPr>
              <w:t>Critère de puissance retenu</w:t>
            </w:r>
          </w:p>
        </w:tc>
        <w:tc>
          <w:tcPr>
            <w:tcW w:type="dxa" w:w="5043"/>
            <w:vAlign w:val="center"/>
          </w:tcPr>
          <w:p>
            <w:r/>
            <w:r>
              <w:rPr>
                <w:b w:val="0"/>
                <w:sz w:val="18"/>
              </w:rPr>
              <w:t>Pic horaire non contraint en pilotage réactif, complété par les heures de saturation et la marge résiduelle.</w:t>
            </w:r>
          </w:p>
        </w:tc>
      </w:tr>
    </w:tbl>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2"/>
        <w:gridCol w:w="3362"/>
        <w:gridCol w:w="3362"/>
      </w:tblGrid>
      <w:tr>
        <w:tc>
          <w:tcPr>
            <w:tcW w:type="dxa" w:w="1701"/>
            <w:shd w:fill="D9EAF7"/>
            <w:vAlign w:val="center"/>
          </w:tcPr>
          <w:p>
            <w:r/>
            <w:r>
              <w:rPr>
                <w:b/>
                <w:color w:val="000000"/>
                <w:sz w:val="18"/>
              </w:rPr>
              <w:t>Capacité</w:t>
            </w:r>
          </w:p>
        </w:tc>
        <w:tc>
          <w:tcPr>
            <w:tcW w:type="dxa" w:w="2268"/>
            <w:shd w:fill="D9EAF7"/>
            <w:vAlign w:val="center"/>
          </w:tcPr>
          <w:p>
            <w:r/>
            <w:r>
              <w:rPr>
                <w:b/>
                <w:color w:val="000000"/>
                <w:sz w:val="18"/>
              </w:rPr>
              <w:t>Lecture</w:t>
            </w:r>
          </w:p>
        </w:tc>
        <w:tc>
          <w:tcPr>
            <w:tcW w:type="dxa" w:w="5102"/>
            <w:shd w:fill="D9EAF7"/>
            <w:vAlign w:val="center"/>
          </w:tcPr>
          <w:p>
            <w:r/>
            <w:r>
              <w:rPr>
                <w:b/>
                <w:color w:val="000000"/>
                <w:sz w:val="18"/>
              </w:rPr>
              <w:t>Justification</w:t>
            </w:r>
          </w:p>
        </w:tc>
      </w:tr>
      <w:tr>
        <w:tc>
          <w:tcPr>
            <w:tcW w:type="dxa" w:w="3362"/>
            <w:vAlign w:val="center"/>
          </w:tcPr>
          <w:p>
            <w:r/>
            <w:r>
              <w:rPr>
                <w:b w:val="0"/>
                <w:sz w:val="18"/>
              </w:rPr>
              <w:t>2 MW</w:t>
            </w:r>
          </w:p>
        </w:tc>
        <w:tc>
          <w:tcPr>
            <w:tcW w:type="dxa" w:w="3362"/>
            <w:vAlign w:val="center"/>
          </w:tcPr>
          <w:p>
            <w:r/>
            <w:r>
              <w:rPr>
                <w:b w:val="0"/>
                <w:sz w:val="18"/>
              </w:rPr>
              <w:t>Insuffisant</w:t>
            </w:r>
          </w:p>
        </w:tc>
        <w:tc>
          <w:tcPr>
            <w:tcW w:type="dxa" w:w="3362"/>
            <w:vAlign w:val="center"/>
          </w:tcPr>
          <w:p>
            <w:r/>
            <w:r>
              <w:rPr>
                <w:b w:val="0"/>
                <w:sz w:val="18"/>
              </w:rPr>
              <w:t>Déficit de -0,65 MW en 2050 ; saturation sur les heures critiques.</w:t>
            </w:r>
          </w:p>
        </w:tc>
      </w:tr>
      <w:tr>
        <w:tc>
          <w:tcPr>
            <w:tcW w:type="dxa" w:w="3362"/>
            <w:vAlign w:val="center"/>
          </w:tcPr>
          <w:p>
            <w:r/>
            <w:r>
              <w:rPr>
                <w:b w:val="0"/>
                <w:sz w:val="18"/>
              </w:rPr>
              <w:t>2,5 MW</w:t>
            </w:r>
          </w:p>
        </w:tc>
        <w:tc>
          <w:tcPr>
            <w:tcW w:type="dxa" w:w="3362"/>
            <w:vAlign w:val="center"/>
          </w:tcPr>
          <w:p>
            <w:r/>
            <w:r>
              <w:rPr>
                <w:b w:val="0"/>
                <w:sz w:val="18"/>
              </w:rPr>
              <w:t>Limite</w:t>
            </w:r>
          </w:p>
        </w:tc>
        <w:tc>
          <w:tcPr>
            <w:tcW w:type="dxa" w:w="3362"/>
            <w:vAlign w:val="center"/>
          </w:tcPr>
          <w:p>
            <w:r/>
            <w:r>
              <w:rPr>
                <w:b w:val="0"/>
                <w:sz w:val="18"/>
              </w:rPr>
              <w:t>Déficit de -0,15 MW en 2050 ; marge absente dès le cas central réactif.</w:t>
            </w:r>
          </w:p>
        </w:tc>
      </w:tr>
      <w:tr>
        <w:tc>
          <w:tcPr>
            <w:tcW w:type="dxa" w:w="3362"/>
            <w:vAlign w:val="center"/>
          </w:tcPr>
          <w:p>
            <w:r/>
            <w:r>
              <w:rPr>
                <w:b w:val="0"/>
                <w:sz w:val="18"/>
              </w:rPr>
              <w:t>3 MW</w:t>
            </w:r>
          </w:p>
        </w:tc>
        <w:tc>
          <w:tcPr>
            <w:tcW w:type="dxa" w:w="3362"/>
            <w:vAlign w:val="center"/>
          </w:tcPr>
          <w:p>
            <w:r/>
            <w:r>
              <w:rPr>
                <w:b w:val="0"/>
                <w:sz w:val="18"/>
              </w:rPr>
              <w:t>Cohérent à étudier</w:t>
            </w:r>
          </w:p>
        </w:tc>
        <w:tc>
          <w:tcPr>
            <w:tcW w:type="dxa" w:w="3362"/>
            <w:vAlign w:val="center"/>
          </w:tcPr>
          <w:p>
            <w:r/>
            <w:r>
              <w:rPr>
                <w:b w:val="0"/>
                <w:sz w:val="18"/>
              </w:rPr>
              <w:t>Marge 2050 d’environ +0,35 MW ; enveloppe positive mais non confortable.</w:t>
            </w:r>
          </w:p>
        </w:tc>
      </w:tr>
    </w:tbl>
    <w:p/>
    <w:p>
      <w:r>
        <w:rPr>
          <w:rFonts w:ascii="Aptos" w:hAnsi="Aptos"/>
        </w:rPr>
        <w:br w:type="page"/>
      </w:r>
    </w:p>
    <w:p>
      <w:pPr>
        <w:pStyle w:val="Heading1"/>
      </w:pPr>
      <w:r>
        <w:rPr>
          <w:rFonts w:ascii="Aptos" w:hAnsi="Aptos"/>
        </w:rPr>
        <w:t>Sommaire</w:t>
      </w:r>
    </w:p>
    <w:p>
      <w:pPr>
        <w:ind w:left="227"/>
      </w:pPr>
      <w:r>
        <w:rPr>
          <w:rFonts w:ascii="Aptos" w:hAnsi="Aptos"/>
        </w:rPr>
        <w:t>1. Lexique des abréviations</w:t>
      </w:r>
    </w:p>
    <w:p>
      <w:pPr>
        <w:ind w:left="227"/>
      </w:pPr>
      <w:r>
        <w:rPr>
          <w:rFonts w:ascii="Aptos" w:hAnsi="Aptos"/>
        </w:rPr>
        <w:t>2. Données d’entrée et périmètre de calcul</w:t>
      </w:r>
    </w:p>
    <w:p>
      <w:pPr>
        <w:ind w:left="227"/>
      </w:pPr>
      <w:r>
        <w:rPr>
          <w:rFonts w:ascii="Aptos" w:hAnsi="Aptos"/>
        </w:rPr>
        <w:t>3. Modèle thermique dynamique RC</w:t>
      </w:r>
    </w:p>
    <w:p>
      <w:pPr>
        <w:ind w:left="227"/>
      </w:pPr>
      <w:r>
        <w:rPr>
          <w:rFonts w:ascii="Aptos" w:hAnsi="Aptos"/>
        </w:rPr>
        <w:t>4. Mesures réelles et diagnostic de surchauffe</w:t>
      </w:r>
    </w:p>
    <w:p>
      <w:pPr>
        <w:ind w:left="227"/>
      </w:pPr>
      <w:r>
        <w:rPr>
          <w:rFonts w:ascii="Aptos" w:hAnsi="Aptos"/>
        </w:rPr>
        <w:t>5. Projection sans rafraîchissement et inconfort nocturne</w:t>
      </w:r>
    </w:p>
    <w:p>
      <w:pPr>
        <w:ind w:left="227"/>
      </w:pPr>
      <w:r>
        <w:rPr>
          <w:rFonts w:ascii="Aptos" w:hAnsi="Aptos"/>
        </w:rPr>
        <w:t>6. Calcul dynamique de puissance froide</w:t>
      </w:r>
    </w:p>
    <w:p>
      <w:pPr>
        <w:ind w:left="227"/>
      </w:pPr>
      <w:r>
        <w:rPr>
          <w:rFonts w:ascii="Aptos" w:hAnsi="Aptos"/>
        </w:rPr>
        <w:t>7. Comparaison 2 MW / 2,5 MW / 3 MW</w:t>
      </w:r>
    </w:p>
    <w:p>
      <w:pPr>
        <w:ind w:left="227"/>
      </w:pPr>
      <w:r>
        <w:rPr>
          <w:rFonts w:ascii="Aptos" w:hAnsi="Aptos"/>
        </w:rPr>
        <w:t>8. Rôle des chambres, du vitrage et du pilotage</w:t>
      </w:r>
    </w:p>
    <w:p>
      <w:pPr>
        <w:ind w:left="227"/>
      </w:pPr>
      <w:r>
        <w:rPr>
          <w:rFonts w:ascii="Aptos" w:hAnsi="Aptos"/>
        </w:rPr>
        <w:t>9. Conclusion technique consolidée</w:t>
      </w:r>
    </w:p>
    <w:p>
      <w:pPr>
        <w:ind w:left="227"/>
      </w:pPr>
      <w:r>
        <w:rPr>
          <w:rFonts w:ascii="Aptos" w:hAnsi="Aptos"/>
        </w:rPr>
        <w:t>10. Limites et suites d’étude recommandées</w:t>
      </w:r>
    </w:p>
    <w:p>
      <w:r>
        <w:rPr>
          <w:rFonts w:ascii="Aptos" w:hAnsi="Aptos"/>
        </w:rPr>
        <w:br w:type="page"/>
      </w:r>
    </w:p>
    <w:p>
      <w:pPr>
        <w:pStyle w:val="Heading1"/>
      </w:pPr>
      <w:r>
        <w:rPr>
          <w:rFonts w:ascii="Aptos" w:hAnsi="Aptos"/>
        </w:rPr>
        <w:t>1. Lexique des abréviations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3"/>
        <w:gridCol w:w="5043"/>
      </w:tblGrid>
      <w:tr>
        <w:tc>
          <w:tcPr>
            <w:tcW w:type="dxa" w:w="1701"/>
            <w:shd w:fill="D9EAF7"/>
            <w:vAlign w:val="center"/>
          </w:tcPr>
          <w:p>
            <w:r/>
            <w:r>
              <w:rPr>
                <w:b/>
                <w:color w:val="000000"/>
                <w:sz w:val="18"/>
              </w:rPr>
              <w:t>Abréviation</w:t>
            </w:r>
          </w:p>
        </w:tc>
        <w:tc>
          <w:tcPr>
            <w:tcW w:type="dxa" w:w="7370"/>
            <w:shd w:fill="D9EAF7"/>
            <w:vAlign w:val="center"/>
          </w:tcPr>
          <w:p>
            <w:r/>
            <w:r>
              <w:rPr>
                <w:b/>
                <w:color w:val="000000"/>
                <w:sz w:val="18"/>
              </w:rPr>
              <w:t>Définition</w:t>
            </w:r>
          </w:p>
        </w:tc>
      </w:tr>
      <w:tr>
        <w:tc>
          <w:tcPr>
            <w:tcW w:type="dxa" w:w="5043"/>
            <w:vAlign w:val="center"/>
          </w:tcPr>
          <w:p>
            <w:r/>
            <w:r>
              <w:rPr>
                <w:b w:val="0"/>
                <w:sz w:val="18"/>
              </w:rPr>
              <w:t>AB/CD</w:t>
            </w:r>
          </w:p>
        </w:tc>
        <w:tc>
          <w:tcPr>
            <w:tcW w:type="dxa" w:w="5043"/>
            <w:vAlign w:val="center"/>
          </w:tcPr>
          <w:p>
            <w:r/>
            <w:r>
              <w:rPr>
                <w:b w:val="0"/>
                <w:sz w:val="18"/>
              </w:rPr>
              <w:t>Circuits de référence utilisés pour la température intérieure moyenne de la résidence.</w:t>
            </w:r>
          </w:p>
        </w:tc>
      </w:tr>
      <w:tr>
        <w:tc>
          <w:tcPr>
            <w:tcW w:type="dxa" w:w="5043"/>
            <w:vAlign w:val="center"/>
          </w:tcPr>
          <w:p>
            <w:r/>
            <w:r>
              <w:rPr>
                <w:b w:val="0"/>
                <w:sz w:val="18"/>
              </w:rPr>
              <w:t>CSV</w:t>
            </w:r>
          </w:p>
        </w:tc>
        <w:tc>
          <w:tcPr>
            <w:tcW w:type="dxa" w:w="5043"/>
            <w:vAlign w:val="center"/>
          </w:tcPr>
          <w:p>
            <w:r/>
            <w:r>
              <w:rPr>
                <w:b w:val="0"/>
                <w:sz w:val="18"/>
              </w:rPr>
              <w:t>Fichier de données horaires transmis, utilisé pour les mesures et la calibration.</w:t>
            </w:r>
          </w:p>
        </w:tc>
      </w:tr>
      <w:tr>
        <w:tc>
          <w:tcPr>
            <w:tcW w:type="dxa" w:w="5043"/>
            <w:vAlign w:val="center"/>
          </w:tcPr>
          <w:p>
            <w:r/>
            <w:r>
              <w:rPr>
                <w:b w:val="0"/>
                <w:sz w:val="18"/>
              </w:rPr>
              <w:t>RC</w:t>
            </w:r>
          </w:p>
        </w:tc>
        <w:tc>
          <w:tcPr>
            <w:tcW w:type="dxa" w:w="5043"/>
            <w:vAlign w:val="center"/>
          </w:tcPr>
          <w:p>
            <w:r/>
            <w:r>
              <w:rPr>
                <w:b w:val="0"/>
                <w:sz w:val="18"/>
              </w:rPr>
              <w:t>Modèle thermique Résistance-Capacité, utilisé pour représenter l’inertie du bâtiment.</w:t>
            </w:r>
          </w:p>
        </w:tc>
      </w:tr>
      <w:tr>
        <w:tc>
          <w:tcPr>
            <w:tcW w:type="dxa" w:w="5043"/>
            <w:vAlign w:val="center"/>
          </w:tcPr>
          <w:p>
            <w:r/>
            <w:r>
              <w:rPr>
                <w:b w:val="0"/>
                <w:sz w:val="18"/>
              </w:rPr>
              <w:t>2R2C</w:t>
            </w:r>
          </w:p>
        </w:tc>
        <w:tc>
          <w:tcPr>
            <w:tcW w:type="dxa" w:w="5043"/>
            <w:vAlign w:val="center"/>
          </w:tcPr>
          <w:p>
            <w:r/>
            <w:r>
              <w:rPr>
                <w:b w:val="0"/>
                <w:sz w:val="18"/>
              </w:rPr>
              <w:t>Modèle conceptuel à deux résistances et deux capacités : air intérieur et masse thermique.</w:t>
            </w:r>
          </w:p>
        </w:tc>
      </w:tr>
      <w:tr>
        <w:tc>
          <w:tcPr>
            <w:tcW w:type="dxa" w:w="5043"/>
            <w:vAlign w:val="center"/>
          </w:tcPr>
          <w:p>
            <w:r/>
            <w:r>
              <w:rPr>
                <w:b w:val="0"/>
                <w:sz w:val="18"/>
              </w:rPr>
              <w:t>C</w:t>
            </w:r>
          </w:p>
        </w:tc>
        <w:tc>
          <w:tcPr>
            <w:tcW w:type="dxa" w:w="5043"/>
            <w:vAlign w:val="center"/>
          </w:tcPr>
          <w:p>
            <w:r/>
            <w:r>
              <w:rPr>
                <w:b w:val="0"/>
                <w:sz w:val="18"/>
              </w:rPr>
              <w:t>Capacité thermique apparente du bâtiment, exprimée en MWh/K ou Wh/m².K.</w:t>
            </w:r>
          </w:p>
        </w:tc>
      </w:tr>
      <w:tr>
        <w:tc>
          <w:tcPr>
            <w:tcW w:type="dxa" w:w="5043"/>
            <w:vAlign w:val="center"/>
          </w:tcPr>
          <w:p>
            <w:r/>
            <w:r>
              <w:rPr>
                <w:b w:val="0"/>
                <w:sz w:val="18"/>
              </w:rPr>
              <w:t>UA</w:t>
            </w:r>
          </w:p>
        </w:tc>
        <w:tc>
          <w:tcPr>
            <w:tcW w:type="dxa" w:w="5043"/>
            <w:vAlign w:val="center"/>
          </w:tcPr>
          <w:p>
            <w:r/>
            <w:r>
              <w:rPr>
                <w:b w:val="0"/>
                <w:sz w:val="18"/>
              </w:rPr>
              <w:t>Coefficient global apparent d’échange thermique, exprimé en kW/K.</w:t>
            </w:r>
          </w:p>
        </w:tc>
      </w:tr>
      <w:tr>
        <w:tc>
          <w:tcPr>
            <w:tcW w:type="dxa" w:w="5043"/>
            <w:vAlign w:val="center"/>
          </w:tcPr>
          <w:p>
            <w:r/>
            <w:r>
              <w:rPr>
                <w:b w:val="0"/>
                <w:sz w:val="18"/>
              </w:rPr>
              <w:t>MW</w:t>
            </w:r>
          </w:p>
        </w:tc>
        <w:tc>
          <w:tcPr>
            <w:tcW w:type="dxa" w:w="5043"/>
            <w:vAlign w:val="center"/>
          </w:tcPr>
          <w:p>
            <w:r/>
            <w:r>
              <w:rPr>
                <w:b w:val="0"/>
                <w:sz w:val="18"/>
              </w:rPr>
              <w:t>Mégawatt de puissance frigorifique appelée ou installée.</w:t>
            </w:r>
          </w:p>
        </w:tc>
      </w:tr>
      <w:tr>
        <w:tc>
          <w:tcPr>
            <w:tcW w:type="dxa" w:w="5043"/>
            <w:vAlign w:val="center"/>
          </w:tcPr>
          <w:p>
            <w:r/>
            <w:r>
              <w:rPr>
                <w:b w:val="0"/>
                <w:sz w:val="18"/>
              </w:rPr>
              <w:t>MWh</w:t>
            </w:r>
          </w:p>
        </w:tc>
        <w:tc>
          <w:tcPr>
            <w:tcW w:type="dxa" w:w="5043"/>
            <w:vAlign w:val="center"/>
          </w:tcPr>
          <w:p>
            <w:r/>
            <w:r>
              <w:rPr>
                <w:b w:val="0"/>
                <w:sz w:val="18"/>
              </w:rPr>
              <w:t>Mégawattheure d’énergie froide cumulée sur la période simulée.</w:t>
            </w:r>
          </w:p>
        </w:tc>
      </w:tr>
      <w:tr>
        <w:tc>
          <w:tcPr>
            <w:tcW w:type="dxa" w:w="5043"/>
            <w:vAlign w:val="center"/>
          </w:tcPr>
          <w:p>
            <w:r/>
            <w:r>
              <w:rPr>
                <w:b w:val="0"/>
                <w:sz w:val="18"/>
              </w:rPr>
              <w:t>RMSE</w:t>
            </w:r>
          </w:p>
        </w:tc>
        <w:tc>
          <w:tcPr>
            <w:tcW w:type="dxa" w:w="5043"/>
            <w:vAlign w:val="center"/>
          </w:tcPr>
          <w:p>
            <w:r/>
            <w:r>
              <w:rPr>
                <w:b w:val="0"/>
                <w:sz w:val="18"/>
              </w:rPr>
              <w:t>Erreur quadratique moyenne entre mesure et modèle.</w:t>
            </w:r>
          </w:p>
        </w:tc>
      </w:tr>
      <w:tr>
        <w:tc>
          <w:tcPr>
            <w:tcW w:type="dxa" w:w="5043"/>
            <w:vAlign w:val="center"/>
          </w:tcPr>
          <w:p>
            <w:r/>
            <w:r>
              <w:rPr>
                <w:b w:val="0"/>
                <w:sz w:val="18"/>
              </w:rPr>
              <w:t>MAE</w:t>
            </w:r>
          </w:p>
        </w:tc>
        <w:tc>
          <w:tcPr>
            <w:tcW w:type="dxa" w:w="5043"/>
            <w:vAlign w:val="center"/>
          </w:tcPr>
          <w:p>
            <w:r/>
            <w:r>
              <w:rPr>
                <w:b w:val="0"/>
                <w:sz w:val="18"/>
              </w:rPr>
              <w:t>Erreur absolue moyenne entre mesure et modèle.</w:t>
            </w:r>
          </w:p>
        </w:tc>
      </w:tr>
      <w:tr>
        <w:tc>
          <w:tcPr>
            <w:tcW w:type="dxa" w:w="5043"/>
            <w:vAlign w:val="center"/>
          </w:tcPr>
          <w:p>
            <w:r/>
            <w:r>
              <w:rPr>
                <w:b w:val="0"/>
                <w:sz w:val="18"/>
              </w:rPr>
              <w:t>R²</w:t>
            </w:r>
          </w:p>
        </w:tc>
        <w:tc>
          <w:tcPr>
            <w:tcW w:type="dxa" w:w="5043"/>
            <w:vAlign w:val="center"/>
          </w:tcPr>
          <w:p>
            <w:r/>
            <w:r>
              <w:rPr>
                <w:b w:val="0"/>
                <w:sz w:val="18"/>
              </w:rPr>
              <w:t>Part de variance expliquée par le modèle.</w:t>
            </w:r>
          </w:p>
        </w:tc>
      </w:tr>
      <w:tr>
        <w:tc>
          <w:tcPr>
            <w:tcW w:type="dxa" w:w="5043"/>
            <w:vAlign w:val="center"/>
          </w:tcPr>
          <w:p>
            <w:r/>
            <w:r>
              <w:rPr>
                <w:b w:val="0"/>
                <w:sz w:val="18"/>
              </w:rPr>
              <w:t>P95</w:t>
            </w:r>
          </w:p>
        </w:tc>
        <w:tc>
          <w:tcPr>
            <w:tcW w:type="dxa" w:w="5043"/>
            <w:vAlign w:val="center"/>
          </w:tcPr>
          <w:p>
            <w:r/>
            <w:r>
              <w:rPr>
                <w:b w:val="0"/>
                <w:sz w:val="18"/>
              </w:rPr>
              <w:t>Percentile 95 : 95 % des valeurs sont inférieures à ce seuil.</w:t>
            </w:r>
          </w:p>
        </w:tc>
      </w:tr>
      <w:tr>
        <w:tc>
          <w:tcPr>
            <w:tcW w:type="dxa" w:w="5043"/>
            <w:vAlign w:val="center"/>
          </w:tcPr>
          <w:p>
            <w:r/>
            <w:r>
              <w:rPr>
                <w:b w:val="0"/>
                <w:sz w:val="18"/>
              </w:rPr>
              <w:t>Pilotage réactif</w:t>
            </w:r>
          </w:p>
        </w:tc>
        <w:tc>
          <w:tcPr>
            <w:tcW w:type="dxa" w:w="5043"/>
            <w:vAlign w:val="center"/>
          </w:tcPr>
          <w:p>
            <w:r/>
            <w:r>
              <w:rPr>
                <w:b w:val="0"/>
                <w:sz w:val="18"/>
              </w:rPr>
              <w:t>Refroidissement déclenché quand la consigne devient exigeante, notamment la nuit.</w:t>
            </w:r>
          </w:p>
        </w:tc>
      </w:tr>
      <w:tr>
        <w:tc>
          <w:tcPr>
            <w:tcW w:type="dxa" w:w="5043"/>
            <w:vAlign w:val="center"/>
          </w:tcPr>
          <w:p>
            <w:r/>
            <w:r>
              <w:rPr>
                <w:b w:val="0"/>
                <w:sz w:val="18"/>
              </w:rPr>
              <w:t>Pilotage anticipatif</w:t>
            </w:r>
          </w:p>
        </w:tc>
        <w:tc>
          <w:tcPr>
            <w:tcW w:type="dxa" w:w="5043"/>
            <w:vAlign w:val="center"/>
          </w:tcPr>
          <w:p>
            <w:r/>
            <w:r>
              <w:rPr>
                <w:b w:val="0"/>
                <w:sz w:val="18"/>
              </w:rPr>
              <w:t>Pré-refroidissement progressif permettant d’écrêter les pointes.</w:t>
            </w:r>
          </w:p>
        </w:tc>
      </w:tr>
      <w:tr>
        <w:tc>
          <w:tcPr>
            <w:tcW w:type="dxa" w:w="5043"/>
            <w:vAlign w:val="center"/>
          </w:tcPr>
          <w:p>
            <w:r/>
            <w:r>
              <w:rPr>
                <w:b w:val="0"/>
                <w:sz w:val="18"/>
              </w:rPr>
              <w:t>Heure saturée</w:t>
            </w:r>
          </w:p>
        </w:tc>
        <w:tc>
          <w:tcPr>
            <w:tcW w:type="dxa" w:w="5043"/>
            <w:vAlign w:val="center"/>
          </w:tcPr>
          <w:p>
            <w:r/>
            <w:r>
              <w:rPr>
                <w:b w:val="0"/>
                <w:sz w:val="18"/>
              </w:rPr>
              <w:t>Heure où la puissance appelée dépasse la puissance installée disponible.</w:t>
            </w:r>
          </w:p>
        </w:tc>
      </w:tr>
    </w:tbl>
    <w:p/>
    <w:p>
      <w:r>
        <w:rPr>
          <w:rFonts w:ascii="Aptos" w:hAnsi="Aptos"/>
        </w:rPr>
        <w:br w:type="page"/>
      </w:r>
    </w:p>
    <w:p>
      <w:pPr>
        <w:pStyle w:val="Heading1"/>
      </w:pPr>
      <w:r>
        <w:rPr>
          <w:rFonts w:ascii="Aptos" w:hAnsi="Aptos"/>
        </w:rPr>
        <w:t>2. Données d’entrée et périmètre de calcul</w:t>
      </w:r>
    </w:p>
    <w:p>
      <w:r>
        <w:rPr>
          <w:rFonts w:ascii="Aptos" w:hAnsi="Aptos"/>
        </w:rPr>
        <w:t>La période exploitée commence au 22 mai 2026, après arrêt du chauffage collectif, et se termine au 30 juin 2026. Elle comprend 960 mesures horaires. Cette restriction permet d’étudier la dynamique thermique d’été sans influence directe du chauffage collectif.</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3"/>
        <w:gridCol w:w="5043"/>
      </w:tblGrid>
      <w:tr>
        <w:tc>
          <w:tcPr>
            <w:tcW w:type="dxa" w:w="3969"/>
            <w:shd w:fill="D9EAF7"/>
            <w:vAlign w:val="center"/>
          </w:tcPr>
          <w:p>
            <w:r/>
            <w:r>
              <w:rPr>
                <w:b/>
                <w:color w:val="000000"/>
                <w:sz w:val="18"/>
              </w:rPr>
              <w:t>Grandeur</w:t>
            </w:r>
          </w:p>
        </w:tc>
        <w:tc>
          <w:tcPr>
            <w:tcW w:type="dxa" w:w="5102"/>
            <w:shd w:fill="D9EAF7"/>
            <w:vAlign w:val="center"/>
          </w:tcPr>
          <w:p>
            <w:r/>
            <w:r>
              <w:rPr>
                <w:b/>
                <w:color w:val="000000"/>
                <w:sz w:val="18"/>
              </w:rPr>
              <w:t>Valeur retenue</w:t>
            </w:r>
          </w:p>
        </w:tc>
      </w:tr>
      <w:tr>
        <w:tc>
          <w:tcPr>
            <w:tcW w:type="dxa" w:w="5043"/>
            <w:vAlign w:val="center"/>
          </w:tcPr>
          <w:p>
            <w:r/>
            <w:r>
              <w:rPr>
                <w:b w:val="0"/>
                <w:sz w:val="18"/>
              </w:rPr>
              <w:t>Nombre de logements</w:t>
            </w:r>
          </w:p>
        </w:tc>
        <w:tc>
          <w:tcPr>
            <w:tcW w:type="dxa" w:w="5043"/>
            <w:vAlign w:val="center"/>
          </w:tcPr>
          <w:p>
            <w:r/>
            <w:r>
              <w:rPr>
                <w:b w:val="0"/>
                <w:sz w:val="18"/>
              </w:rPr>
              <w:t>440</w:t>
            </w:r>
          </w:p>
        </w:tc>
      </w:tr>
      <w:tr>
        <w:tc>
          <w:tcPr>
            <w:tcW w:type="dxa" w:w="5043"/>
            <w:vAlign w:val="center"/>
          </w:tcPr>
          <w:p>
            <w:r/>
            <w:r>
              <w:rPr>
                <w:b w:val="0"/>
                <w:sz w:val="18"/>
              </w:rPr>
              <w:t>Surface moyenne représentative</w:t>
            </w:r>
          </w:p>
        </w:tc>
        <w:tc>
          <w:tcPr>
            <w:tcW w:type="dxa" w:w="5043"/>
            <w:vAlign w:val="center"/>
          </w:tcPr>
          <w:p>
            <w:r/>
            <w:r>
              <w:rPr>
                <w:b w:val="0"/>
                <w:sz w:val="18"/>
              </w:rPr>
              <w:t>80 m²/logement</w:t>
            </w:r>
          </w:p>
        </w:tc>
      </w:tr>
      <w:tr>
        <w:tc>
          <w:tcPr>
            <w:tcW w:type="dxa" w:w="5043"/>
            <w:vAlign w:val="center"/>
          </w:tcPr>
          <w:p>
            <w:r/>
            <w:r>
              <w:rPr>
                <w:b w:val="0"/>
                <w:sz w:val="18"/>
              </w:rPr>
              <w:t>Surface totale représentative</w:t>
            </w:r>
          </w:p>
        </w:tc>
        <w:tc>
          <w:tcPr>
            <w:tcW w:type="dxa" w:w="5043"/>
            <w:vAlign w:val="center"/>
          </w:tcPr>
          <w:p>
            <w:r/>
            <w:r>
              <w:rPr>
                <w:b w:val="0"/>
                <w:sz w:val="18"/>
              </w:rPr>
              <w:t>35 200 m²</w:t>
            </w:r>
          </w:p>
        </w:tc>
      </w:tr>
      <w:tr>
        <w:tc>
          <w:tcPr>
            <w:tcW w:type="dxa" w:w="5043"/>
            <w:vAlign w:val="center"/>
          </w:tcPr>
          <w:p>
            <w:r/>
            <w:r>
              <w:rPr>
                <w:b w:val="0"/>
                <w:sz w:val="18"/>
              </w:rPr>
              <w:t>Période analysée</w:t>
            </w:r>
          </w:p>
        </w:tc>
        <w:tc>
          <w:tcPr>
            <w:tcW w:type="dxa" w:w="5043"/>
            <w:vAlign w:val="center"/>
          </w:tcPr>
          <w:p>
            <w:r/>
            <w:r>
              <w:rPr>
                <w:b w:val="0"/>
                <w:sz w:val="18"/>
              </w:rPr>
              <w:t>22/05/2026 au 30/06/2026</w:t>
            </w:r>
          </w:p>
        </w:tc>
      </w:tr>
      <w:tr>
        <w:tc>
          <w:tcPr>
            <w:tcW w:type="dxa" w:w="5043"/>
            <w:vAlign w:val="center"/>
          </w:tcPr>
          <w:p>
            <w:r/>
            <w:r>
              <w:rPr>
                <w:b w:val="0"/>
                <w:sz w:val="18"/>
              </w:rPr>
              <w:t>Pas de temps</w:t>
            </w:r>
          </w:p>
        </w:tc>
        <w:tc>
          <w:tcPr>
            <w:tcW w:type="dxa" w:w="5043"/>
            <w:vAlign w:val="center"/>
          </w:tcPr>
          <w:p>
            <w:r/>
            <w:r>
              <w:rPr>
                <w:b w:val="0"/>
                <w:sz w:val="18"/>
              </w:rPr>
              <w:t>1 heure</w:t>
            </w:r>
          </w:p>
        </w:tc>
      </w:tr>
      <w:tr>
        <w:tc>
          <w:tcPr>
            <w:tcW w:type="dxa" w:w="5043"/>
            <w:vAlign w:val="center"/>
          </w:tcPr>
          <w:p>
            <w:r/>
            <w:r>
              <w:rPr>
                <w:b w:val="0"/>
                <w:sz w:val="18"/>
              </w:rPr>
              <w:t>Nombre de points</w:t>
            </w:r>
          </w:p>
        </w:tc>
        <w:tc>
          <w:tcPr>
            <w:tcW w:type="dxa" w:w="5043"/>
            <w:vAlign w:val="center"/>
          </w:tcPr>
          <w:p>
            <w:r/>
            <w:r>
              <w:rPr>
                <w:b w:val="0"/>
                <w:sz w:val="18"/>
              </w:rPr>
              <w:t>960 heures</w:t>
            </w:r>
          </w:p>
        </w:tc>
      </w:tr>
      <w:tr>
        <w:tc>
          <w:tcPr>
            <w:tcW w:type="dxa" w:w="5043"/>
            <w:vAlign w:val="center"/>
          </w:tcPr>
          <w:p>
            <w:r/>
            <w:r>
              <w:rPr>
                <w:b w:val="0"/>
                <w:sz w:val="18"/>
              </w:rPr>
              <w:t>Température extérieure moyenne</w:t>
            </w:r>
          </w:p>
        </w:tc>
        <w:tc>
          <w:tcPr>
            <w:tcW w:type="dxa" w:w="5043"/>
            <w:vAlign w:val="center"/>
          </w:tcPr>
          <w:p>
            <w:r/>
            <w:r>
              <w:rPr>
                <w:b w:val="0"/>
                <w:sz w:val="18"/>
              </w:rPr>
              <w:t>23.11 °C</w:t>
            </w:r>
          </w:p>
        </w:tc>
      </w:tr>
      <w:tr>
        <w:tc>
          <w:tcPr>
            <w:tcW w:type="dxa" w:w="5043"/>
            <w:vAlign w:val="center"/>
          </w:tcPr>
          <w:p>
            <w:r/>
            <w:r>
              <w:rPr>
                <w:b w:val="0"/>
                <w:sz w:val="18"/>
              </w:rPr>
              <w:t>Température intérieure moyenne AB/CD</w:t>
            </w:r>
          </w:p>
        </w:tc>
        <w:tc>
          <w:tcPr>
            <w:tcW w:type="dxa" w:w="5043"/>
            <w:vAlign w:val="center"/>
          </w:tcPr>
          <w:p>
            <w:r/>
            <w:r>
              <w:rPr>
                <w:b w:val="0"/>
                <w:sz w:val="18"/>
              </w:rPr>
              <w:t>26.21 °C</w:t>
            </w:r>
          </w:p>
        </w:tc>
      </w:tr>
      <w:tr>
        <w:tc>
          <w:tcPr>
            <w:tcW w:type="dxa" w:w="5043"/>
            <w:vAlign w:val="center"/>
          </w:tcPr>
          <w:p>
            <w:r/>
            <w:r>
              <w:rPr>
                <w:b w:val="0"/>
                <w:sz w:val="18"/>
              </w:rPr>
              <w:t>Température intérieure maximale AB/CD</w:t>
            </w:r>
          </w:p>
        </w:tc>
        <w:tc>
          <w:tcPr>
            <w:tcW w:type="dxa" w:w="5043"/>
            <w:vAlign w:val="center"/>
          </w:tcPr>
          <w:p>
            <w:r/>
            <w:r>
              <w:rPr>
                <w:b w:val="0"/>
                <w:sz w:val="18"/>
              </w:rPr>
              <w:t>32.70 °C</w:t>
            </w:r>
          </w:p>
        </w:tc>
      </w:tr>
      <w:tr>
        <w:tc>
          <w:tcPr>
            <w:tcW w:type="dxa" w:w="5043"/>
            <w:vAlign w:val="center"/>
          </w:tcPr>
          <w:p>
            <w:r/>
            <w:r>
              <w:rPr>
                <w:b w:val="0"/>
                <w:sz w:val="18"/>
              </w:rPr>
              <w:t>Écart moyen intérieur - extérieur</w:t>
            </w:r>
          </w:p>
        </w:tc>
        <w:tc>
          <w:tcPr>
            <w:tcW w:type="dxa" w:w="5043"/>
            <w:vAlign w:val="center"/>
          </w:tcPr>
          <w:p>
            <w:r/>
            <w:r>
              <w:rPr>
                <w:b w:val="0"/>
                <w:sz w:val="18"/>
              </w:rPr>
              <w:t>3.10 °C</w:t>
            </w:r>
          </w:p>
        </w:tc>
      </w:tr>
    </w:tbl>
    <w:p/>
    <w:p>
      <w:pPr>
        <w:jc w:val="center"/>
      </w:pPr>
      <w:r>
        <w:rPr>
          <w:rFonts w:ascii="Aptos" w:hAnsi="Aptos"/>
        </w:rPr>
        <w:drawing>
          <wp:inline xmlns:a="http://schemas.openxmlformats.org/drawingml/2006/main" xmlns:pic="http://schemas.openxmlformats.org/drawingml/2006/picture">
            <wp:extent cx="5616000" cy="2542890"/>
            <wp:docPr id="1" name="Picture 1"/>
            <wp:cNvGraphicFramePr>
              <a:graphicFrameLocks noChangeAspect="1"/>
            </wp:cNvGraphicFramePr>
            <a:graphic>
              <a:graphicData uri="http://schemas.openxmlformats.org/drawingml/2006/picture">
                <pic:pic>
                  <pic:nvPicPr>
                    <pic:cNvPr id="0" name="fig01_mesures_reelles.png"/>
                    <pic:cNvPicPr/>
                  </pic:nvPicPr>
                  <pic:blipFill>
                    <a:blip r:embed="rId11"/>
                    <a:stretch>
                      <a:fillRect/>
                    </a:stretch>
                  </pic:blipFill>
                  <pic:spPr>
                    <a:xfrm>
                      <a:off x="0" y="0"/>
                      <a:ext cx="5616000" cy="2542890"/>
                    </a:xfrm>
                    <a:prstGeom prst="rect"/>
                  </pic:spPr>
                </pic:pic>
              </a:graphicData>
            </a:graphic>
          </wp:inline>
        </w:drawing>
      </w:r>
    </w:p>
    <w:p>
      <w:pPr>
        <w:pStyle w:val="Caption"/>
        <w:jc w:val="center"/>
      </w:pPr>
      <w:r>
        <w:rPr>
          <w:rFonts w:ascii="Aptos" w:hAnsi="Aptos"/>
        </w:rPr>
        <w:t>Figure 1 - Mesures réelles retenues après arrêt du chauffage collectif.</w:t>
      </w:r>
    </w:p>
    <w:p>
      <w:pPr>
        <w:pStyle w:val="Heading1"/>
      </w:pPr>
      <w:r>
        <w:rPr>
          <w:rFonts w:ascii="Aptos" w:hAnsi="Aptos"/>
        </w:rPr>
        <w:t>3. Modèle thermique dynamique RC</w:t>
      </w:r>
    </w:p>
    <w:p>
      <w:r>
        <w:rPr>
          <w:rFonts w:ascii="Aptos" w:hAnsi="Aptos"/>
        </w:rPr>
        <w:t>Le bâtiment ne réagit pas instantanément à la température extérieure. Les dalles, voiles béton, façades et volumes intérieurs stockent la chaleur puis la restituent, en particulier la nuit. Un modèle RC dynamique est donc plus pertinent qu’un bilan statique pour représenter le comportement observé.</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6"/>
      </w:tblGrid>
      <w:tr>
        <w:tc>
          <w:tcPr>
            <w:tcW w:type="dxa" w:w="9071"/>
            <w:shd w:fill="EEF5FB"/>
          </w:tcPr>
          <w:p>
            <w:r/>
            <w:r>
              <w:rPr>
                <w:b/>
                <w:color w:val="1F4E79"/>
                <w:sz w:val="20"/>
              </w:rPr>
              <w:t>Principe de modélisation</w:t>
            </w:r>
          </w:p>
          <w:p>
            <w:pPr>
              <w:spacing w:before="60"/>
            </w:pPr>
            <w:r>
              <w:rPr>
                <w:sz w:val="18"/>
              </w:rPr>
              <w:t>Le modèle décrit une température intérieure moyenne de résidence. Il ne remplace pas une simulation par logement, par façade ou par étage. Le dimensionnement doit donc rester prudent, notamment pour les derniers niveaux, les logements très exposés et les appartements encore en simple vitrage.</w:t>
            </w:r>
          </w:p>
        </w:tc>
      </w:tr>
    </w:tbl>
    <w:p/>
    <w:p>
      <w:r>
        <w:rPr>
          <w:rFonts w:ascii="Aptos" w:hAnsi="Aptos"/>
        </w:rPr>
        <w:t>Forme discrète utilisée pour la dynamique horaire :</w:t>
      </w:r>
    </w:p>
    <w:p>
      <w:pPr>
        <w:jc w:val="center"/>
      </w:pPr>
      <w:r>
        <w:rPr>
          <w:rFonts w:ascii="Aptos" w:hAnsi="Aptos"/>
          <w:b/>
        </w:rPr>
        <w:t>T_int(t+1) = T_int(t) + a · [T_ext(t) - T_int(t)] + b · Ray(t) + c - Q_froid(t) / C</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3"/>
        <w:gridCol w:w="5043"/>
      </w:tblGrid>
      <w:tr>
        <w:tc>
          <w:tcPr>
            <w:tcW w:type="dxa" w:w="2268"/>
            <w:shd w:fill="D9EAF7"/>
            <w:vAlign w:val="center"/>
          </w:tcPr>
          <w:p>
            <w:r/>
            <w:r>
              <w:rPr>
                <w:b/>
                <w:color w:val="000000"/>
                <w:sz w:val="18"/>
              </w:rPr>
              <w:t>Terme</w:t>
            </w:r>
          </w:p>
        </w:tc>
        <w:tc>
          <w:tcPr>
            <w:tcW w:type="dxa" w:w="6803"/>
            <w:shd w:fill="D9EAF7"/>
            <w:vAlign w:val="center"/>
          </w:tcPr>
          <w:p>
            <w:r/>
            <w:r>
              <w:rPr>
                <w:b/>
                <w:color w:val="000000"/>
                <w:sz w:val="18"/>
              </w:rPr>
              <w:t>Lecture</w:t>
            </w:r>
          </w:p>
        </w:tc>
      </w:tr>
      <w:tr>
        <w:tc>
          <w:tcPr>
            <w:tcW w:type="dxa" w:w="5043"/>
            <w:vAlign w:val="center"/>
          </w:tcPr>
          <w:p>
            <w:r/>
            <w:r>
              <w:rPr>
                <w:b w:val="0"/>
                <w:sz w:val="18"/>
              </w:rPr>
              <w:t>T_int</w:t>
            </w:r>
          </w:p>
        </w:tc>
        <w:tc>
          <w:tcPr>
            <w:tcW w:type="dxa" w:w="5043"/>
            <w:vAlign w:val="center"/>
          </w:tcPr>
          <w:p>
            <w:r/>
            <w:r>
              <w:rPr>
                <w:b w:val="0"/>
                <w:sz w:val="18"/>
              </w:rPr>
              <w:t>Température intérieure moyenne simulée</w:t>
            </w:r>
          </w:p>
        </w:tc>
      </w:tr>
      <w:tr>
        <w:tc>
          <w:tcPr>
            <w:tcW w:type="dxa" w:w="5043"/>
            <w:vAlign w:val="center"/>
          </w:tcPr>
          <w:p>
            <w:r/>
            <w:r>
              <w:rPr>
                <w:b w:val="0"/>
                <w:sz w:val="18"/>
              </w:rPr>
              <w:t>T_ext</w:t>
            </w:r>
          </w:p>
        </w:tc>
        <w:tc>
          <w:tcPr>
            <w:tcW w:type="dxa" w:w="5043"/>
            <w:vAlign w:val="center"/>
          </w:tcPr>
          <w:p>
            <w:r/>
            <w:r>
              <w:rPr>
                <w:b w:val="0"/>
                <w:sz w:val="18"/>
              </w:rPr>
              <w:t>Température extérieure mesurée ou translatée pour le scénario climatique</w:t>
            </w:r>
          </w:p>
        </w:tc>
      </w:tr>
      <w:tr>
        <w:tc>
          <w:tcPr>
            <w:tcW w:type="dxa" w:w="5043"/>
            <w:vAlign w:val="center"/>
          </w:tcPr>
          <w:p>
            <w:r/>
            <w:r>
              <w:rPr>
                <w:b w:val="0"/>
                <w:sz w:val="18"/>
              </w:rPr>
              <w:t>Ray</w:t>
            </w:r>
          </w:p>
        </w:tc>
        <w:tc>
          <w:tcPr>
            <w:tcW w:type="dxa" w:w="5043"/>
            <w:vAlign w:val="center"/>
          </w:tcPr>
          <w:p>
            <w:r/>
            <w:r>
              <w:rPr>
                <w:b w:val="0"/>
                <w:sz w:val="18"/>
              </w:rPr>
              <w:t>Rayonnement direct normal utilisé comme proxy d’apport solaire</w:t>
            </w:r>
          </w:p>
        </w:tc>
      </w:tr>
      <w:tr>
        <w:tc>
          <w:tcPr>
            <w:tcW w:type="dxa" w:w="5043"/>
            <w:vAlign w:val="center"/>
          </w:tcPr>
          <w:p>
            <w:r/>
            <w:r>
              <w:rPr>
                <w:b w:val="0"/>
                <w:sz w:val="18"/>
              </w:rPr>
              <w:t>Q_froid</w:t>
            </w:r>
          </w:p>
        </w:tc>
        <w:tc>
          <w:tcPr>
            <w:tcW w:type="dxa" w:w="5043"/>
            <w:vAlign w:val="center"/>
          </w:tcPr>
          <w:p>
            <w:r/>
            <w:r>
              <w:rPr>
                <w:b w:val="0"/>
                <w:sz w:val="18"/>
              </w:rPr>
              <w:t>Puissance froide appliquée au modèle</w:t>
            </w:r>
          </w:p>
        </w:tc>
      </w:tr>
      <w:tr>
        <w:tc>
          <w:tcPr>
            <w:tcW w:type="dxa" w:w="5043"/>
            <w:vAlign w:val="center"/>
          </w:tcPr>
          <w:p>
            <w:r/>
            <w:r>
              <w:rPr>
                <w:b w:val="0"/>
                <w:sz w:val="18"/>
              </w:rPr>
              <w:t>C</w:t>
            </w:r>
          </w:p>
        </w:tc>
        <w:tc>
          <w:tcPr>
            <w:tcW w:type="dxa" w:w="5043"/>
            <w:vAlign w:val="center"/>
          </w:tcPr>
          <w:p>
            <w:r/>
            <w:r>
              <w:rPr>
                <w:b w:val="0"/>
                <w:sz w:val="18"/>
              </w:rPr>
              <w:t>Capacité thermique apparente totale</w:t>
            </w:r>
          </w:p>
        </w:tc>
      </w:tr>
    </w:tbl>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3"/>
        <w:gridCol w:w="5043"/>
      </w:tblGrid>
      <w:tr>
        <w:tc>
          <w:tcPr>
            <w:tcW w:type="dxa" w:w="3969"/>
            <w:shd w:fill="D9EAF7"/>
            <w:vAlign w:val="center"/>
          </w:tcPr>
          <w:p>
            <w:r/>
            <w:r>
              <w:rPr>
                <w:b/>
                <w:color w:val="000000"/>
                <w:sz w:val="18"/>
              </w:rPr>
              <w:t>Grandeur</w:t>
            </w:r>
          </w:p>
        </w:tc>
        <w:tc>
          <w:tcPr>
            <w:tcW w:type="dxa" w:w="5102"/>
            <w:shd w:fill="D9EAF7"/>
            <w:vAlign w:val="center"/>
          </w:tcPr>
          <w:p>
            <w:r/>
            <w:r>
              <w:rPr>
                <w:b/>
                <w:color w:val="000000"/>
                <w:sz w:val="18"/>
              </w:rPr>
              <w:t>Valeur retenue</w:t>
            </w:r>
          </w:p>
        </w:tc>
      </w:tr>
      <w:tr>
        <w:tc>
          <w:tcPr>
            <w:tcW w:type="dxa" w:w="5043"/>
            <w:vAlign w:val="center"/>
          </w:tcPr>
          <w:p>
            <w:r/>
            <w:r>
              <w:rPr>
                <w:b w:val="0"/>
                <w:sz w:val="18"/>
              </w:rPr>
              <w:t>Capacité thermique surfacique centrale</w:t>
            </w:r>
          </w:p>
        </w:tc>
        <w:tc>
          <w:tcPr>
            <w:tcW w:type="dxa" w:w="5043"/>
            <w:vAlign w:val="center"/>
          </w:tcPr>
          <w:p>
            <w:r/>
            <w:r>
              <w:rPr>
                <w:b w:val="0"/>
                <w:sz w:val="18"/>
              </w:rPr>
              <w:t>120 Wh/m².K</w:t>
            </w:r>
          </w:p>
        </w:tc>
      </w:tr>
      <w:tr>
        <w:tc>
          <w:tcPr>
            <w:tcW w:type="dxa" w:w="5043"/>
            <w:vAlign w:val="center"/>
          </w:tcPr>
          <w:p>
            <w:r/>
            <w:r>
              <w:rPr>
                <w:b w:val="0"/>
                <w:sz w:val="18"/>
              </w:rPr>
              <w:t>Capacité thermique totale centrale</w:t>
            </w:r>
          </w:p>
        </w:tc>
        <w:tc>
          <w:tcPr>
            <w:tcW w:type="dxa" w:w="5043"/>
            <w:vAlign w:val="center"/>
          </w:tcPr>
          <w:p>
            <w:r/>
            <w:r>
              <w:rPr>
                <w:b w:val="0"/>
                <w:sz w:val="18"/>
              </w:rPr>
              <w:t>4,22 MWh/K</w:t>
            </w:r>
          </w:p>
        </w:tc>
      </w:tr>
      <w:tr>
        <w:tc>
          <w:tcPr>
            <w:tcW w:type="dxa" w:w="5043"/>
            <w:vAlign w:val="center"/>
          </w:tcPr>
          <w:p>
            <w:r/>
            <w:r>
              <w:rPr>
                <w:b w:val="0"/>
                <w:sz w:val="18"/>
              </w:rPr>
              <w:t>Constante de temps apparente</w:t>
            </w:r>
          </w:p>
        </w:tc>
        <w:tc>
          <w:tcPr>
            <w:tcW w:type="dxa" w:w="5043"/>
            <w:vAlign w:val="center"/>
          </w:tcPr>
          <w:p>
            <w:r/>
            <w:r>
              <w:rPr>
                <w:b w:val="0"/>
                <w:sz w:val="18"/>
              </w:rPr>
              <w:t>Ordre de grandeur 11,5 à 13,7 jours selon le jeu d’identification</w:t>
            </w:r>
          </w:p>
        </w:tc>
      </w:tr>
      <w:tr>
        <w:tc>
          <w:tcPr>
            <w:tcW w:type="dxa" w:w="5043"/>
            <w:vAlign w:val="center"/>
          </w:tcPr>
          <w:p>
            <w:r/>
            <w:r>
              <w:rPr>
                <w:b w:val="0"/>
                <w:sz w:val="18"/>
              </w:rPr>
              <w:t>Déphasage apparent long</w:t>
            </w:r>
          </w:p>
        </w:tc>
        <w:tc>
          <w:tcPr>
            <w:tcW w:type="dxa" w:w="5043"/>
            <w:vAlign w:val="center"/>
          </w:tcPr>
          <w:p>
            <w:r/>
            <w:r>
              <w:rPr>
                <w:b w:val="0"/>
                <w:sz w:val="18"/>
              </w:rPr>
              <w:t>Environ 51 h sur la tendance lente</w:t>
            </w:r>
          </w:p>
        </w:tc>
      </w:tr>
      <w:tr>
        <w:tc>
          <w:tcPr>
            <w:tcW w:type="dxa" w:w="5043"/>
            <w:vAlign w:val="center"/>
          </w:tcPr>
          <w:p>
            <w:r/>
            <w:r>
              <w:rPr>
                <w:b w:val="0"/>
                <w:sz w:val="18"/>
              </w:rPr>
              <w:t>Réponse journalière courte</w:t>
            </w:r>
          </w:p>
        </w:tc>
        <w:tc>
          <w:tcPr>
            <w:tcW w:type="dxa" w:w="5043"/>
            <w:vAlign w:val="center"/>
          </w:tcPr>
          <w:p>
            <w:r/>
            <w:r>
              <w:rPr>
                <w:b w:val="0"/>
                <w:sz w:val="18"/>
              </w:rPr>
              <w:t>Environ 3 h sur le cycle jour/nuit après retrait de tendance</w:t>
            </w:r>
          </w:p>
        </w:tc>
      </w:tr>
    </w:tbl>
    <w:p/>
    <w:p>
      <w:pPr>
        <w:pStyle w:val="Heading1"/>
      </w:pPr>
      <w:r>
        <w:rPr>
          <w:rFonts w:ascii="Aptos" w:hAnsi="Aptos"/>
        </w:rPr>
        <w:t>4. Mesures réelles et diagnostic de surchauffe</w:t>
      </w:r>
    </w:p>
    <w:p>
      <w:r>
        <w:rPr>
          <w:rFonts w:ascii="Aptos" w:hAnsi="Aptos"/>
        </w:rPr>
        <w:t>Le point le plus important des mesures n’est pas uniquement le maximum horaire. Le comportement critique est l’accumulation : la température intérieure reste élevée quand la température extérieure baisse. C’est cette inertie qui rend les chambres difficiles à ramener à un niveau compatible avec le sommeil.</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2"/>
        <w:gridCol w:w="3362"/>
        <w:gridCol w:w="3362"/>
      </w:tblGrid>
      <w:tr>
        <w:tc>
          <w:tcPr>
            <w:tcW w:type="dxa" w:w="2835"/>
            <w:shd w:fill="D9EAF7"/>
            <w:vAlign w:val="center"/>
          </w:tcPr>
          <w:p>
            <w:r/>
            <w:r>
              <w:rPr>
                <w:b/>
                <w:color w:val="000000"/>
                <w:sz w:val="18"/>
              </w:rPr>
              <w:t>Seuil intérieur mesuré</w:t>
            </w:r>
          </w:p>
        </w:tc>
        <w:tc>
          <w:tcPr>
            <w:tcW w:type="dxa" w:w="2835"/>
            <w:shd w:fill="D9EAF7"/>
            <w:vAlign w:val="center"/>
          </w:tcPr>
          <w:p>
            <w:r/>
            <w:r>
              <w:rPr>
                <w:b/>
                <w:color w:val="000000"/>
                <w:sz w:val="18"/>
              </w:rPr>
              <w:t>Heures de dépassement</w:t>
            </w:r>
          </w:p>
        </w:tc>
        <w:tc>
          <w:tcPr>
            <w:tcW w:type="dxa" w:w="2835"/>
            <w:shd w:fill="D9EAF7"/>
            <w:vAlign w:val="center"/>
          </w:tcPr>
          <w:p>
            <w:r/>
            <w:r>
              <w:rPr>
                <w:b/>
                <w:color w:val="000000"/>
                <w:sz w:val="18"/>
              </w:rPr>
              <w:t>Part de la période</w:t>
            </w:r>
          </w:p>
        </w:tc>
      </w:tr>
      <w:tr>
        <w:tc>
          <w:tcPr>
            <w:tcW w:type="dxa" w:w="3362"/>
            <w:vAlign w:val="center"/>
          </w:tcPr>
          <w:p>
            <w:r/>
            <w:r>
              <w:rPr>
                <w:b w:val="0"/>
                <w:sz w:val="18"/>
              </w:rPr>
              <w:t>&gt;24 °C</w:t>
            </w:r>
          </w:p>
        </w:tc>
        <w:tc>
          <w:tcPr>
            <w:tcW w:type="dxa" w:w="3362"/>
            <w:vAlign w:val="center"/>
          </w:tcPr>
          <w:p>
            <w:r/>
            <w:r>
              <w:rPr>
                <w:b w:val="0"/>
                <w:sz w:val="18"/>
              </w:rPr>
              <w:t>657</w:t>
            </w:r>
          </w:p>
        </w:tc>
        <w:tc>
          <w:tcPr>
            <w:tcW w:type="dxa" w:w="3362"/>
            <w:vAlign w:val="center"/>
          </w:tcPr>
          <w:p>
            <w:r/>
            <w:r>
              <w:rPr>
                <w:b w:val="0"/>
                <w:sz w:val="18"/>
              </w:rPr>
              <w:t>68.4 %</w:t>
            </w:r>
          </w:p>
        </w:tc>
      </w:tr>
      <w:tr>
        <w:tc>
          <w:tcPr>
            <w:tcW w:type="dxa" w:w="3362"/>
            <w:vAlign w:val="center"/>
          </w:tcPr>
          <w:p>
            <w:r/>
            <w:r>
              <w:rPr>
                <w:b w:val="0"/>
                <w:sz w:val="18"/>
              </w:rPr>
              <w:t>&gt;26 °C</w:t>
            </w:r>
          </w:p>
        </w:tc>
        <w:tc>
          <w:tcPr>
            <w:tcW w:type="dxa" w:w="3362"/>
            <w:vAlign w:val="center"/>
          </w:tcPr>
          <w:p>
            <w:r/>
            <w:r>
              <w:rPr>
                <w:b w:val="0"/>
                <w:sz w:val="18"/>
              </w:rPr>
              <w:t>483</w:t>
            </w:r>
          </w:p>
        </w:tc>
        <w:tc>
          <w:tcPr>
            <w:tcW w:type="dxa" w:w="3362"/>
            <w:vAlign w:val="center"/>
          </w:tcPr>
          <w:p>
            <w:r/>
            <w:r>
              <w:rPr>
                <w:b w:val="0"/>
                <w:sz w:val="18"/>
              </w:rPr>
              <w:t>50.3 %</w:t>
            </w:r>
          </w:p>
        </w:tc>
      </w:tr>
      <w:tr>
        <w:tc>
          <w:tcPr>
            <w:tcW w:type="dxa" w:w="3362"/>
            <w:vAlign w:val="center"/>
          </w:tcPr>
          <w:p>
            <w:r/>
            <w:r>
              <w:rPr>
                <w:b w:val="0"/>
                <w:sz w:val="18"/>
              </w:rPr>
              <w:t>&gt;28 °C</w:t>
            </w:r>
          </w:p>
        </w:tc>
        <w:tc>
          <w:tcPr>
            <w:tcW w:type="dxa" w:w="3362"/>
            <w:vAlign w:val="center"/>
          </w:tcPr>
          <w:p>
            <w:r/>
            <w:r>
              <w:rPr>
                <w:b w:val="0"/>
                <w:sz w:val="18"/>
              </w:rPr>
              <w:t>276</w:t>
            </w:r>
          </w:p>
        </w:tc>
        <w:tc>
          <w:tcPr>
            <w:tcW w:type="dxa" w:w="3362"/>
            <w:vAlign w:val="center"/>
          </w:tcPr>
          <w:p>
            <w:r/>
            <w:r>
              <w:rPr>
                <w:b w:val="0"/>
                <w:sz w:val="18"/>
              </w:rPr>
              <w:t>28.7 %</w:t>
            </w:r>
          </w:p>
        </w:tc>
      </w:tr>
      <w:tr>
        <w:tc>
          <w:tcPr>
            <w:tcW w:type="dxa" w:w="3362"/>
            <w:vAlign w:val="center"/>
          </w:tcPr>
          <w:p>
            <w:r/>
            <w:r>
              <w:rPr>
                <w:b w:val="0"/>
                <w:sz w:val="18"/>
              </w:rPr>
              <w:t>&gt;30 °C</w:t>
            </w:r>
          </w:p>
        </w:tc>
        <w:tc>
          <w:tcPr>
            <w:tcW w:type="dxa" w:w="3362"/>
            <w:vAlign w:val="center"/>
          </w:tcPr>
          <w:p>
            <w:r/>
            <w:r>
              <w:rPr>
                <w:b w:val="0"/>
                <w:sz w:val="18"/>
              </w:rPr>
              <w:t>136</w:t>
            </w:r>
          </w:p>
        </w:tc>
        <w:tc>
          <w:tcPr>
            <w:tcW w:type="dxa" w:w="3362"/>
            <w:vAlign w:val="center"/>
          </w:tcPr>
          <w:p>
            <w:r/>
            <w:r>
              <w:rPr>
                <w:b w:val="0"/>
                <w:sz w:val="18"/>
              </w:rPr>
              <w:t>14.2 %</w:t>
            </w:r>
          </w:p>
        </w:tc>
      </w:tr>
      <w:tr>
        <w:tc>
          <w:tcPr>
            <w:tcW w:type="dxa" w:w="3362"/>
            <w:vAlign w:val="center"/>
          </w:tcPr>
          <w:p>
            <w:r/>
            <w:r>
              <w:rPr>
                <w:b w:val="0"/>
                <w:sz w:val="18"/>
              </w:rPr>
              <w:t>&gt;32 °C</w:t>
            </w:r>
          </w:p>
        </w:tc>
        <w:tc>
          <w:tcPr>
            <w:tcW w:type="dxa" w:w="3362"/>
            <w:vAlign w:val="center"/>
          </w:tcPr>
          <w:p>
            <w:r/>
            <w:r>
              <w:rPr>
                <w:b w:val="0"/>
                <w:sz w:val="18"/>
              </w:rPr>
              <w:t>33</w:t>
            </w:r>
          </w:p>
        </w:tc>
        <w:tc>
          <w:tcPr>
            <w:tcW w:type="dxa" w:w="3362"/>
            <w:vAlign w:val="center"/>
          </w:tcPr>
          <w:p>
            <w:r/>
            <w:r>
              <w:rPr>
                <w:b w:val="0"/>
                <w:sz w:val="18"/>
              </w:rPr>
              <w:t>3.4 %</w:t>
            </w:r>
          </w:p>
        </w:tc>
      </w:tr>
    </w:tbl>
    <w:p/>
    <w:p>
      <w:pPr>
        <w:pStyle w:val="Heading1"/>
      </w:pPr>
      <w:r>
        <w:rPr>
          <w:rFonts w:ascii="Aptos" w:hAnsi="Aptos"/>
        </w:rPr>
        <w:t>5. Projection sans rafraîchissement et inconfort nocturne</w:t>
      </w:r>
    </w:p>
    <w:p>
      <w:r>
        <w:rPr>
          <w:rFonts w:ascii="Aptos" w:hAnsi="Aptos"/>
        </w:rPr>
        <w:t>La projection libre applique une translation climatique à la température extérieure tout en conservant la structure horaire du CSV. Elle sert à répondre à une question simple : que devient le bâtiment si aucune solution collective de rafraîchissement n’est disponible ?</w:t>
      </w:r>
    </w:p>
    <w:p>
      <w:pPr>
        <w:jc w:val="center"/>
      </w:pPr>
      <w:r>
        <w:rPr>
          <w:rFonts w:ascii="Aptos" w:hAnsi="Aptos"/>
        </w:rPr>
        <w:drawing>
          <wp:inline xmlns:a="http://schemas.openxmlformats.org/drawingml/2006/main" xmlns:pic="http://schemas.openxmlformats.org/drawingml/2006/picture">
            <wp:extent cx="5616000" cy="2542890"/>
            <wp:docPr id="2" name="Picture 2"/>
            <wp:cNvGraphicFramePr>
              <a:graphicFrameLocks noChangeAspect="1"/>
            </wp:cNvGraphicFramePr>
            <a:graphic>
              <a:graphicData uri="http://schemas.openxmlformats.org/drawingml/2006/picture">
                <pic:pic>
                  <pic:nvPicPr>
                    <pic:cNvPr id="0" name="fig02_temperatures_libres.png"/>
                    <pic:cNvPicPr/>
                  </pic:nvPicPr>
                  <pic:blipFill>
                    <a:blip r:embed="rId12"/>
                    <a:stretch>
                      <a:fillRect/>
                    </a:stretch>
                  </pic:blipFill>
                  <pic:spPr>
                    <a:xfrm>
                      <a:off x="0" y="0"/>
                      <a:ext cx="5616000" cy="2542890"/>
                    </a:xfrm>
                    <a:prstGeom prst="rect"/>
                  </pic:spPr>
                </pic:pic>
              </a:graphicData>
            </a:graphic>
          </wp:inline>
        </w:drawing>
      </w:r>
    </w:p>
    <w:p>
      <w:pPr>
        <w:pStyle w:val="Caption"/>
        <w:jc w:val="center"/>
      </w:pPr>
      <w:r>
        <w:rPr>
          <w:rFonts w:ascii="Aptos" w:hAnsi="Aptos"/>
        </w:rPr>
        <w:t>Figure 2 - Températures intérieures libres simulées sans rafraîchissement.</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61"/>
        <w:gridCol w:w="1261"/>
        <w:gridCol w:w="1261"/>
        <w:gridCol w:w="1261"/>
        <w:gridCol w:w="1261"/>
        <w:gridCol w:w="1261"/>
        <w:gridCol w:w="1261"/>
        <w:gridCol w:w="1261"/>
      </w:tblGrid>
      <w:tr>
        <w:tc>
          <w:tcPr>
            <w:tcW w:type="dxa" w:w="2494"/>
            <w:shd w:fill="D9EAF7"/>
            <w:vAlign w:val="center"/>
          </w:tcPr>
          <w:p>
            <w:r/>
            <w:r>
              <w:rPr>
                <w:b/>
                <w:color w:val="000000"/>
                <w:sz w:val="18"/>
              </w:rPr>
              <w:t>Scénario libre</w:t>
            </w:r>
          </w:p>
        </w:tc>
        <w:tc>
          <w:tcPr>
            <w:tcW w:type="dxa" w:w="1020"/>
            <w:shd w:fill="D9EAF7"/>
            <w:vAlign w:val="center"/>
          </w:tcPr>
          <w:p>
            <w:r/>
            <w:r>
              <w:rPr>
                <w:b/>
                <w:color w:val="000000"/>
                <w:sz w:val="18"/>
              </w:rPr>
              <w:t>Moyenne</w:t>
            </w:r>
          </w:p>
        </w:tc>
        <w:tc>
          <w:tcPr>
            <w:tcW w:type="dxa" w:w="1020"/>
            <w:shd w:fill="D9EAF7"/>
            <w:vAlign w:val="center"/>
          </w:tcPr>
          <w:p>
            <w:r/>
            <w:r>
              <w:rPr>
                <w:b/>
                <w:color w:val="000000"/>
                <w:sz w:val="18"/>
              </w:rPr>
              <w:t>Maximum</w:t>
            </w:r>
          </w:p>
        </w:tc>
        <w:tc>
          <w:tcPr>
            <w:tcW w:type="dxa" w:w="1020"/>
            <w:shd w:fill="D9EAF7"/>
            <w:vAlign w:val="center"/>
          </w:tcPr>
          <w:p>
            <w:r/>
            <w:r>
              <w:rPr>
                <w:b/>
                <w:color w:val="000000"/>
                <w:sz w:val="18"/>
              </w:rPr>
              <w:t>P95</w:t>
            </w:r>
          </w:p>
        </w:tc>
        <w:tc>
          <w:tcPr>
            <w:tcW w:type="dxa" w:w="794"/>
            <w:shd w:fill="D9EAF7"/>
            <w:vAlign w:val="center"/>
          </w:tcPr>
          <w:p>
            <w:r/>
            <w:r>
              <w:rPr>
                <w:b/>
                <w:color w:val="000000"/>
                <w:sz w:val="18"/>
              </w:rPr>
              <w:t>h&gt;26</w:t>
            </w:r>
          </w:p>
        </w:tc>
        <w:tc>
          <w:tcPr>
            <w:tcW w:type="dxa" w:w="794"/>
            <w:shd w:fill="D9EAF7"/>
            <w:vAlign w:val="center"/>
          </w:tcPr>
          <w:p>
            <w:r/>
            <w:r>
              <w:rPr>
                <w:b/>
                <w:color w:val="000000"/>
                <w:sz w:val="18"/>
              </w:rPr>
              <w:t>h&gt;28</w:t>
            </w:r>
          </w:p>
        </w:tc>
        <w:tc>
          <w:tcPr>
            <w:tcW w:type="dxa" w:w="794"/>
            <w:shd w:fill="D9EAF7"/>
            <w:vAlign w:val="center"/>
          </w:tcPr>
          <w:p>
            <w:r/>
            <w:r>
              <w:rPr>
                <w:b/>
                <w:color w:val="000000"/>
                <w:sz w:val="18"/>
              </w:rPr>
              <w:t>h&gt;30</w:t>
            </w:r>
          </w:p>
        </w:tc>
        <w:tc>
          <w:tcPr>
            <w:tcW w:type="dxa" w:w="794"/>
            <w:shd w:fill="D9EAF7"/>
            <w:vAlign w:val="center"/>
          </w:tcPr>
          <w:p>
            <w:r/>
            <w:r>
              <w:rPr>
                <w:b/>
                <w:color w:val="000000"/>
                <w:sz w:val="18"/>
              </w:rPr>
              <w:t>h&gt;32</w:t>
            </w:r>
          </w:p>
        </w:tc>
      </w:tr>
      <w:tr>
        <w:tc>
          <w:tcPr>
            <w:tcW w:type="dxa" w:w="1261"/>
            <w:vAlign w:val="center"/>
          </w:tcPr>
          <w:p>
            <w:r/>
            <w:r>
              <w:rPr>
                <w:b w:val="0"/>
                <w:sz w:val="18"/>
              </w:rPr>
              <w:t>2026 simulé</w:t>
            </w:r>
          </w:p>
        </w:tc>
        <w:tc>
          <w:tcPr>
            <w:tcW w:type="dxa" w:w="1261"/>
            <w:vAlign w:val="center"/>
          </w:tcPr>
          <w:p>
            <w:r/>
            <w:r>
              <w:rPr>
                <w:b w:val="0"/>
                <w:sz w:val="18"/>
              </w:rPr>
              <w:t>25.17 °C</w:t>
            </w:r>
          </w:p>
        </w:tc>
        <w:tc>
          <w:tcPr>
            <w:tcW w:type="dxa" w:w="1261"/>
            <w:vAlign w:val="center"/>
          </w:tcPr>
          <w:p>
            <w:r/>
            <w:r>
              <w:rPr>
                <w:b w:val="0"/>
                <w:sz w:val="18"/>
              </w:rPr>
              <w:t>31.66 °C</w:t>
            </w:r>
          </w:p>
        </w:tc>
        <w:tc>
          <w:tcPr>
            <w:tcW w:type="dxa" w:w="1261"/>
            <w:vAlign w:val="center"/>
          </w:tcPr>
          <w:p>
            <w:r/>
            <w:r>
              <w:rPr>
                <w:b w:val="0"/>
                <w:sz w:val="18"/>
              </w:rPr>
              <w:t>31.04 °C</w:t>
            </w:r>
          </w:p>
        </w:tc>
        <w:tc>
          <w:tcPr>
            <w:tcW w:type="dxa" w:w="1261"/>
            <w:vAlign w:val="center"/>
          </w:tcPr>
          <w:p>
            <w:r/>
            <w:r>
              <w:rPr>
                <w:b w:val="0"/>
                <w:sz w:val="18"/>
              </w:rPr>
              <w:t>410</w:t>
            </w:r>
          </w:p>
        </w:tc>
        <w:tc>
          <w:tcPr>
            <w:tcW w:type="dxa" w:w="1261"/>
            <w:vAlign w:val="center"/>
          </w:tcPr>
          <w:p>
            <w:r/>
            <w:r>
              <w:rPr>
                <w:b w:val="0"/>
                <w:sz w:val="18"/>
              </w:rPr>
              <w:t>185</w:t>
            </w:r>
          </w:p>
        </w:tc>
        <w:tc>
          <w:tcPr>
            <w:tcW w:type="dxa" w:w="1261"/>
            <w:vAlign w:val="center"/>
          </w:tcPr>
          <w:p>
            <w:r/>
            <w:r>
              <w:rPr>
                <w:b w:val="0"/>
                <w:sz w:val="18"/>
              </w:rPr>
              <w:t>139</w:t>
            </w:r>
          </w:p>
        </w:tc>
        <w:tc>
          <w:tcPr>
            <w:tcW w:type="dxa" w:w="1261"/>
            <w:vAlign w:val="center"/>
          </w:tcPr>
          <w:p>
            <w:r/>
            <w:r>
              <w:rPr>
                <w:b w:val="0"/>
                <w:sz w:val="18"/>
              </w:rPr>
              <w:t>0</w:t>
            </w:r>
          </w:p>
        </w:tc>
      </w:tr>
      <w:tr>
        <w:tc>
          <w:tcPr>
            <w:tcW w:type="dxa" w:w="1261"/>
            <w:vAlign w:val="center"/>
          </w:tcPr>
          <w:p>
            <w:r/>
            <w:r>
              <w:rPr>
                <w:b w:val="0"/>
                <w:sz w:val="18"/>
              </w:rPr>
              <w:t>2050 central +2,3 °C</w:t>
            </w:r>
          </w:p>
        </w:tc>
        <w:tc>
          <w:tcPr>
            <w:tcW w:type="dxa" w:w="1261"/>
            <w:vAlign w:val="center"/>
          </w:tcPr>
          <w:p>
            <w:r/>
            <w:r>
              <w:rPr>
                <w:b w:val="0"/>
                <w:sz w:val="18"/>
              </w:rPr>
              <w:t>26.83 °C</w:t>
            </w:r>
          </w:p>
        </w:tc>
        <w:tc>
          <w:tcPr>
            <w:tcW w:type="dxa" w:w="1261"/>
            <w:vAlign w:val="center"/>
          </w:tcPr>
          <w:p>
            <w:r/>
            <w:r>
              <w:rPr>
                <w:b w:val="0"/>
                <w:sz w:val="18"/>
              </w:rPr>
              <w:t>33.86 °C</w:t>
            </w:r>
          </w:p>
        </w:tc>
        <w:tc>
          <w:tcPr>
            <w:tcW w:type="dxa" w:w="1261"/>
            <w:vAlign w:val="center"/>
          </w:tcPr>
          <w:p>
            <w:r/>
            <w:r>
              <w:rPr>
                <w:b w:val="0"/>
                <w:sz w:val="18"/>
              </w:rPr>
              <w:t>33.25 °C</w:t>
            </w:r>
          </w:p>
        </w:tc>
        <w:tc>
          <w:tcPr>
            <w:tcW w:type="dxa" w:w="1261"/>
            <w:vAlign w:val="center"/>
          </w:tcPr>
          <w:p>
            <w:r/>
            <w:r>
              <w:rPr>
                <w:b w:val="0"/>
                <w:sz w:val="18"/>
              </w:rPr>
              <w:t>520</w:t>
            </w:r>
          </w:p>
        </w:tc>
        <w:tc>
          <w:tcPr>
            <w:tcW w:type="dxa" w:w="1261"/>
            <w:vAlign w:val="center"/>
          </w:tcPr>
          <w:p>
            <w:r/>
            <w:r>
              <w:rPr>
                <w:b w:val="0"/>
                <w:sz w:val="18"/>
              </w:rPr>
              <w:t>355</w:t>
            </w:r>
          </w:p>
        </w:tc>
        <w:tc>
          <w:tcPr>
            <w:tcW w:type="dxa" w:w="1261"/>
            <w:vAlign w:val="center"/>
          </w:tcPr>
          <w:p>
            <w:r/>
            <w:r>
              <w:rPr>
                <w:b w:val="0"/>
                <w:sz w:val="18"/>
              </w:rPr>
              <w:t>179</w:t>
            </w:r>
          </w:p>
        </w:tc>
        <w:tc>
          <w:tcPr>
            <w:tcW w:type="dxa" w:w="1261"/>
            <w:vAlign w:val="center"/>
          </w:tcPr>
          <w:p>
            <w:r/>
            <w:r>
              <w:rPr>
                <w:b w:val="0"/>
                <w:sz w:val="18"/>
              </w:rPr>
              <w:t>149</w:t>
            </w:r>
          </w:p>
        </w:tc>
      </w:tr>
      <w:tr>
        <w:tc>
          <w:tcPr>
            <w:tcW w:type="dxa" w:w="1261"/>
            <w:vAlign w:val="center"/>
          </w:tcPr>
          <w:p>
            <w:r/>
            <w:r>
              <w:rPr>
                <w:b w:val="0"/>
                <w:sz w:val="18"/>
              </w:rPr>
              <w:t>Stress +4,0 °C</w:t>
            </w:r>
          </w:p>
        </w:tc>
        <w:tc>
          <w:tcPr>
            <w:tcW w:type="dxa" w:w="1261"/>
            <w:vAlign w:val="center"/>
          </w:tcPr>
          <w:p>
            <w:r/>
            <w:r>
              <w:rPr>
                <w:b w:val="0"/>
                <w:sz w:val="18"/>
              </w:rPr>
              <w:t>28.06 °C</w:t>
            </w:r>
          </w:p>
        </w:tc>
        <w:tc>
          <w:tcPr>
            <w:tcW w:type="dxa" w:w="1261"/>
            <w:vAlign w:val="center"/>
          </w:tcPr>
          <w:p>
            <w:r/>
            <w:r>
              <w:rPr>
                <w:b w:val="0"/>
                <w:sz w:val="18"/>
              </w:rPr>
              <w:t>35.50 °C</w:t>
            </w:r>
          </w:p>
        </w:tc>
        <w:tc>
          <w:tcPr>
            <w:tcW w:type="dxa" w:w="1261"/>
            <w:vAlign w:val="center"/>
          </w:tcPr>
          <w:p>
            <w:r/>
            <w:r>
              <w:rPr>
                <w:b w:val="0"/>
                <w:sz w:val="18"/>
              </w:rPr>
              <w:t>34.90 °C</w:t>
            </w:r>
          </w:p>
        </w:tc>
        <w:tc>
          <w:tcPr>
            <w:tcW w:type="dxa" w:w="1261"/>
            <w:vAlign w:val="center"/>
          </w:tcPr>
          <w:p>
            <w:r/>
            <w:r>
              <w:rPr>
                <w:b w:val="0"/>
                <w:sz w:val="18"/>
              </w:rPr>
              <w:t>599</w:t>
            </w:r>
          </w:p>
        </w:tc>
        <w:tc>
          <w:tcPr>
            <w:tcW w:type="dxa" w:w="1261"/>
            <w:vAlign w:val="center"/>
          </w:tcPr>
          <w:p>
            <w:r/>
            <w:r>
              <w:rPr>
                <w:b w:val="0"/>
                <w:sz w:val="18"/>
              </w:rPr>
              <w:t>444</w:t>
            </w:r>
          </w:p>
        </w:tc>
        <w:tc>
          <w:tcPr>
            <w:tcW w:type="dxa" w:w="1261"/>
            <w:vAlign w:val="center"/>
          </w:tcPr>
          <w:p>
            <w:r/>
            <w:r>
              <w:rPr>
                <w:b w:val="0"/>
                <w:sz w:val="18"/>
              </w:rPr>
              <w:t>236</w:t>
            </w:r>
          </w:p>
        </w:tc>
        <w:tc>
          <w:tcPr>
            <w:tcW w:type="dxa" w:w="1261"/>
            <w:vAlign w:val="center"/>
          </w:tcPr>
          <w:p>
            <w:r/>
            <w:r>
              <w:rPr>
                <w:b w:val="0"/>
                <w:sz w:val="18"/>
              </w:rPr>
              <w:t>176</w:t>
            </w:r>
          </w:p>
        </w:tc>
      </w:tr>
    </w:tbl>
    <w:p/>
    <w:p>
      <w:pPr>
        <w:jc w:val="center"/>
      </w:pPr>
      <w:r>
        <w:rPr>
          <w:rFonts w:ascii="Aptos" w:hAnsi="Aptos"/>
        </w:rPr>
        <w:drawing>
          <wp:inline xmlns:a="http://schemas.openxmlformats.org/drawingml/2006/main" xmlns:pic="http://schemas.openxmlformats.org/drawingml/2006/picture">
            <wp:extent cx="5616000" cy="2533655"/>
            <wp:docPr id="3" name="Picture 3"/>
            <wp:cNvGraphicFramePr>
              <a:graphicFrameLocks noChangeAspect="1"/>
            </wp:cNvGraphicFramePr>
            <a:graphic>
              <a:graphicData uri="http://schemas.openxmlformats.org/drawingml/2006/picture">
                <pic:pic>
                  <pic:nvPicPr>
                    <pic:cNvPr id="0" name="fig03_heures_depassement.png"/>
                    <pic:cNvPicPr/>
                  </pic:nvPicPr>
                  <pic:blipFill>
                    <a:blip r:embed="rId13"/>
                    <a:stretch>
                      <a:fillRect/>
                    </a:stretch>
                  </pic:blipFill>
                  <pic:spPr>
                    <a:xfrm>
                      <a:off x="0" y="0"/>
                      <a:ext cx="5616000" cy="2533655"/>
                    </a:xfrm>
                    <a:prstGeom prst="rect"/>
                  </pic:spPr>
                </pic:pic>
              </a:graphicData>
            </a:graphic>
          </wp:inline>
        </w:drawing>
      </w:r>
    </w:p>
    <w:p>
      <w:pPr>
        <w:pStyle w:val="Caption"/>
        <w:jc w:val="center"/>
      </w:pPr>
      <w:r>
        <w:rPr>
          <w:rFonts w:ascii="Aptos" w:hAnsi="Aptos"/>
        </w:rPr>
        <w:t>Figure 3 - Heures de dépassement des seuils sans rafraîchissement.</w:t>
      </w:r>
    </w:p>
    <w:p>
      <w:pPr>
        <w:pStyle w:val="Heading2"/>
      </w:pPr>
      <w:r>
        <w:rPr>
          <w:rFonts w:ascii="Aptos" w:hAnsi="Aptos"/>
        </w:rPr>
        <w:t>5.1 Métrique d’inconfort retenue : nuits chaudes</w:t>
      </w:r>
    </w:p>
    <w:p>
      <w:r>
        <w:rPr>
          <w:rFonts w:ascii="Aptos" w:hAnsi="Aptos"/>
        </w:rPr>
        <w:t>La métrique en degrés-heures est utile pour un calcul d’ingénierie mais peu lisible pour une décision collective. La métrique retenue est donc le nombre de nuits chaudes.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6"/>
      </w:tblGrid>
      <w:tr>
        <w:tc>
          <w:tcPr>
            <w:tcW w:type="dxa" w:w="9071"/>
            <w:shd w:fill="EEF5FB"/>
          </w:tcPr>
          <w:p>
            <w:r/>
            <w:r>
              <w:rPr>
                <w:b/>
                <w:color w:val="1F4E79"/>
                <w:sz w:val="20"/>
              </w:rPr>
              <w:t>Définition de décision</w:t>
            </w:r>
          </w:p>
          <w:p>
            <w:pPr>
              <w:spacing w:before="60"/>
            </w:pPr>
            <w:r>
              <w:rPr>
                <w:sz w:val="18"/>
              </w:rPr>
              <w:t>Une nuit est analysée de 22 h à 7 h. Elle est comptée si la température intérieure dépasse un seuil pendant au moins 6 heures. Les seuils retenus sont 24 °C, 26 °C, 28 °C et 30 °C. La métrique répond directement à la question : combien de nuits restent durablement trop chaudes pour dormir ?</w:t>
            </w:r>
          </w:p>
        </w:tc>
      </w:tr>
    </w:tbl>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441"/>
        <w:gridCol w:w="1441"/>
        <w:gridCol w:w="1441"/>
        <w:gridCol w:w="1441"/>
        <w:gridCol w:w="1441"/>
        <w:gridCol w:w="1441"/>
        <w:gridCol w:w="1441"/>
      </w:tblGrid>
      <w:tr>
        <w:tc>
          <w:tcPr>
            <w:tcW w:type="dxa" w:w="2381"/>
            <w:shd w:fill="D9EAF7"/>
            <w:vAlign w:val="center"/>
          </w:tcPr>
          <w:p>
            <w:r/>
            <w:r>
              <w:rPr>
                <w:b/>
                <w:color w:val="000000"/>
                <w:sz w:val="18"/>
              </w:rPr>
              <w:t>Scénario libre</w:t>
            </w:r>
          </w:p>
        </w:tc>
        <w:tc>
          <w:tcPr>
            <w:tcW w:type="dxa" w:w="1191"/>
            <w:shd w:fill="D9EAF7"/>
            <w:vAlign w:val="center"/>
          </w:tcPr>
          <w:p>
            <w:r/>
            <w:r>
              <w:rPr>
                <w:b/>
                <w:color w:val="000000"/>
                <w:sz w:val="18"/>
              </w:rPr>
              <w:t>Nuits analysées</w:t>
            </w:r>
          </w:p>
        </w:tc>
        <w:tc>
          <w:tcPr>
            <w:tcW w:type="dxa" w:w="907"/>
            <w:shd w:fill="D9EAF7"/>
            <w:vAlign w:val="center"/>
          </w:tcPr>
          <w:p>
            <w:r/>
            <w:r>
              <w:rPr>
                <w:b/>
                <w:color w:val="000000"/>
                <w:sz w:val="18"/>
              </w:rPr>
              <w:t>&gt;24 °C</w:t>
            </w:r>
          </w:p>
        </w:tc>
        <w:tc>
          <w:tcPr>
            <w:tcW w:type="dxa" w:w="907"/>
            <w:shd w:fill="D9EAF7"/>
            <w:vAlign w:val="center"/>
          </w:tcPr>
          <w:p>
            <w:r/>
            <w:r>
              <w:rPr>
                <w:b/>
                <w:color w:val="000000"/>
                <w:sz w:val="18"/>
              </w:rPr>
              <w:t>&gt;26 °C</w:t>
            </w:r>
          </w:p>
        </w:tc>
        <w:tc>
          <w:tcPr>
            <w:tcW w:type="dxa" w:w="907"/>
            <w:shd w:fill="D9EAF7"/>
            <w:vAlign w:val="center"/>
          </w:tcPr>
          <w:p>
            <w:r/>
            <w:r>
              <w:rPr>
                <w:b/>
                <w:color w:val="000000"/>
                <w:sz w:val="18"/>
              </w:rPr>
              <w:t>&gt;28 °C</w:t>
            </w:r>
          </w:p>
        </w:tc>
        <w:tc>
          <w:tcPr>
            <w:tcW w:type="dxa" w:w="907"/>
            <w:shd w:fill="D9EAF7"/>
            <w:vAlign w:val="center"/>
          </w:tcPr>
          <w:p>
            <w:r/>
            <w:r>
              <w:rPr>
                <w:b/>
                <w:color w:val="000000"/>
                <w:sz w:val="18"/>
              </w:rPr>
              <w:t>&gt;30 °C</w:t>
            </w:r>
          </w:p>
        </w:tc>
        <w:tc>
          <w:tcPr>
            <w:tcW w:type="dxa" w:w="1134"/>
            <w:shd w:fill="D9EAF7"/>
            <w:vAlign w:val="center"/>
          </w:tcPr>
          <w:p>
            <w:r/>
            <w:r>
              <w:rPr>
                <w:b/>
                <w:color w:val="000000"/>
                <w:sz w:val="18"/>
              </w:rPr>
              <w:t>T max nocturne</w:t>
            </w:r>
          </w:p>
        </w:tc>
      </w:tr>
      <w:tr>
        <w:tc>
          <w:tcPr>
            <w:tcW w:type="dxa" w:w="1441"/>
            <w:vAlign w:val="center"/>
          </w:tcPr>
          <w:p>
            <w:r/>
            <w:r>
              <w:rPr>
                <w:b w:val="0"/>
                <w:sz w:val="18"/>
              </w:rPr>
              <w:t>2026 simulé</w:t>
            </w:r>
          </w:p>
        </w:tc>
        <w:tc>
          <w:tcPr>
            <w:tcW w:type="dxa" w:w="1441"/>
            <w:vAlign w:val="center"/>
          </w:tcPr>
          <w:p>
            <w:r/>
            <w:r>
              <w:rPr>
                <w:b w:val="0"/>
                <w:sz w:val="18"/>
              </w:rPr>
              <w:t>41</w:t>
            </w:r>
          </w:p>
        </w:tc>
        <w:tc>
          <w:tcPr>
            <w:tcW w:type="dxa" w:w="1441"/>
            <w:vAlign w:val="center"/>
          </w:tcPr>
          <w:p>
            <w:r/>
            <w:r>
              <w:rPr>
                <w:b w:val="0"/>
                <w:sz w:val="18"/>
              </w:rPr>
              <w:t>23</w:t>
            </w:r>
          </w:p>
        </w:tc>
        <w:tc>
          <w:tcPr>
            <w:tcW w:type="dxa" w:w="1441"/>
            <w:vAlign w:val="center"/>
          </w:tcPr>
          <w:p>
            <w:r/>
            <w:r>
              <w:rPr>
                <w:b w:val="0"/>
                <w:sz w:val="18"/>
              </w:rPr>
              <w:t>16</w:t>
            </w:r>
          </w:p>
        </w:tc>
        <w:tc>
          <w:tcPr>
            <w:tcW w:type="dxa" w:w="1441"/>
            <w:vAlign w:val="center"/>
          </w:tcPr>
          <w:p>
            <w:r/>
            <w:r>
              <w:rPr>
                <w:b w:val="0"/>
                <w:sz w:val="18"/>
              </w:rPr>
              <w:t>7</w:t>
            </w:r>
          </w:p>
        </w:tc>
        <w:tc>
          <w:tcPr>
            <w:tcW w:type="dxa" w:w="1441"/>
            <w:vAlign w:val="center"/>
          </w:tcPr>
          <w:p>
            <w:r/>
            <w:r>
              <w:rPr>
                <w:b w:val="0"/>
                <w:sz w:val="18"/>
              </w:rPr>
              <w:t>5</w:t>
            </w:r>
          </w:p>
        </w:tc>
        <w:tc>
          <w:tcPr>
            <w:tcW w:type="dxa" w:w="1441"/>
            <w:vAlign w:val="center"/>
          </w:tcPr>
          <w:p>
            <w:r/>
            <w:r>
              <w:rPr>
                <w:b w:val="0"/>
                <w:sz w:val="18"/>
              </w:rPr>
              <w:t>31.6 °C</w:t>
            </w:r>
          </w:p>
        </w:tc>
      </w:tr>
      <w:tr>
        <w:tc>
          <w:tcPr>
            <w:tcW w:type="dxa" w:w="1441"/>
            <w:vAlign w:val="center"/>
          </w:tcPr>
          <w:p>
            <w:r/>
            <w:r>
              <w:rPr>
                <w:b w:val="0"/>
                <w:sz w:val="18"/>
              </w:rPr>
              <w:t>2050 central +2,3 °C</w:t>
            </w:r>
          </w:p>
        </w:tc>
        <w:tc>
          <w:tcPr>
            <w:tcW w:type="dxa" w:w="1441"/>
            <w:vAlign w:val="center"/>
          </w:tcPr>
          <w:p>
            <w:r/>
            <w:r>
              <w:rPr>
                <w:b w:val="0"/>
                <w:sz w:val="18"/>
              </w:rPr>
              <w:t>41</w:t>
            </w:r>
          </w:p>
        </w:tc>
        <w:tc>
          <w:tcPr>
            <w:tcW w:type="dxa" w:w="1441"/>
            <w:vAlign w:val="center"/>
          </w:tcPr>
          <w:p>
            <w:r/>
            <w:r>
              <w:rPr>
                <w:b w:val="0"/>
                <w:sz w:val="18"/>
              </w:rPr>
              <w:t>28</w:t>
            </w:r>
          </w:p>
        </w:tc>
        <w:tc>
          <w:tcPr>
            <w:tcW w:type="dxa" w:w="1441"/>
            <w:vAlign w:val="center"/>
          </w:tcPr>
          <w:p>
            <w:r/>
            <w:r>
              <w:rPr>
                <w:b w:val="0"/>
                <w:sz w:val="18"/>
              </w:rPr>
              <w:t>21</w:t>
            </w:r>
          </w:p>
        </w:tc>
        <w:tc>
          <w:tcPr>
            <w:tcW w:type="dxa" w:w="1441"/>
            <w:vAlign w:val="center"/>
          </w:tcPr>
          <w:p>
            <w:r/>
            <w:r>
              <w:rPr>
                <w:b w:val="0"/>
                <w:sz w:val="18"/>
              </w:rPr>
              <w:t>15</w:t>
            </w:r>
          </w:p>
        </w:tc>
        <w:tc>
          <w:tcPr>
            <w:tcW w:type="dxa" w:w="1441"/>
            <w:vAlign w:val="center"/>
          </w:tcPr>
          <w:p>
            <w:r/>
            <w:r>
              <w:rPr>
                <w:b w:val="0"/>
                <w:sz w:val="18"/>
              </w:rPr>
              <w:t>7</w:t>
            </w:r>
          </w:p>
        </w:tc>
        <w:tc>
          <w:tcPr>
            <w:tcW w:type="dxa" w:w="1441"/>
            <w:vAlign w:val="center"/>
          </w:tcPr>
          <w:p>
            <w:r/>
            <w:r>
              <w:rPr>
                <w:b w:val="0"/>
                <w:sz w:val="18"/>
              </w:rPr>
              <w:t>33.8 °C</w:t>
            </w:r>
          </w:p>
        </w:tc>
      </w:tr>
      <w:tr>
        <w:tc>
          <w:tcPr>
            <w:tcW w:type="dxa" w:w="1441"/>
            <w:vAlign w:val="center"/>
          </w:tcPr>
          <w:p>
            <w:r/>
            <w:r>
              <w:rPr>
                <w:b w:val="0"/>
                <w:sz w:val="18"/>
              </w:rPr>
              <w:t>Stress +4,0 °C</w:t>
            </w:r>
          </w:p>
        </w:tc>
        <w:tc>
          <w:tcPr>
            <w:tcW w:type="dxa" w:w="1441"/>
            <w:vAlign w:val="center"/>
          </w:tcPr>
          <w:p>
            <w:r/>
            <w:r>
              <w:rPr>
                <w:b w:val="0"/>
                <w:sz w:val="18"/>
              </w:rPr>
              <w:t>41</w:t>
            </w:r>
          </w:p>
        </w:tc>
        <w:tc>
          <w:tcPr>
            <w:tcW w:type="dxa" w:w="1441"/>
            <w:vAlign w:val="center"/>
          </w:tcPr>
          <w:p>
            <w:r/>
            <w:r>
              <w:rPr>
                <w:b w:val="0"/>
                <w:sz w:val="18"/>
              </w:rPr>
              <w:t>33</w:t>
            </w:r>
          </w:p>
        </w:tc>
        <w:tc>
          <w:tcPr>
            <w:tcW w:type="dxa" w:w="1441"/>
            <w:vAlign w:val="center"/>
          </w:tcPr>
          <w:p>
            <w:r/>
            <w:r>
              <w:rPr>
                <w:b w:val="0"/>
                <w:sz w:val="18"/>
              </w:rPr>
              <w:t>24</w:t>
            </w:r>
          </w:p>
        </w:tc>
        <w:tc>
          <w:tcPr>
            <w:tcW w:type="dxa" w:w="1441"/>
            <w:vAlign w:val="center"/>
          </w:tcPr>
          <w:p>
            <w:r/>
            <w:r>
              <w:rPr>
                <w:b w:val="0"/>
                <w:sz w:val="18"/>
              </w:rPr>
              <w:t>18</w:t>
            </w:r>
          </w:p>
        </w:tc>
        <w:tc>
          <w:tcPr>
            <w:tcW w:type="dxa" w:w="1441"/>
            <w:vAlign w:val="center"/>
          </w:tcPr>
          <w:p>
            <w:r/>
            <w:r>
              <w:rPr>
                <w:b w:val="0"/>
                <w:sz w:val="18"/>
              </w:rPr>
              <w:t>10</w:t>
            </w:r>
          </w:p>
        </w:tc>
        <w:tc>
          <w:tcPr>
            <w:tcW w:type="dxa" w:w="1441"/>
            <w:vAlign w:val="center"/>
          </w:tcPr>
          <w:p>
            <w:r/>
            <w:r>
              <w:rPr>
                <w:b w:val="0"/>
                <w:sz w:val="18"/>
              </w:rPr>
              <w:t>35.4 °C</w:t>
            </w:r>
          </w:p>
        </w:tc>
      </w:tr>
    </w:tbl>
    <w:p/>
    <w:p>
      <w:pPr>
        <w:jc w:val="center"/>
      </w:pPr>
      <w:r>
        <w:rPr>
          <w:rFonts w:ascii="Aptos" w:hAnsi="Aptos"/>
        </w:rPr>
        <w:drawing>
          <wp:inline xmlns:a="http://schemas.openxmlformats.org/drawingml/2006/main" xmlns:pic="http://schemas.openxmlformats.org/drawingml/2006/picture">
            <wp:extent cx="5616000" cy="2533655"/>
            <wp:docPr id="4" name="Picture 4"/>
            <wp:cNvGraphicFramePr>
              <a:graphicFrameLocks noChangeAspect="1"/>
            </wp:cNvGraphicFramePr>
            <a:graphic>
              <a:graphicData uri="http://schemas.openxmlformats.org/drawingml/2006/picture">
                <pic:pic>
                  <pic:nvPicPr>
                    <pic:cNvPr id="0" name="fig04_nuits_chaudes.png"/>
                    <pic:cNvPicPr/>
                  </pic:nvPicPr>
                  <pic:blipFill>
                    <a:blip r:embed="rId14"/>
                    <a:stretch>
                      <a:fillRect/>
                    </a:stretch>
                  </pic:blipFill>
                  <pic:spPr>
                    <a:xfrm>
                      <a:off x="0" y="0"/>
                      <a:ext cx="5616000" cy="2533655"/>
                    </a:xfrm>
                    <a:prstGeom prst="rect"/>
                  </pic:spPr>
                </pic:pic>
              </a:graphicData>
            </a:graphic>
          </wp:inline>
        </w:drawing>
      </w:r>
    </w:p>
    <w:p>
      <w:pPr>
        <w:pStyle w:val="Caption"/>
        <w:jc w:val="center"/>
      </w:pPr>
      <w:r>
        <w:rPr>
          <w:rFonts w:ascii="Aptos" w:hAnsi="Aptos"/>
        </w:rPr>
        <w:t>Figure 4 - Nuits chaudes sans rafraîchissement : seuil dépassé au moins 6 h entre 22 h et 7 h.</w:t>
      </w:r>
    </w:p>
    <w:p>
      <w:r>
        <w:rPr>
          <w:rFonts w:ascii="Aptos" w:hAnsi="Aptos"/>
        </w:rPr>
        <w:t>Lecture opérationnelle : en 2050, la période simulée contient 21 nuits majoritairement au-dessus de 26 °C, 15 nuits majoritairement au-dessus de 28 °C et 7 nuits majoritairement au-dessus de 30 °C. Cette lecture est volontairement simple : elle permet de relier le calcul à l’usage réel des occupants.</w:t>
      </w:r>
    </w:p>
    <w:p>
      <w:pPr>
        <w:pStyle w:val="Heading1"/>
      </w:pPr>
      <w:r>
        <w:rPr>
          <w:rFonts w:ascii="Aptos" w:hAnsi="Aptos"/>
        </w:rPr>
        <w:t>6. Calcul dynamique de puissance froide</w:t>
      </w:r>
    </w:p>
    <w:p>
      <w:r>
        <w:rPr>
          <w:rFonts w:ascii="Aptos" w:hAnsi="Aptos"/>
        </w:rPr>
        <w:t>La puissance froide est calculée heure par heure. À chaque pas, le modèle calcule la température libre que prendrait le bâtiment sans froid. Si cette température dépasse la consigne de la zone, la puissance nécessaire est celle qui permet de ramener la zone à sa cible au pas horaire suivant.</w:t>
      </w:r>
    </w:p>
    <w:p>
      <w:pPr>
        <w:jc w:val="center"/>
      </w:pPr>
      <w:r>
        <w:rPr>
          <w:rFonts w:ascii="Aptos" w:hAnsi="Aptos"/>
          <w:b/>
        </w:rPr>
        <w:t>Q_froid(t) = C_zone · max[0 ; T_libre(t+1) - T_cible(t+1)] / Δt</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21"/>
        <w:gridCol w:w="2521"/>
        <w:gridCol w:w="2521"/>
        <w:gridCol w:w="2521"/>
      </w:tblGrid>
      <w:tr>
        <w:tc>
          <w:tcPr>
            <w:tcW w:type="dxa" w:w="1701"/>
            <w:shd w:fill="D9EAF7"/>
            <w:vAlign w:val="center"/>
          </w:tcPr>
          <w:p>
            <w:r/>
            <w:r>
              <w:rPr>
                <w:b/>
                <w:color w:val="000000"/>
                <w:sz w:val="18"/>
              </w:rPr>
              <w:t>Zone</w:t>
            </w:r>
          </w:p>
        </w:tc>
        <w:tc>
          <w:tcPr>
            <w:tcW w:type="dxa" w:w="1701"/>
            <w:shd w:fill="D9EAF7"/>
            <w:vAlign w:val="center"/>
          </w:tcPr>
          <w:p>
            <w:r/>
            <w:r>
              <w:rPr>
                <w:b/>
                <w:color w:val="000000"/>
                <w:sz w:val="18"/>
              </w:rPr>
              <w:t>Part de surface</w:t>
            </w:r>
          </w:p>
        </w:tc>
        <w:tc>
          <w:tcPr>
            <w:tcW w:type="dxa" w:w="2268"/>
            <w:shd w:fill="D9EAF7"/>
            <w:vAlign w:val="center"/>
          </w:tcPr>
          <w:p>
            <w:r/>
            <w:r>
              <w:rPr>
                <w:b/>
                <w:color w:val="000000"/>
                <w:sz w:val="18"/>
              </w:rPr>
              <w:t>Consigne</w:t>
            </w:r>
          </w:p>
        </w:tc>
        <w:tc>
          <w:tcPr>
            <w:tcW w:type="dxa" w:w="3402"/>
            <w:shd w:fill="D9EAF7"/>
            <w:vAlign w:val="center"/>
          </w:tcPr>
          <w:p>
            <w:r/>
            <w:r>
              <w:rPr>
                <w:b/>
                <w:color w:val="000000"/>
                <w:sz w:val="18"/>
              </w:rPr>
              <w:t>Rôle dans le calcul</w:t>
            </w:r>
          </w:p>
        </w:tc>
      </w:tr>
      <w:tr>
        <w:tc>
          <w:tcPr>
            <w:tcW w:type="dxa" w:w="2521"/>
            <w:vAlign w:val="center"/>
          </w:tcPr>
          <w:p>
            <w:r/>
            <w:r>
              <w:rPr>
                <w:b w:val="0"/>
                <w:sz w:val="18"/>
              </w:rPr>
              <w:t>Séjour</w:t>
            </w:r>
          </w:p>
        </w:tc>
        <w:tc>
          <w:tcPr>
            <w:tcW w:type="dxa" w:w="2521"/>
            <w:vAlign w:val="center"/>
          </w:tcPr>
          <w:p>
            <w:r/>
            <w:r>
              <w:rPr>
                <w:b w:val="0"/>
                <w:sz w:val="18"/>
              </w:rPr>
              <w:t>33 %</w:t>
            </w:r>
          </w:p>
        </w:tc>
        <w:tc>
          <w:tcPr>
            <w:tcW w:type="dxa" w:w="2521"/>
            <w:vAlign w:val="center"/>
          </w:tcPr>
          <w:p>
            <w:r/>
            <w:r>
              <w:rPr>
                <w:b w:val="0"/>
                <w:sz w:val="18"/>
              </w:rPr>
              <w:t>26 °C</w:t>
            </w:r>
          </w:p>
        </w:tc>
        <w:tc>
          <w:tcPr>
            <w:tcW w:type="dxa" w:w="2521"/>
            <w:vAlign w:val="center"/>
          </w:tcPr>
          <w:p>
            <w:r/>
            <w:r>
              <w:rPr>
                <w:b w:val="0"/>
                <w:sz w:val="18"/>
              </w:rPr>
              <w:t>Confort diurne et soirée</w:t>
            </w:r>
          </w:p>
        </w:tc>
      </w:tr>
      <w:tr>
        <w:tc>
          <w:tcPr>
            <w:tcW w:type="dxa" w:w="2521"/>
            <w:vAlign w:val="center"/>
          </w:tcPr>
          <w:p>
            <w:r/>
            <w:r>
              <w:rPr>
                <w:b w:val="0"/>
                <w:sz w:val="18"/>
              </w:rPr>
              <w:t>Chambres</w:t>
            </w:r>
          </w:p>
        </w:tc>
        <w:tc>
          <w:tcPr>
            <w:tcW w:type="dxa" w:w="2521"/>
            <w:vAlign w:val="center"/>
          </w:tcPr>
          <w:p>
            <w:r/>
            <w:r>
              <w:rPr>
                <w:b w:val="0"/>
                <w:sz w:val="18"/>
              </w:rPr>
              <w:t>33 %</w:t>
            </w:r>
          </w:p>
        </w:tc>
        <w:tc>
          <w:tcPr>
            <w:tcW w:type="dxa" w:w="2521"/>
            <w:vAlign w:val="center"/>
          </w:tcPr>
          <w:p>
            <w:r/>
            <w:r>
              <w:rPr>
                <w:b w:val="0"/>
                <w:sz w:val="18"/>
              </w:rPr>
              <w:t>24 °C la nuit / 26 °C le jour</w:t>
            </w:r>
          </w:p>
        </w:tc>
        <w:tc>
          <w:tcPr>
            <w:tcW w:type="dxa" w:w="2521"/>
            <w:vAlign w:val="center"/>
          </w:tcPr>
          <w:p>
            <w:r/>
            <w:r>
              <w:rPr>
                <w:b w:val="0"/>
                <w:sz w:val="18"/>
              </w:rPr>
              <w:t>Sommeil ; critère dimensionnant</w:t>
            </w:r>
          </w:p>
        </w:tc>
      </w:tr>
      <w:tr>
        <w:tc>
          <w:tcPr>
            <w:tcW w:type="dxa" w:w="2521"/>
            <w:vAlign w:val="center"/>
          </w:tcPr>
          <w:p>
            <w:r/>
            <w:r>
              <w:rPr>
                <w:b w:val="0"/>
                <w:sz w:val="18"/>
              </w:rPr>
              <w:t>Pièces secondaires</w:t>
            </w:r>
          </w:p>
        </w:tc>
        <w:tc>
          <w:tcPr>
            <w:tcW w:type="dxa" w:w="2521"/>
            <w:vAlign w:val="center"/>
          </w:tcPr>
          <w:p>
            <w:r/>
            <w:r>
              <w:rPr>
                <w:b w:val="0"/>
                <w:sz w:val="18"/>
              </w:rPr>
              <w:t>34 %</w:t>
            </w:r>
          </w:p>
        </w:tc>
        <w:tc>
          <w:tcPr>
            <w:tcW w:type="dxa" w:w="2521"/>
            <w:vAlign w:val="center"/>
          </w:tcPr>
          <w:p>
            <w:r/>
            <w:r>
              <w:rPr>
                <w:b w:val="0"/>
                <w:sz w:val="18"/>
              </w:rPr>
              <w:t>26,5 °C</w:t>
            </w:r>
          </w:p>
        </w:tc>
        <w:tc>
          <w:tcPr>
            <w:tcW w:type="dxa" w:w="2521"/>
            <w:vAlign w:val="center"/>
          </w:tcPr>
          <w:p>
            <w:r/>
            <w:r>
              <w:rPr>
                <w:b w:val="0"/>
                <w:sz w:val="18"/>
              </w:rPr>
              <w:t>Confort intermédiaire</w:t>
            </w:r>
          </w:p>
        </w:tc>
      </w:tr>
    </w:tbl>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6"/>
      </w:tblGrid>
      <w:tr>
        <w:tc>
          <w:tcPr>
            <w:tcW w:type="dxa" w:w="9071"/>
            <w:shd w:fill="EEF5FB"/>
          </w:tcPr>
          <w:p>
            <w:r/>
            <w:r>
              <w:rPr>
                <w:b/>
                <w:color w:val="1F4E79"/>
                <w:sz w:val="20"/>
              </w:rPr>
              <w:t>Point clé</w:t>
            </w:r>
          </w:p>
          <w:p>
            <w:pPr>
              <w:spacing w:before="60"/>
            </w:pPr>
            <w:r>
              <w:rPr>
                <w:sz w:val="18"/>
              </w:rPr>
              <w:t>Les chambres doivent être traitées séparément. Une consigne moyenne de résidence à 26 °C masque le besoin réel : le critère dimensionnant est la capacité à abaisser les chambres à 24 °C pendant la nuit.</w:t>
            </w:r>
          </w:p>
        </w:tc>
      </w:tr>
    </w:tbl>
    <w:p/>
    <w:p>
      <w:pPr>
        <w:pStyle w:val="Heading1"/>
      </w:pPr>
      <w:r>
        <w:rPr>
          <w:rFonts w:ascii="Aptos" w:hAnsi="Aptos"/>
        </w:rPr>
        <w:t>7. Comparaison des capacités 2 MW / 2,5 MW / 3 MW</w:t>
      </w:r>
    </w:p>
    <w:p>
      <w:r>
        <w:rPr>
          <w:rFonts w:ascii="Aptos" w:hAnsi="Aptos"/>
        </w:rPr>
        <w:t>La comparaison est réalisée sur le scénario réactif, c’est-à-dire le cas où les chambres deviennent prioritaires à 24 °C la nuit. Ce mode est pénalisant en puissance car il crée des pointes au moment du changement de consigne. Il est retenu pour la lecture de robustesse.</w:t>
      </w:r>
    </w:p>
    <w:p>
      <w:pPr>
        <w:jc w:val="center"/>
      </w:pPr>
      <w:r>
        <w:rPr>
          <w:rFonts w:ascii="Aptos" w:hAnsi="Aptos"/>
        </w:rPr>
        <w:drawing>
          <wp:inline xmlns:a="http://schemas.openxmlformats.org/drawingml/2006/main" xmlns:pic="http://schemas.openxmlformats.org/drawingml/2006/picture">
            <wp:extent cx="5616000" cy="2743974"/>
            <wp:docPr id="5" name="Picture 5"/>
            <wp:cNvGraphicFramePr>
              <a:graphicFrameLocks noChangeAspect="1"/>
            </wp:cNvGraphicFramePr>
            <a:graphic>
              <a:graphicData uri="http://schemas.openxmlformats.org/drawingml/2006/picture">
                <pic:pic>
                  <pic:nvPicPr>
                    <pic:cNvPr id="0" name="fig05_courbe_duree_charge.png"/>
                    <pic:cNvPicPr/>
                  </pic:nvPicPr>
                  <pic:blipFill>
                    <a:blip r:embed="rId15"/>
                    <a:stretch>
                      <a:fillRect/>
                    </a:stretch>
                  </pic:blipFill>
                  <pic:spPr>
                    <a:xfrm>
                      <a:off x="0" y="0"/>
                      <a:ext cx="5616000" cy="2743974"/>
                    </a:xfrm>
                    <a:prstGeom prst="rect"/>
                  </pic:spPr>
                </pic:pic>
              </a:graphicData>
            </a:graphic>
          </wp:inline>
        </w:drawing>
      </w:r>
    </w:p>
    <w:p>
      <w:pPr>
        <w:pStyle w:val="Caption"/>
        <w:jc w:val="center"/>
      </w:pPr>
      <w:r>
        <w:rPr>
          <w:rFonts w:ascii="Aptos" w:hAnsi="Aptos"/>
        </w:rPr>
        <w:t>Figure 5 - Courbe de durée de charge 2050 : comparaison du pilotage réactif et anticipatif.</w:t>
      </w:r>
    </w:p>
    <w:p>
      <w:pPr>
        <w:jc w:val="center"/>
      </w:pPr>
      <w:r>
        <w:rPr>
          <w:rFonts w:ascii="Aptos" w:hAnsi="Aptos"/>
        </w:rPr>
        <w:drawing>
          <wp:inline xmlns:a="http://schemas.openxmlformats.org/drawingml/2006/main" xmlns:pic="http://schemas.openxmlformats.org/drawingml/2006/picture">
            <wp:extent cx="5616000" cy="2677128"/>
            <wp:docPr id="6" name="Picture 6"/>
            <wp:cNvGraphicFramePr>
              <a:graphicFrameLocks noChangeAspect="1"/>
            </wp:cNvGraphicFramePr>
            <a:graphic>
              <a:graphicData uri="http://schemas.openxmlformats.org/drawingml/2006/picture">
                <pic:pic>
                  <pic:nvPicPr>
                    <pic:cNvPr id="0" name="fig06_puissance_horaire.png"/>
                    <pic:cNvPicPr/>
                  </pic:nvPicPr>
                  <pic:blipFill>
                    <a:blip r:embed="rId16"/>
                    <a:stretch>
                      <a:fillRect/>
                    </a:stretch>
                  </pic:blipFill>
                  <pic:spPr>
                    <a:xfrm>
                      <a:off x="0" y="0"/>
                      <a:ext cx="5616000" cy="2677128"/>
                    </a:xfrm>
                    <a:prstGeom prst="rect"/>
                  </pic:spPr>
                </pic:pic>
              </a:graphicData>
            </a:graphic>
          </wp:inline>
        </w:drawing>
      </w:r>
    </w:p>
    <w:p>
      <w:pPr>
        <w:pStyle w:val="Caption"/>
        <w:jc w:val="center"/>
      </w:pPr>
      <w:r>
        <w:rPr>
          <w:rFonts w:ascii="Aptos" w:hAnsi="Aptos"/>
        </w:rPr>
        <w:t>Figure 6 - Puissance horaire appelée en 2050 avec chambres à 24 °C la nuit.</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17"/>
        <w:gridCol w:w="2017"/>
        <w:gridCol w:w="2017"/>
        <w:gridCol w:w="2017"/>
        <w:gridCol w:w="2017"/>
      </w:tblGrid>
      <w:tr>
        <w:tc>
          <w:tcPr>
            <w:tcW w:type="dxa" w:w="2268"/>
            <w:shd w:fill="D9EAF7"/>
            <w:vAlign w:val="center"/>
          </w:tcPr>
          <w:p>
            <w:r/>
            <w:r>
              <w:rPr>
                <w:b/>
                <w:color w:val="000000"/>
                <w:sz w:val="18"/>
              </w:rPr>
              <w:t>Scénario</w:t>
            </w:r>
          </w:p>
        </w:tc>
        <w:tc>
          <w:tcPr>
            <w:tcW w:type="dxa" w:w="1701"/>
            <w:shd w:fill="D9EAF7"/>
            <w:vAlign w:val="center"/>
          </w:tcPr>
          <w:p>
            <w:r/>
            <w:r>
              <w:rPr>
                <w:b/>
                <w:color w:val="000000"/>
                <w:sz w:val="18"/>
              </w:rPr>
              <w:t>Pic non contraint</w:t>
            </w:r>
          </w:p>
        </w:tc>
        <w:tc>
          <w:tcPr>
            <w:tcW w:type="dxa" w:w="1701"/>
            <w:shd w:fill="D9EAF7"/>
            <w:vAlign w:val="center"/>
          </w:tcPr>
          <w:p>
            <w:r/>
            <w:r>
              <w:rPr>
                <w:b/>
                <w:color w:val="000000"/>
                <w:sz w:val="18"/>
              </w:rPr>
              <w:t>Énergie période</w:t>
            </w:r>
          </w:p>
        </w:tc>
        <w:tc>
          <w:tcPr>
            <w:tcW w:type="dxa" w:w="1701"/>
            <w:shd w:fill="D9EAF7"/>
            <w:vAlign w:val="center"/>
          </w:tcPr>
          <w:p>
            <w:r/>
            <w:r>
              <w:rPr>
                <w:b/>
                <w:color w:val="000000"/>
                <w:sz w:val="18"/>
              </w:rPr>
              <w:t>Heures actives</w:t>
            </w:r>
          </w:p>
        </w:tc>
        <w:tc>
          <w:tcPr>
            <w:tcW w:type="dxa" w:w="1701"/>
            <w:shd w:fill="D9EAF7"/>
            <w:vAlign w:val="center"/>
          </w:tcPr>
          <w:p>
            <w:r/>
            <w:r>
              <w:rPr>
                <w:b/>
                <w:color w:val="000000"/>
                <w:sz w:val="18"/>
              </w:rPr>
              <w:t>P95 heures actives</w:t>
            </w:r>
          </w:p>
        </w:tc>
      </w:tr>
      <w:tr>
        <w:tc>
          <w:tcPr>
            <w:tcW w:type="dxa" w:w="2017"/>
            <w:vAlign w:val="center"/>
          </w:tcPr>
          <w:p>
            <w:r/>
            <w:r>
              <w:rPr>
                <w:b w:val="0"/>
                <w:sz w:val="18"/>
              </w:rPr>
              <w:t>2026 mesuré</w:t>
            </w:r>
          </w:p>
        </w:tc>
        <w:tc>
          <w:tcPr>
            <w:tcW w:type="dxa" w:w="2017"/>
            <w:vAlign w:val="center"/>
          </w:tcPr>
          <w:p>
            <w:r/>
            <w:r>
              <w:rPr>
                <w:b w:val="0"/>
                <w:sz w:val="18"/>
              </w:rPr>
              <w:t>2,41 MW</w:t>
            </w:r>
          </w:p>
        </w:tc>
        <w:tc>
          <w:tcPr>
            <w:tcW w:type="dxa" w:w="2017"/>
            <w:vAlign w:val="center"/>
          </w:tcPr>
          <w:p>
            <w:r/>
            <w:r>
              <w:rPr>
                <w:b w:val="0"/>
                <w:sz w:val="18"/>
              </w:rPr>
              <w:t>51,1 MWh</w:t>
            </w:r>
          </w:p>
        </w:tc>
        <w:tc>
          <w:tcPr>
            <w:tcW w:type="dxa" w:w="2017"/>
            <w:vAlign w:val="center"/>
          </w:tcPr>
          <w:p>
            <w:r/>
            <w:r>
              <w:rPr>
                <w:b w:val="0"/>
                <w:sz w:val="18"/>
              </w:rPr>
              <w:t>173 h</w:t>
            </w:r>
          </w:p>
        </w:tc>
        <w:tc>
          <w:tcPr>
            <w:tcW w:type="dxa" w:w="2017"/>
            <w:vAlign w:val="center"/>
          </w:tcPr>
          <w:p>
            <w:r/>
            <w:r>
              <w:rPr>
                <w:b w:val="0"/>
                <w:sz w:val="18"/>
              </w:rPr>
              <w:t>1,23 MW</w:t>
            </w:r>
          </w:p>
        </w:tc>
      </w:tr>
      <w:tr>
        <w:tc>
          <w:tcPr>
            <w:tcW w:type="dxa" w:w="2017"/>
            <w:vAlign w:val="center"/>
          </w:tcPr>
          <w:p>
            <w:r/>
            <w:r>
              <w:rPr>
                <w:b w:val="0"/>
                <w:sz w:val="18"/>
              </w:rPr>
              <w:t>2035 +1,0 °C</w:t>
            </w:r>
          </w:p>
        </w:tc>
        <w:tc>
          <w:tcPr>
            <w:tcW w:type="dxa" w:w="2017"/>
            <w:vAlign w:val="center"/>
          </w:tcPr>
          <w:p>
            <w:r/>
            <w:r>
              <w:rPr>
                <w:b w:val="0"/>
                <w:sz w:val="18"/>
              </w:rPr>
              <w:t>2,52 MW</w:t>
            </w:r>
          </w:p>
        </w:tc>
        <w:tc>
          <w:tcPr>
            <w:tcW w:type="dxa" w:w="2017"/>
            <w:vAlign w:val="center"/>
          </w:tcPr>
          <w:p>
            <w:r/>
            <w:r>
              <w:rPr>
                <w:b w:val="0"/>
                <w:sz w:val="18"/>
              </w:rPr>
              <w:t>61,2 MWh</w:t>
            </w:r>
          </w:p>
        </w:tc>
        <w:tc>
          <w:tcPr>
            <w:tcW w:type="dxa" w:w="2017"/>
            <w:vAlign w:val="center"/>
          </w:tcPr>
          <w:p>
            <w:r/>
            <w:r>
              <w:rPr>
                <w:b w:val="0"/>
                <w:sz w:val="18"/>
              </w:rPr>
              <w:t>203 h</w:t>
            </w:r>
          </w:p>
        </w:tc>
        <w:tc>
          <w:tcPr>
            <w:tcW w:type="dxa" w:w="2017"/>
            <w:vAlign w:val="center"/>
          </w:tcPr>
          <w:p>
            <w:r/>
            <w:r>
              <w:rPr>
                <w:b w:val="0"/>
                <w:sz w:val="18"/>
              </w:rPr>
              <w:t>1,34 MW</w:t>
            </w:r>
          </w:p>
        </w:tc>
      </w:tr>
      <w:tr>
        <w:tc>
          <w:tcPr>
            <w:tcW w:type="dxa" w:w="2017"/>
            <w:vAlign w:val="center"/>
          </w:tcPr>
          <w:p>
            <w:r/>
            <w:r>
              <w:rPr>
                <w:b w:val="0"/>
                <w:sz w:val="18"/>
              </w:rPr>
              <w:t>2050 +2,2/+2,3 °C</w:t>
            </w:r>
          </w:p>
        </w:tc>
        <w:tc>
          <w:tcPr>
            <w:tcW w:type="dxa" w:w="2017"/>
            <w:vAlign w:val="center"/>
          </w:tcPr>
          <w:p>
            <w:r/>
            <w:r>
              <w:rPr>
                <w:b w:val="0"/>
                <w:sz w:val="18"/>
              </w:rPr>
              <w:t>2,65 MW</w:t>
            </w:r>
          </w:p>
        </w:tc>
        <w:tc>
          <w:tcPr>
            <w:tcW w:type="dxa" w:w="2017"/>
            <w:vAlign w:val="center"/>
          </w:tcPr>
          <w:p>
            <w:r/>
            <w:r>
              <w:rPr>
                <w:b w:val="0"/>
                <w:sz w:val="18"/>
              </w:rPr>
              <w:t>73,8 MWh</w:t>
            </w:r>
          </w:p>
        </w:tc>
        <w:tc>
          <w:tcPr>
            <w:tcW w:type="dxa" w:w="2017"/>
            <w:vAlign w:val="center"/>
          </w:tcPr>
          <w:p>
            <w:r/>
            <w:r>
              <w:rPr>
                <w:b w:val="0"/>
                <w:sz w:val="18"/>
              </w:rPr>
              <w:t>236 h</w:t>
            </w:r>
          </w:p>
        </w:tc>
        <w:tc>
          <w:tcPr>
            <w:tcW w:type="dxa" w:w="2017"/>
            <w:vAlign w:val="center"/>
          </w:tcPr>
          <w:p>
            <w:r/>
            <w:r>
              <w:rPr>
                <w:b w:val="0"/>
                <w:sz w:val="18"/>
              </w:rPr>
              <w:t>1,44 MW</w:t>
            </w:r>
          </w:p>
        </w:tc>
      </w:tr>
      <w:tr>
        <w:tc>
          <w:tcPr>
            <w:tcW w:type="dxa" w:w="2017"/>
            <w:vAlign w:val="center"/>
          </w:tcPr>
          <w:p>
            <w:r/>
            <w:r>
              <w:rPr>
                <w:b w:val="0"/>
                <w:sz w:val="18"/>
              </w:rPr>
              <w:t>2100 +3,2 °C</w:t>
            </w:r>
          </w:p>
        </w:tc>
        <w:tc>
          <w:tcPr>
            <w:tcW w:type="dxa" w:w="2017"/>
            <w:vAlign w:val="center"/>
          </w:tcPr>
          <w:p>
            <w:r/>
            <w:r>
              <w:rPr>
                <w:b w:val="0"/>
                <w:sz w:val="18"/>
              </w:rPr>
              <w:t>2,74 MW</w:t>
            </w:r>
          </w:p>
        </w:tc>
        <w:tc>
          <w:tcPr>
            <w:tcW w:type="dxa" w:w="2017"/>
            <w:vAlign w:val="center"/>
          </w:tcPr>
          <w:p>
            <w:r/>
            <w:r>
              <w:rPr>
                <w:b w:val="0"/>
                <w:sz w:val="18"/>
              </w:rPr>
              <w:t>84,7 MWh</w:t>
            </w:r>
          </w:p>
        </w:tc>
        <w:tc>
          <w:tcPr>
            <w:tcW w:type="dxa" w:w="2017"/>
            <w:vAlign w:val="center"/>
          </w:tcPr>
          <w:p>
            <w:r/>
            <w:r>
              <w:rPr>
                <w:b w:val="0"/>
                <w:sz w:val="18"/>
              </w:rPr>
              <w:t>266 h</w:t>
            </w:r>
          </w:p>
        </w:tc>
        <w:tc>
          <w:tcPr>
            <w:tcW w:type="dxa" w:w="2017"/>
            <w:vAlign w:val="center"/>
          </w:tcPr>
          <w:p>
            <w:r/>
            <w:r>
              <w:rPr>
                <w:b w:val="0"/>
                <w:sz w:val="18"/>
              </w:rPr>
              <w:t>1,44 MW</w:t>
            </w:r>
          </w:p>
        </w:tc>
      </w:tr>
      <w:tr>
        <w:tc>
          <w:tcPr>
            <w:tcW w:type="dxa" w:w="2017"/>
            <w:vAlign w:val="center"/>
          </w:tcPr>
          <w:p>
            <w:r/>
            <w:r>
              <w:rPr>
                <w:b w:val="0"/>
                <w:sz w:val="18"/>
              </w:rPr>
              <w:t>Stress +4,0 °C</w:t>
            </w:r>
          </w:p>
        </w:tc>
        <w:tc>
          <w:tcPr>
            <w:tcW w:type="dxa" w:w="2017"/>
            <w:vAlign w:val="center"/>
          </w:tcPr>
          <w:p>
            <w:r/>
            <w:r>
              <w:rPr>
                <w:b w:val="0"/>
                <w:sz w:val="18"/>
              </w:rPr>
              <w:t>2,82 MW</w:t>
            </w:r>
          </w:p>
        </w:tc>
        <w:tc>
          <w:tcPr>
            <w:tcW w:type="dxa" w:w="2017"/>
            <w:vAlign w:val="center"/>
          </w:tcPr>
          <w:p>
            <w:r/>
            <w:r>
              <w:rPr>
                <w:b w:val="0"/>
                <w:sz w:val="18"/>
              </w:rPr>
              <w:t>93,7 MWh</w:t>
            </w:r>
          </w:p>
        </w:tc>
        <w:tc>
          <w:tcPr>
            <w:tcW w:type="dxa" w:w="2017"/>
            <w:vAlign w:val="center"/>
          </w:tcPr>
          <w:p>
            <w:r/>
            <w:r>
              <w:rPr>
                <w:b w:val="0"/>
                <w:sz w:val="18"/>
              </w:rPr>
              <w:t>292 h</w:t>
            </w:r>
          </w:p>
        </w:tc>
        <w:tc>
          <w:tcPr>
            <w:tcW w:type="dxa" w:w="2017"/>
            <w:vAlign w:val="center"/>
          </w:tcPr>
          <w:p>
            <w:r/>
            <w:r>
              <w:rPr>
                <w:b w:val="0"/>
                <w:sz w:val="18"/>
              </w:rPr>
              <w:t>1,42 MW</w:t>
            </w:r>
          </w:p>
        </w:tc>
      </w:tr>
    </w:tbl>
    <w:p/>
    <w:p>
      <w:r>
        <w:rPr>
          <w:rFonts w:ascii="Aptos" w:hAnsi="Aptos"/>
        </w:rPr>
        <w:br w:type="page"/>
      </w:r>
    </w:p>
    <w:p>
      <w:pPr>
        <w:pStyle w:val="Heading2"/>
      </w:pPr>
      <w:r>
        <w:rPr>
          <w:rFonts w:ascii="Aptos" w:hAnsi="Aptos"/>
        </w:rPr>
        <w:t>7.1 Marges de puissance</w:t>
      </w:r>
    </w:p>
    <w:p>
      <w:pPr>
        <w:jc w:val="center"/>
      </w:pPr>
      <w:r>
        <w:rPr>
          <w:rFonts w:ascii="Aptos" w:hAnsi="Aptos"/>
        </w:rPr>
        <w:drawing>
          <wp:inline xmlns:a="http://schemas.openxmlformats.org/drawingml/2006/main" xmlns:pic="http://schemas.openxmlformats.org/drawingml/2006/picture">
            <wp:extent cx="5616000" cy="2741741"/>
            <wp:docPr id="7" name="Picture 7"/>
            <wp:cNvGraphicFramePr>
              <a:graphicFrameLocks noChangeAspect="1"/>
            </wp:cNvGraphicFramePr>
            <a:graphic>
              <a:graphicData uri="http://schemas.openxmlformats.org/drawingml/2006/picture">
                <pic:pic>
                  <pic:nvPicPr>
                    <pic:cNvPr id="0" name="fig07_marges_puissance.png"/>
                    <pic:cNvPicPr/>
                  </pic:nvPicPr>
                  <pic:blipFill>
                    <a:blip r:embed="rId17"/>
                    <a:stretch>
                      <a:fillRect/>
                    </a:stretch>
                  </pic:blipFill>
                  <pic:spPr>
                    <a:xfrm>
                      <a:off x="0" y="0"/>
                      <a:ext cx="5616000" cy="2741741"/>
                    </a:xfrm>
                    <a:prstGeom prst="rect"/>
                  </pic:spPr>
                </pic:pic>
              </a:graphicData>
            </a:graphic>
          </wp:inline>
        </w:drawing>
      </w:r>
    </w:p>
    <w:p>
      <w:pPr>
        <w:pStyle w:val="Caption"/>
        <w:jc w:val="center"/>
      </w:pPr>
      <w:r>
        <w:rPr>
          <w:rFonts w:ascii="Aptos" w:hAnsi="Aptos"/>
        </w:rPr>
        <w:t>Figure 7 - Marges de puissance par scénario climatique en pilotage réactif.</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21"/>
        <w:gridCol w:w="2521"/>
        <w:gridCol w:w="2521"/>
        <w:gridCol w:w="2521"/>
      </w:tblGrid>
      <w:tr>
        <w:tc>
          <w:tcPr>
            <w:tcW w:type="dxa" w:w="2268"/>
            <w:shd w:fill="D9EAF7"/>
            <w:vAlign w:val="center"/>
          </w:tcPr>
          <w:p>
            <w:r/>
            <w:r>
              <w:rPr>
                <w:b/>
                <w:color w:val="000000"/>
                <w:sz w:val="18"/>
              </w:rPr>
              <w:t>Scénario</w:t>
            </w:r>
          </w:p>
        </w:tc>
        <w:tc>
          <w:tcPr>
            <w:tcW w:type="dxa" w:w="2268"/>
            <w:shd w:fill="D9EAF7"/>
            <w:vAlign w:val="center"/>
          </w:tcPr>
          <w:p>
            <w:r/>
            <w:r>
              <w:rPr>
                <w:b/>
                <w:color w:val="000000"/>
                <w:sz w:val="18"/>
              </w:rPr>
              <w:t>Marge avec 2 MW</w:t>
            </w:r>
          </w:p>
        </w:tc>
        <w:tc>
          <w:tcPr>
            <w:tcW w:type="dxa" w:w="2268"/>
            <w:shd w:fill="D9EAF7"/>
            <w:vAlign w:val="center"/>
          </w:tcPr>
          <w:p>
            <w:r/>
            <w:r>
              <w:rPr>
                <w:b/>
                <w:color w:val="000000"/>
                <w:sz w:val="18"/>
              </w:rPr>
              <w:t>Marge avec 2,5 MW</w:t>
            </w:r>
          </w:p>
        </w:tc>
        <w:tc>
          <w:tcPr>
            <w:tcW w:type="dxa" w:w="2268"/>
            <w:shd w:fill="D9EAF7"/>
            <w:vAlign w:val="center"/>
          </w:tcPr>
          <w:p>
            <w:r/>
            <w:r>
              <w:rPr>
                <w:b/>
                <w:color w:val="000000"/>
                <w:sz w:val="18"/>
              </w:rPr>
              <w:t>Marge avec 3 MW</w:t>
            </w:r>
          </w:p>
        </w:tc>
      </w:tr>
      <w:tr>
        <w:tc>
          <w:tcPr>
            <w:tcW w:type="dxa" w:w="2521"/>
            <w:vAlign w:val="center"/>
          </w:tcPr>
          <w:p>
            <w:r/>
            <w:r>
              <w:rPr>
                <w:b w:val="0"/>
                <w:sz w:val="18"/>
              </w:rPr>
              <w:t>2026 mesuré</w:t>
            </w:r>
          </w:p>
        </w:tc>
        <w:tc>
          <w:tcPr>
            <w:tcW w:type="dxa" w:w="2521"/>
            <w:vAlign w:val="center"/>
          </w:tcPr>
          <w:p>
            <w:r/>
            <w:r>
              <w:rPr>
                <w:b w:val="0"/>
                <w:sz w:val="18"/>
              </w:rPr>
              <w:t>-0,41 MW</w:t>
            </w:r>
          </w:p>
        </w:tc>
        <w:tc>
          <w:tcPr>
            <w:tcW w:type="dxa" w:w="2521"/>
            <w:vAlign w:val="center"/>
          </w:tcPr>
          <w:p>
            <w:r/>
            <w:r>
              <w:rPr>
                <w:b w:val="0"/>
                <w:sz w:val="18"/>
              </w:rPr>
              <w:t>+0,09 MW</w:t>
            </w:r>
          </w:p>
        </w:tc>
        <w:tc>
          <w:tcPr>
            <w:tcW w:type="dxa" w:w="2521"/>
            <w:vAlign w:val="center"/>
          </w:tcPr>
          <w:p>
            <w:r/>
            <w:r>
              <w:rPr>
                <w:b w:val="0"/>
                <w:sz w:val="18"/>
              </w:rPr>
              <w:t>+0,59 MW</w:t>
            </w:r>
          </w:p>
        </w:tc>
      </w:tr>
      <w:tr>
        <w:tc>
          <w:tcPr>
            <w:tcW w:type="dxa" w:w="2521"/>
            <w:vAlign w:val="center"/>
          </w:tcPr>
          <w:p>
            <w:r/>
            <w:r>
              <w:rPr>
                <w:b w:val="0"/>
                <w:sz w:val="18"/>
              </w:rPr>
              <w:t>2035 +1,0 °C</w:t>
            </w:r>
          </w:p>
        </w:tc>
        <w:tc>
          <w:tcPr>
            <w:tcW w:type="dxa" w:w="2521"/>
            <w:vAlign w:val="center"/>
          </w:tcPr>
          <w:p>
            <w:r/>
            <w:r>
              <w:rPr>
                <w:b w:val="0"/>
                <w:sz w:val="18"/>
              </w:rPr>
              <w:t>-0,52 MW</w:t>
            </w:r>
          </w:p>
        </w:tc>
        <w:tc>
          <w:tcPr>
            <w:tcW w:type="dxa" w:w="2521"/>
            <w:vAlign w:val="center"/>
          </w:tcPr>
          <w:p>
            <w:r/>
            <w:r>
              <w:rPr>
                <w:b w:val="0"/>
                <w:sz w:val="18"/>
              </w:rPr>
              <w:t>-0,02 MW</w:t>
            </w:r>
          </w:p>
        </w:tc>
        <w:tc>
          <w:tcPr>
            <w:tcW w:type="dxa" w:w="2521"/>
            <w:vAlign w:val="center"/>
          </w:tcPr>
          <w:p>
            <w:r/>
            <w:r>
              <w:rPr>
                <w:b w:val="0"/>
                <w:sz w:val="18"/>
              </w:rPr>
              <w:t>+0,48 MW</w:t>
            </w:r>
          </w:p>
        </w:tc>
      </w:tr>
      <w:tr>
        <w:tc>
          <w:tcPr>
            <w:tcW w:type="dxa" w:w="2521"/>
            <w:vAlign w:val="center"/>
          </w:tcPr>
          <w:p>
            <w:r/>
            <w:r>
              <w:rPr>
                <w:b w:val="0"/>
                <w:sz w:val="18"/>
              </w:rPr>
              <w:t>2050 +2,2/+2,3 °C</w:t>
            </w:r>
          </w:p>
        </w:tc>
        <w:tc>
          <w:tcPr>
            <w:tcW w:type="dxa" w:w="2521"/>
            <w:vAlign w:val="center"/>
          </w:tcPr>
          <w:p>
            <w:r/>
            <w:r>
              <w:rPr>
                <w:b w:val="0"/>
                <w:sz w:val="18"/>
              </w:rPr>
              <w:t>-0,65 MW</w:t>
            </w:r>
          </w:p>
        </w:tc>
        <w:tc>
          <w:tcPr>
            <w:tcW w:type="dxa" w:w="2521"/>
            <w:vAlign w:val="center"/>
          </w:tcPr>
          <w:p>
            <w:r/>
            <w:r>
              <w:rPr>
                <w:b w:val="0"/>
                <w:sz w:val="18"/>
              </w:rPr>
              <w:t>-0,15 MW</w:t>
            </w:r>
          </w:p>
        </w:tc>
        <w:tc>
          <w:tcPr>
            <w:tcW w:type="dxa" w:w="2521"/>
            <w:vAlign w:val="center"/>
          </w:tcPr>
          <w:p>
            <w:r/>
            <w:r>
              <w:rPr>
                <w:b w:val="0"/>
                <w:sz w:val="18"/>
              </w:rPr>
              <w:t>+0,35 MW</w:t>
            </w:r>
          </w:p>
        </w:tc>
      </w:tr>
      <w:tr>
        <w:tc>
          <w:tcPr>
            <w:tcW w:type="dxa" w:w="2521"/>
            <w:vAlign w:val="center"/>
          </w:tcPr>
          <w:p>
            <w:r/>
            <w:r>
              <w:rPr>
                <w:b w:val="0"/>
                <w:sz w:val="18"/>
              </w:rPr>
              <w:t>2100 +3,2 °C</w:t>
            </w:r>
          </w:p>
        </w:tc>
        <w:tc>
          <w:tcPr>
            <w:tcW w:type="dxa" w:w="2521"/>
            <w:vAlign w:val="center"/>
          </w:tcPr>
          <w:p>
            <w:r/>
            <w:r>
              <w:rPr>
                <w:b w:val="0"/>
                <w:sz w:val="18"/>
              </w:rPr>
              <w:t>-0,74 MW</w:t>
            </w:r>
          </w:p>
        </w:tc>
        <w:tc>
          <w:tcPr>
            <w:tcW w:type="dxa" w:w="2521"/>
            <w:vAlign w:val="center"/>
          </w:tcPr>
          <w:p>
            <w:r/>
            <w:r>
              <w:rPr>
                <w:b w:val="0"/>
                <w:sz w:val="18"/>
              </w:rPr>
              <w:t>-0,24 MW</w:t>
            </w:r>
          </w:p>
        </w:tc>
        <w:tc>
          <w:tcPr>
            <w:tcW w:type="dxa" w:w="2521"/>
            <w:vAlign w:val="center"/>
          </w:tcPr>
          <w:p>
            <w:r/>
            <w:r>
              <w:rPr>
                <w:b w:val="0"/>
                <w:sz w:val="18"/>
              </w:rPr>
              <w:t>+0,26 MW</w:t>
            </w:r>
          </w:p>
        </w:tc>
      </w:tr>
      <w:tr>
        <w:tc>
          <w:tcPr>
            <w:tcW w:type="dxa" w:w="2521"/>
            <w:vAlign w:val="center"/>
          </w:tcPr>
          <w:p>
            <w:r/>
            <w:r>
              <w:rPr>
                <w:b w:val="0"/>
                <w:sz w:val="18"/>
              </w:rPr>
              <w:t>Stress +4,0 °C</w:t>
            </w:r>
          </w:p>
        </w:tc>
        <w:tc>
          <w:tcPr>
            <w:tcW w:type="dxa" w:w="2521"/>
            <w:vAlign w:val="center"/>
          </w:tcPr>
          <w:p>
            <w:r/>
            <w:r>
              <w:rPr>
                <w:b w:val="0"/>
                <w:sz w:val="18"/>
              </w:rPr>
              <w:t>-0,82 MW</w:t>
            </w:r>
          </w:p>
        </w:tc>
        <w:tc>
          <w:tcPr>
            <w:tcW w:type="dxa" w:w="2521"/>
            <w:vAlign w:val="center"/>
          </w:tcPr>
          <w:p>
            <w:r/>
            <w:r>
              <w:rPr>
                <w:b w:val="0"/>
                <w:sz w:val="18"/>
              </w:rPr>
              <w:t>-0,32 MW</w:t>
            </w:r>
          </w:p>
        </w:tc>
        <w:tc>
          <w:tcPr>
            <w:tcW w:type="dxa" w:w="2521"/>
            <w:vAlign w:val="center"/>
          </w:tcPr>
          <w:p>
            <w:r/>
            <w:r>
              <w:rPr>
                <w:b w:val="0"/>
                <w:sz w:val="18"/>
              </w:rPr>
              <w:t>+0,18 MW</w:t>
            </w:r>
          </w:p>
        </w:tc>
      </w:tr>
    </w:tbl>
    <w:p/>
    <w:p>
      <w:r>
        <w:rPr>
          <w:rFonts w:ascii="Aptos" w:hAnsi="Aptos"/>
        </w:rPr>
        <w:br w:type="page"/>
      </w:r>
    </w:p>
    <w:p>
      <w:pPr>
        <w:pStyle w:val="Heading2"/>
      </w:pPr>
      <w:r>
        <w:rPr>
          <w:rFonts w:ascii="Aptos" w:hAnsi="Aptos"/>
        </w:rPr>
        <w:t>7.2 Heures de saturation</w:t>
      </w:r>
    </w:p>
    <w:p>
      <w:pPr>
        <w:jc w:val="center"/>
      </w:pPr>
      <w:r>
        <w:rPr>
          <w:rFonts w:ascii="Aptos" w:hAnsi="Aptos"/>
        </w:rPr>
        <w:drawing>
          <wp:inline xmlns:a="http://schemas.openxmlformats.org/drawingml/2006/main" xmlns:pic="http://schemas.openxmlformats.org/drawingml/2006/picture">
            <wp:extent cx="5616000" cy="2586376"/>
            <wp:docPr id="8" name="Picture 8"/>
            <wp:cNvGraphicFramePr>
              <a:graphicFrameLocks noChangeAspect="1"/>
            </wp:cNvGraphicFramePr>
            <a:graphic>
              <a:graphicData uri="http://schemas.openxmlformats.org/drawingml/2006/picture">
                <pic:pic>
                  <pic:nvPicPr>
                    <pic:cNvPr id="0" name="fig08_saturation.png"/>
                    <pic:cNvPicPr/>
                  </pic:nvPicPr>
                  <pic:blipFill>
                    <a:blip r:embed="rId18"/>
                    <a:stretch>
                      <a:fillRect/>
                    </a:stretch>
                  </pic:blipFill>
                  <pic:spPr>
                    <a:xfrm>
                      <a:off x="0" y="0"/>
                      <a:ext cx="5616000" cy="2586376"/>
                    </a:xfrm>
                    <a:prstGeom prst="rect"/>
                  </pic:spPr>
                </pic:pic>
              </a:graphicData>
            </a:graphic>
          </wp:inline>
        </w:drawing>
      </w:r>
    </w:p>
    <w:p>
      <w:pPr>
        <w:pStyle w:val="Caption"/>
        <w:jc w:val="center"/>
      </w:pPr>
      <w:r>
        <w:rPr>
          <w:rFonts w:ascii="Aptos" w:hAnsi="Aptos"/>
        </w:rPr>
        <w:t>Figure 8 - Heures de saturation selon scénario et capacité installée.</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21"/>
        <w:gridCol w:w="2521"/>
        <w:gridCol w:w="2521"/>
        <w:gridCol w:w="2521"/>
      </w:tblGrid>
      <w:tr>
        <w:tc>
          <w:tcPr>
            <w:tcW w:type="dxa" w:w="2268"/>
            <w:shd w:fill="D9EAF7"/>
            <w:vAlign w:val="center"/>
          </w:tcPr>
          <w:p>
            <w:r/>
            <w:r>
              <w:rPr>
                <w:b/>
                <w:color w:val="000000"/>
                <w:sz w:val="18"/>
              </w:rPr>
              <w:t>Scénario</w:t>
            </w:r>
          </w:p>
        </w:tc>
        <w:tc>
          <w:tcPr>
            <w:tcW w:type="dxa" w:w="2268"/>
            <w:shd w:fill="D9EAF7"/>
            <w:vAlign w:val="center"/>
          </w:tcPr>
          <w:p>
            <w:r/>
            <w:r>
              <w:rPr>
                <w:b/>
                <w:color w:val="000000"/>
                <w:sz w:val="18"/>
              </w:rPr>
              <w:t>Saturation 2 MW</w:t>
            </w:r>
          </w:p>
        </w:tc>
        <w:tc>
          <w:tcPr>
            <w:tcW w:type="dxa" w:w="2268"/>
            <w:shd w:fill="D9EAF7"/>
            <w:vAlign w:val="center"/>
          </w:tcPr>
          <w:p>
            <w:r/>
            <w:r>
              <w:rPr>
                <w:b/>
                <w:color w:val="000000"/>
                <w:sz w:val="18"/>
              </w:rPr>
              <w:t>Saturation 2,5 MW</w:t>
            </w:r>
          </w:p>
        </w:tc>
        <w:tc>
          <w:tcPr>
            <w:tcW w:type="dxa" w:w="2268"/>
            <w:shd w:fill="D9EAF7"/>
            <w:vAlign w:val="center"/>
          </w:tcPr>
          <w:p>
            <w:r/>
            <w:r>
              <w:rPr>
                <w:b/>
                <w:color w:val="000000"/>
                <w:sz w:val="18"/>
              </w:rPr>
              <w:t>Saturation 3 MW</w:t>
            </w:r>
          </w:p>
        </w:tc>
      </w:tr>
      <w:tr>
        <w:tc>
          <w:tcPr>
            <w:tcW w:type="dxa" w:w="2521"/>
            <w:vAlign w:val="center"/>
          </w:tcPr>
          <w:p>
            <w:r/>
            <w:r>
              <w:rPr>
                <w:b w:val="0"/>
                <w:sz w:val="18"/>
              </w:rPr>
              <w:t>2026 mesuré</w:t>
            </w:r>
          </w:p>
        </w:tc>
        <w:tc>
          <w:tcPr>
            <w:tcW w:type="dxa" w:w="2521"/>
            <w:vAlign w:val="center"/>
          </w:tcPr>
          <w:p>
            <w:r/>
            <w:r>
              <w:rPr>
                <w:b w:val="0"/>
                <w:sz w:val="18"/>
              </w:rPr>
              <w:t>2 h</w:t>
            </w:r>
          </w:p>
        </w:tc>
        <w:tc>
          <w:tcPr>
            <w:tcW w:type="dxa" w:w="2521"/>
            <w:vAlign w:val="center"/>
          </w:tcPr>
          <w:p>
            <w:r/>
            <w:r>
              <w:rPr>
                <w:b w:val="0"/>
                <w:sz w:val="18"/>
              </w:rPr>
              <w:t>0 h</w:t>
            </w:r>
          </w:p>
        </w:tc>
        <w:tc>
          <w:tcPr>
            <w:tcW w:type="dxa" w:w="2521"/>
            <w:vAlign w:val="center"/>
          </w:tcPr>
          <w:p>
            <w:r/>
            <w:r>
              <w:rPr>
                <w:b w:val="0"/>
                <w:sz w:val="18"/>
              </w:rPr>
              <w:t>0 h</w:t>
            </w:r>
          </w:p>
        </w:tc>
      </w:tr>
      <w:tr>
        <w:tc>
          <w:tcPr>
            <w:tcW w:type="dxa" w:w="2521"/>
            <w:vAlign w:val="center"/>
          </w:tcPr>
          <w:p>
            <w:r/>
            <w:r>
              <w:rPr>
                <w:b w:val="0"/>
                <w:sz w:val="18"/>
              </w:rPr>
              <w:t>2035 +1,0 °C</w:t>
            </w:r>
          </w:p>
        </w:tc>
        <w:tc>
          <w:tcPr>
            <w:tcW w:type="dxa" w:w="2521"/>
            <w:vAlign w:val="center"/>
          </w:tcPr>
          <w:p>
            <w:r/>
            <w:r>
              <w:rPr>
                <w:b w:val="0"/>
                <w:sz w:val="18"/>
              </w:rPr>
              <w:t>2 h</w:t>
            </w:r>
          </w:p>
        </w:tc>
        <w:tc>
          <w:tcPr>
            <w:tcW w:type="dxa" w:w="2521"/>
            <w:vAlign w:val="center"/>
          </w:tcPr>
          <w:p>
            <w:r/>
            <w:r>
              <w:rPr>
                <w:b w:val="0"/>
                <w:sz w:val="18"/>
              </w:rPr>
              <w:t>1 h</w:t>
            </w:r>
          </w:p>
        </w:tc>
        <w:tc>
          <w:tcPr>
            <w:tcW w:type="dxa" w:w="2521"/>
            <w:vAlign w:val="center"/>
          </w:tcPr>
          <w:p>
            <w:r/>
            <w:r>
              <w:rPr>
                <w:b w:val="0"/>
                <w:sz w:val="18"/>
              </w:rPr>
              <w:t>0 h</w:t>
            </w:r>
          </w:p>
        </w:tc>
      </w:tr>
      <w:tr>
        <w:tc>
          <w:tcPr>
            <w:tcW w:type="dxa" w:w="2521"/>
            <w:vAlign w:val="center"/>
          </w:tcPr>
          <w:p>
            <w:r/>
            <w:r>
              <w:rPr>
                <w:b w:val="0"/>
                <w:sz w:val="18"/>
              </w:rPr>
              <w:t>2050 +2,2/+2,3 °C</w:t>
            </w:r>
          </w:p>
        </w:tc>
        <w:tc>
          <w:tcPr>
            <w:tcW w:type="dxa" w:w="2521"/>
            <w:vAlign w:val="center"/>
          </w:tcPr>
          <w:p>
            <w:r/>
            <w:r>
              <w:rPr>
                <w:b w:val="0"/>
                <w:sz w:val="18"/>
              </w:rPr>
              <w:t>3 h</w:t>
            </w:r>
          </w:p>
        </w:tc>
        <w:tc>
          <w:tcPr>
            <w:tcW w:type="dxa" w:w="2521"/>
            <w:vAlign w:val="center"/>
          </w:tcPr>
          <w:p>
            <w:r/>
            <w:r>
              <w:rPr>
                <w:b w:val="0"/>
                <w:sz w:val="18"/>
              </w:rPr>
              <w:t>1 h</w:t>
            </w:r>
          </w:p>
        </w:tc>
        <w:tc>
          <w:tcPr>
            <w:tcW w:type="dxa" w:w="2521"/>
            <w:vAlign w:val="center"/>
          </w:tcPr>
          <w:p>
            <w:r/>
            <w:r>
              <w:rPr>
                <w:b w:val="0"/>
                <w:sz w:val="18"/>
              </w:rPr>
              <w:t>0 h</w:t>
            </w:r>
          </w:p>
        </w:tc>
      </w:tr>
      <w:tr>
        <w:tc>
          <w:tcPr>
            <w:tcW w:type="dxa" w:w="2521"/>
            <w:vAlign w:val="center"/>
          </w:tcPr>
          <w:p>
            <w:r/>
            <w:r>
              <w:rPr>
                <w:b w:val="0"/>
                <w:sz w:val="18"/>
              </w:rPr>
              <w:t>2100 +3,2 °C</w:t>
            </w:r>
          </w:p>
        </w:tc>
        <w:tc>
          <w:tcPr>
            <w:tcW w:type="dxa" w:w="2521"/>
            <w:vAlign w:val="center"/>
          </w:tcPr>
          <w:p>
            <w:r/>
            <w:r>
              <w:rPr>
                <w:b w:val="0"/>
                <w:sz w:val="18"/>
              </w:rPr>
              <w:t>4 h</w:t>
            </w:r>
          </w:p>
        </w:tc>
        <w:tc>
          <w:tcPr>
            <w:tcW w:type="dxa" w:w="2521"/>
            <w:vAlign w:val="center"/>
          </w:tcPr>
          <w:p>
            <w:r/>
            <w:r>
              <w:rPr>
                <w:b w:val="0"/>
                <w:sz w:val="18"/>
              </w:rPr>
              <w:t>2 h</w:t>
            </w:r>
          </w:p>
        </w:tc>
        <w:tc>
          <w:tcPr>
            <w:tcW w:type="dxa" w:w="2521"/>
            <w:vAlign w:val="center"/>
          </w:tcPr>
          <w:p>
            <w:r/>
            <w:r>
              <w:rPr>
                <w:b w:val="0"/>
                <w:sz w:val="18"/>
              </w:rPr>
              <w:t>0 h</w:t>
            </w:r>
          </w:p>
        </w:tc>
      </w:tr>
      <w:tr>
        <w:tc>
          <w:tcPr>
            <w:tcW w:type="dxa" w:w="2521"/>
            <w:vAlign w:val="center"/>
          </w:tcPr>
          <w:p>
            <w:r/>
            <w:r>
              <w:rPr>
                <w:b w:val="0"/>
                <w:sz w:val="18"/>
              </w:rPr>
              <w:t>Stress +4,0 °C</w:t>
            </w:r>
          </w:p>
        </w:tc>
        <w:tc>
          <w:tcPr>
            <w:tcW w:type="dxa" w:w="2521"/>
            <w:vAlign w:val="center"/>
          </w:tcPr>
          <w:p>
            <w:r/>
            <w:r>
              <w:rPr>
                <w:b w:val="0"/>
                <w:sz w:val="18"/>
              </w:rPr>
              <w:t>7 h</w:t>
            </w:r>
          </w:p>
        </w:tc>
        <w:tc>
          <w:tcPr>
            <w:tcW w:type="dxa" w:w="2521"/>
            <w:vAlign w:val="center"/>
          </w:tcPr>
          <w:p>
            <w:r/>
            <w:r>
              <w:rPr>
                <w:b w:val="0"/>
                <w:sz w:val="18"/>
              </w:rPr>
              <w:t>2 h</w:t>
            </w:r>
          </w:p>
        </w:tc>
        <w:tc>
          <w:tcPr>
            <w:tcW w:type="dxa" w:w="2521"/>
            <w:vAlign w:val="center"/>
          </w:tcPr>
          <w:p>
            <w:r/>
            <w:r>
              <w:rPr>
                <w:b w:val="0"/>
                <w:sz w:val="18"/>
              </w:rPr>
              <w:t>0 h</w:t>
            </w:r>
          </w:p>
        </w:tc>
      </w:tr>
    </w:tbl>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6"/>
      </w:tblGrid>
      <w:tr>
        <w:tc>
          <w:tcPr>
            <w:tcW w:type="dxa" w:w="9071"/>
            <w:shd w:fill="EEF5FB"/>
          </w:tcPr>
          <w:p>
            <w:r/>
            <w:r>
              <w:rPr>
                <w:b/>
                <w:color w:val="1F4E79"/>
                <w:sz w:val="20"/>
              </w:rPr>
              <w:t>Lecture de la marge 3 MW</w:t>
            </w:r>
          </w:p>
          <w:p>
            <w:pPr>
              <w:spacing w:before="60"/>
            </w:pPr>
            <w:r>
              <w:rPr>
                <w:sz w:val="18"/>
              </w:rPr>
              <w:t>3 MW n’est pas une marge confortable. En 2050, la marge sur le pic est d’environ 0,35 MW, soit près de 13 % du pic appelé. En stress +4 °C, elle descend à environ 0,18 MW. La conclusion correcte est donc : 3 MW est l’enveloppe minimale robuste parmi les capacités testées, pas un surdimensionnement évident.</w:t>
            </w:r>
          </w:p>
        </w:tc>
      </w:tr>
    </w:tbl>
    <w:p/>
    <w:p>
      <w:pPr>
        <w:pStyle w:val="Heading1"/>
      </w:pPr>
      <w:r>
        <w:rPr>
          <w:rFonts w:ascii="Aptos" w:hAnsi="Aptos"/>
        </w:rPr>
        <w:t>8. Rôle des chambres, du vitrage et du pilotage</w:t>
      </w:r>
    </w:p>
    <w:p>
      <w:pPr>
        <w:jc w:val="center"/>
      </w:pPr>
      <w:r>
        <w:rPr>
          <w:rFonts w:ascii="Aptos" w:hAnsi="Aptos"/>
        </w:rPr>
        <w:drawing>
          <wp:inline xmlns:a="http://schemas.openxmlformats.org/drawingml/2006/main" xmlns:pic="http://schemas.openxmlformats.org/drawingml/2006/picture">
            <wp:extent cx="5616000" cy="2536258"/>
            <wp:docPr id="9" name="Picture 9"/>
            <wp:cNvGraphicFramePr>
              <a:graphicFrameLocks noChangeAspect="1"/>
            </wp:cNvGraphicFramePr>
            <a:graphic>
              <a:graphicData uri="http://schemas.openxmlformats.org/drawingml/2006/picture">
                <pic:pic>
                  <pic:nvPicPr>
                    <pic:cNvPr id="0" name="fig09_zones_energie.png"/>
                    <pic:cNvPicPr/>
                  </pic:nvPicPr>
                  <pic:blipFill>
                    <a:blip r:embed="rId19"/>
                    <a:stretch>
                      <a:fillRect/>
                    </a:stretch>
                  </pic:blipFill>
                  <pic:spPr>
                    <a:xfrm>
                      <a:off x="0" y="0"/>
                      <a:ext cx="5616000" cy="2536258"/>
                    </a:xfrm>
                    <a:prstGeom prst="rect"/>
                  </pic:spPr>
                </pic:pic>
              </a:graphicData>
            </a:graphic>
          </wp:inline>
        </w:drawing>
      </w:r>
    </w:p>
    <w:p>
      <w:pPr>
        <w:pStyle w:val="Caption"/>
        <w:jc w:val="center"/>
      </w:pPr>
      <w:r>
        <w:rPr>
          <w:rFonts w:ascii="Aptos" w:hAnsi="Aptos"/>
        </w:rPr>
        <w:t>Figure 9 - Répartition de l’énergie froide par zone en projection 2050.</w:t>
      </w:r>
    </w:p>
    <w:p>
      <w:r>
        <w:rPr>
          <w:rFonts w:ascii="Aptos" w:hAnsi="Aptos"/>
        </w:rPr>
        <w:t>Les chambres représentent une part disproportionnée du besoin de froid par rapport à leur surface. Cette situation est normale : leur consigne est plus basse et porte sur une plage nocturne où le bâtiment se refroidit peu naturellement.</w:t>
      </w:r>
    </w:p>
    <w:p>
      <w:pPr>
        <w:jc w:val="center"/>
      </w:pPr>
      <w:r>
        <w:rPr>
          <w:rFonts w:ascii="Aptos" w:hAnsi="Aptos"/>
        </w:rPr>
        <w:drawing>
          <wp:inline xmlns:a="http://schemas.openxmlformats.org/drawingml/2006/main" xmlns:pic="http://schemas.openxmlformats.org/drawingml/2006/picture">
            <wp:extent cx="5616000" cy="2536258"/>
            <wp:docPr id="10" name="Picture 10"/>
            <wp:cNvGraphicFramePr>
              <a:graphicFrameLocks noChangeAspect="1"/>
            </wp:cNvGraphicFramePr>
            <a:graphic>
              <a:graphicData uri="http://schemas.openxmlformats.org/drawingml/2006/picture">
                <pic:pic>
                  <pic:nvPicPr>
                    <pic:cNvPr id="0" name="fig10_vitrage_energie.png"/>
                    <pic:cNvPicPr/>
                  </pic:nvPicPr>
                  <pic:blipFill>
                    <a:blip r:embed="rId20"/>
                    <a:stretch>
                      <a:fillRect/>
                    </a:stretch>
                  </pic:blipFill>
                  <pic:spPr>
                    <a:xfrm>
                      <a:off x="0" y="0"/>
                      <a:ext cx="5616000" cy="2536258"/>
                    </a:xfrm>
                    <a:prstGeom prst="rect"/>
                  </pic:spPr>
                </pic:pic>
              </a:graphicData>
            </a:graphic>
          </wp:inline>
        </w:drawing>
      </w:r>
    </w:p>
    <w:p>
      <w:pPr>
        <w:pStyle w:val="Caption"/>
        <w:jc w:val="center"/>
      </w:pPr>
      <w:r>
        <w:rPr>
          <w:rFonts w:ascii="Aptos" w:hAnsi="Aptos"/>
        </w:rPr>
        <w:t>Figure 10 - Contribution du simple vitrage et du double vitrage à l’énergie froide en projection 2050.</w:t>
      </w:r>
    </w:p>
    <w:p>
      <w:r>
        <w:rPr>
          <w:rFonts w:ascii="Aptos" w:hAnsi="Aptos"/>
        </w:rPr>
        <w:t>Le simple vitrage tire le besoin vers le haut. La pondération 60 % simple vitrage / 40 % double vitrage sert à représenter un parc hétérogène et à ne pas masquer les logements défavorisés derrière une moyenne de résidence.</w:t>
      </w:r>
    </w:p>
    <w:p>
      <w:pPr>
        <w:jc w:val="center"/>
      </w:pPr>
      <w:r>
        <w:rPr>
          <w:rFonts w:ascii="Aptos" w:hAnsi="Aptos"/>
        </w:rPr>
        <w:drawing>
          <wp:inline xmlns:a="http://schemas.openxmlformats.org/drawingml/2006/main" xmlns:pic="http://schemas.openxmlformats.org/drawingml/2006/picture">
            <wp:extent cx="5616000" cy="2536258"/>
            <wp:docPr id="11" name="Picture 11"/>
            <wp:cNvGraphicFramePr>
              <a:graphicFrameLocks noChangeAspect="1"/>
            </wp:cNvGraphicFramePr>
            <a:graphic>
              <a:graphicData uri="http://schemas.openxmlformats.org/drawingml/2006/picture">
                <pic:pic>
                  <pic:nvPicPr>
                    <pic:cNvPr id="0" name="fig11_pilotage.png"/>
                    <pic:cNvPicPr/>
                  </pic:nvPicPr>
                  <pic:blipFill>
                    <a:blip r:embed="rId21"/>
                    <a:stretch>
                      <a:fillRect/>
                    </a:stretch>
                  </pic:blipFill>
                  <pic:spPr>
                    <a:xfrm>
                      <a:off x="0" y="0"/>
                      <a:ext cx="5616000" cy="2536258"/>
                    </a:xfrm>
                    <a:prstGeom prst="rect"/>
                  </pic:spPr>
                </pic:pic>
              </a:graphicData>
            </a:graphic>
          </wp:inline>
        </w:drawing>
      </w:r>
    </w:p>
    <w:p>
      <w:pPr>
        <w:pStyle w:val="Caption"/>
        <w:jc w:val="center"/>
      </w:pPr>
      <w:r>
        <w:rPr>
          <w:rFonts w:ascii="Aptos" w:hAnsi="Aptos"/>
        </w:rPr>
        <w:t>Figure 11 - Influence du pilotage sur le pic de puissance.</w:t>
      </w:r>
    </w:p>
    <w:p>
      <w:pPr>
        <w:jc w:val="center"/>
      </w:pPr>
      <w:r>
        <w:rPr>
          <w:rFonts w:ascii="Aptos" w:hAnsi="Aptos"/>
        </w:rPr>
        <w:drawing>
          <wp:inline xmlns:a="http://schemas.openxmlformats.org/drawingml/2006/main" xmlns:pic="http://schemas.openxmlformats.org/drawingml/2006/picture">
            <wp:extent cx="5616000" cy="2679319"/>
            <wp:docPr id="12" name="Picture 12"/>
            <wp:cNvGraphicFramePr>
              <a:graphicFrameLocks noChangeAspect="1"/>
            </wp:cNvGraphicFramePr>
            <a:graphic>
              <a:graphicData uri="http://schemas.openxmlformats.org/drawingml/2006/picture">
                <pic:pic>
                  <pic:nvPicPr>
                    <pic:cNvPr id="0" name="fig12_energie_cumulee.png"/>
                    <pic:cNvPicPr/>
                  </pic:nvPicPr>
                  <pic:blipFill>
                    <a:blip r:embed="rId22"/>
                    <a:stretch>
                      <a:fillRect/>
                    </a:stretch>
                  </pic:blipFill>
                  <pic:spPr>
                    <a:xfrm>
                      <a:off x="0" y="0"/>
                      <a:ext cx="5616000" cy="2679319"/>
                    </a:xfrm>
                    <a:prstGeom prst="rect"/>
                  </pic:spPr>
                </pic:pic>
              </a:graphicData>
            </a:graphic>
          </wp:inline>
        </w:drawing>
      </w:r>
    </w:p>
    <w:p>
      <w:pPr>
        <w:pStyle w:val="Caption"/>
        <w:jc w:val="center"/>
      </w:pPr>
      <w:r>
        <w:rPr>
          <w:rFonts w:ascii="Aptos" w:hAnsi="Aptos"/>
        </w:rPr>
        <w:t>Figure 12 - Énergie froide cumulée en projection 2050 selon le mode de pilotage.</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6"/>
      </w:tblGrid>
      <w:tr>
        <w:tc>
          <w:tcPr>
            <w:tcW w:type="dxa" w:w="9071"/>
            <w:shd w:fill="EEF5FB"/>
          </w:tcPr>
          <w:p>
            <w:r/>
            <w:r>
              <w:rPr>
                <w:b/>
                <w:color w:val="1F4E79"/>
                <w:sz w:val="20"/>
              </w:rPr>
              <w:t>Interprétation du pilotage anticipatif</w:t>
            </w:r>
          </w:p>
          <w:p>
            <w:pPr>
              <w:spacing w:before="60"/>
            </w:pPr>
            <w:r>
              <w:rPr>
                <w:sz w:val="18"/>
              </w:rPr>
              <w:t>Le pilotage anticipatif est un levier d’exploitation : il réduit les pointes en répartissant l’effort de refroidissement plus tôt. Il ne doit pas être utilisé seul pour réduire la capacité installée, car il suppose une régulation performante, des consignes acceptées et une disponibilité continue du réseau de froid.</w:t>
            </w:r>
          </w:p>
        </w:tc>
      </w:tr>
    </w:tbl>
    <w:p/>
    <w:p>
      <w:r>
        <w:rPr>
          <w:rFonts w:ascii="Aptos" w:hAnsi="Aptos"/>
        </w:rPr>
        <w:br w:type="page"/>
      </w:r>
    </w:p>
    <w:p>
      <w:pPr>
        <w:pStyle w:val="Heading1"/>
      </w:pPr>
      <w:r>
        <w:rPr>
          <w:rFonts w:ascii="Aptos" w:hAnsi="Aptos"/>
        </w:rPr>
        <w:t>9. Conclusion technique consolidée</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2"/>
        <w:gridCol w:w="3362"/>
        <w:gridCol w:w="3362"/>
      </w:tblGrid>
      <w:tr>
        <w:tc>
          <w:tcPr>
            <w:tcW w:type="dxa" w:w="1701"/>
            <w:shd w:fill="D9EAF7"/>
            <w:vAlign w:val="center"/>
          </w:tcPr>
          <w:p>
            <w:r/>
            <w:r>
              <w:rPr>
                <w:b/>
                <w:color w:val="000000"/>
                <w:sz w:val="18"/>
              </w:rPr>
              <w:t>Capacité</w:t>
            </w:r>
          </w:p>
        </w:tc>
        <w:tc>
          <w:tcPr>
            <w:tcW w:type="dxa" w:w="2268"/>
            <w:shd w:fill="D9EAF7"/>
            <w:vAlign w:val="center"/>
          </w:tcPr>
          <w:p>
            <w:r/>
            <w:r>
              <w:rPr>
                <w:b/>
                <w:color w:val="000000"/>
                <w:sz w:val="18"/>
              </w:rPr>
              <w:t>Décision technique</w:t>
            </w:r>
          </w:p>
        </w:tc>
        <w:tc>
          <w:tcPr>
            <w:tcW w:type="dxa" w:w="5102"/>
            <w:shd w:fill="D9EAF7"/>
            <w:vAlign w:val="center"/>
          </w:tcPr>
          <w:p>
            <w:r/>
            <w:r>
              <w:rPr>
                <w:b/>
                <w:color w:val="000000"/>
                <w:sz w:val="18"/>
              </w:rPr>
              <w:t>Justification</w:t>
            </w:r>
          </w:p>
        </w:tc>
      </w:tr>
      <w:tr>
        <w:tc>
          <w:tcPr>
            <w:tcW w:type="dxa" w:w="3362"/>
            <w:vAlign w:val="center"/>
          </w:tcPr>
          <w:p>
            <w:r/>
            <w:r>
              <w:rPr>
                <w:b w:val="0"/>
                <w:sz w:val="18"/>
              </w:rPr>
              <w:t>2 MW</w:t>
            </w:r>
          </w:p>
        </w:tc>
        <w:tc>
          <w:tcPr>
            <w:tcW w:type="dxa" w:w="3362"/>
            <w:vAlign w:val="center"/>
          </w:tcPr>
          <w:p>
            <w:r/>
            <w:r>
              <w:rPr>
                <w:b w:val="0"/>
                <w:sz w:val="18"/>
              </w:rPr>
              <w:t>Non retenu comme enveloppe de référence</w:t>
            </w:r>
          </w:p>
        </w:tc>
        <w:tc>
          <w:tcPr>
            <w:tcW w:type="dxa" w:w="3362"/>
            <w:vAlign w:val="center"/>
          </w:tcPr>
          <w:p>
            <w:r/>
            <w:r>
              <w:rPr>
                <w:b w:val="0"/>
                <w:sz w:val="18"/>
              </w:rPr>
              <w:t>Le déficit de puissance atteint environ -0,65 MW en 2050 dans le scénario réactif. Cette capacité expose à des saturations précisément pendant les périodes de confort nocturne.</w:t>
            </w:r>
          </w:p>
        </w:tc>
      </w:tr>
      <w:tr>
        <w:tc>
          <w:tcPr>
            <w:tcW w:type="dxa" w:w="3362"/>
            <w:vAlign w:val="center"/>
          </w:tcPr>
          <w:p>
            <w:r/>
            <w:r>
              <w:rPr>
                <w:b w:val="0"/>
                <w:sz w:val="18"/>
              </w:rPr>
              <w:t>2,5 MW</w:t>
            </w:r>
          </w:p>
        </w:tc>
        <w:tc>
          <w:tcPr>
            <w:tcW w:type="dxa" w:w="3362"/>
            <w:vAlign w:val="center"/>
          </w:tcPr>
          <w:p>
            <w:r/>
            <w:r>
              <w:rPr>
                <w:b w:val="0"/>
                <w:sz w:val="18"/>
              </w:rPr>
              <w:t>Capacité intermédiaire mais insuffisante pour conclure</w:t>
            </w:r>
          </w:p>
        </w:tc>
        <w:tc>
          <w:tcPr>
            <w:tcW w:type="dxa" w:w="3362"/>
            <w:vAlign w:val="center"/>
          </w:tcPr>
          <w:p>
            <w:r/>
            <w:r>
              <w:rPr>
                <w:b w:val="0"/>
                <w:sz w:val="18"/>
              </w:rPr>
              <w:t>Le déficit 2050 reste d’environ -0,15 MW. Le résultat dépend fortement du pilotage et laisse peu de place à l’hétérogénéité réelle des logements.</w:t>
            </w:r>
          </w:p>
        </w:tc>
      </w:tr>
      <w:tr>
        <w:tc>
          <w:tcPr>
            <w:tcW w:type="dxa" w:w="3362"/>
            <w:vAlign w:val="center"/>
          </w:tcPr>
          <w:p>
            <w:r/>
            <w:r>
              <w:rPr>
                <w:b w:val="0"/>
                <w:sz w:val="18"/>
              </w:rPr>
              <w:t>3 MW</w:t>
            </w:r>
          </w:p>
        </w:tc>
        <w:tc>
          <w:tcPr>
            <w:tcW w:type="dxa" w:w="3362"/>
            <w:vAlign w:val="center"/>
          </w:tcPr>
          <w:p>
            <w:r/>
            <w:r>
              <w:rPr>
                <w:b w:val="0"/>
                <w:sz w:val="18"/>
              </w:rPr>
              <w:t>Enveloppe cohérente pour poursuite d’étude</w:t>
            </w:r>
          </w:p>
        </w:tc>
        <w:tc>
          <w:tcPr>
            <w:tcW w:type="dxa" w:w="3362"/>
            <w:vAlign w:val="center"/>
          </w:tcPr>
          <w:p>
            <w:r/>
            <w:r>
              <w:rPr>
                <w:b w:val="0"/>
                <w:sz w:val="18"/>
              </w:rPr>
              <w:t>La capacité conserve une marge positive en 2050 et ne sature pas sur les scénarios testés. La marge reste limitée ; le choix doit être confirmé par une étude thermique et CVC détaillée.</w:t>
            </w:r>
          </w:p>
        </w:tc>
      </w:tr>
    </w:tbl>
    <w:p/>
    <w:p>
      <w:r>
        <w:rPr>
          <w:rFonts w:ascii="Aptos" w:hAnsi="Aptos"/>
        </w:rPr>
        <w:t>Le résultat principal du chapitre est le suivant : la résidence présente une surchauffe réelle et une inertie forte. Le besoin de froid ne doit pas être dimensionné sur une moyenne, mais sur les pointes horaires liées au confort nocturne des chambres. Dans cette lecture, 3 MW est la seule capacité testée qui reste positive avec une marge limitée.</w:t>
      </w:r>
    </w:p>
    <w:p>
      <w:r>
        <w:rPr>
          <w:rFonts w:ascii="Aptos" w:hAnsi="Aptos"/>
        </w:rPr>
        <w:br w:type="page"/>
      </w:r>
    </w:p>
    <w:p>
      <w:pPr>
        <w:pStyle w:val="Heading1"/>
      </w:pPr>
      <w:r>
        <w:rPr>
          <w:rFonts w:ascii="Aptos" w:hAnsi="Aptos"/>
        </w:rPr>
        <w:t>10. Limites et suites d’étude recommandées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3"/>
        <w:gridCol w:w="5043"/>
      </w:tblGrid>
      <w:tr>
        <w:tc>
          <w:tcPr>
            <w:tcW w:type="dxa" w:w="2835"/>
            <w:shd w:fill="D9EAF7"/>
            <w:vAlign w:val="center"/>
          </w:tcPr>
          <w:p>
            <w:r/>
            <w:r>
              <w:rPr>
                <w:b/>
                <w:color w:val="000000"/>
                <w:sz w:val="18"/>
              </w:rPr>
              <w:t>Point à consolider</w:t>
            </w:r>
          </w:p>
        </w:tc>
        <w:tc>
          <w:tcPr>
            <w:tcW w:type="dxa" w:w="6236"/>
            <w:shd w:fill="D9EAF7"/>
            <w:vAlign w:val="center"/>
          </w:tcPr>
          <w:p>
            <w:r/>
            <w:r>
              <w:rPr>
                <w:b/>
                <w:color w:val="000000"/>
                <w:sz w:val="18"/>
              </w:rPr>
              <w:t>Suite recommandée</w:t>
            </w:r>
          </w:p>
        </w:tc>
      </w:tr>
      <w:tr>
        <w:tc>
          <w:tcPr>
            <w:tcW w:type="dxa" w:w="5043"/>
            <w:vAlign w:val="center"/>
          </w:tcPr>
          <w:p>
            <w:r/>
            <w:r>
              <w:rPr>
                <w:b w:val="0"/>
                <w:sz w:val="18"/>
              </w:rPr>
              <w:t>Mesures disponibles</w:t>
            </w:r>
          </w:p>
        </w:tc>
        <w:tc>
          <w:tcPr>
            <w:tcW w:type="dxa" w:w="5043"/>
            <w:vAlign w:val="center"/>
          </w:tcPr>
          <w:p>
            <w:r/>
            <w:r>
              <w:rPr>
                <w:b w:val="0"/>
                <w:sz w:val="18"/>
              </w:rPr>
              <w:t>Les données décrivent une moyenne AB/CD et non chaque logement. Une campagne complémentaire dans des logements représentatifs est recommandée.</w:t>
            </w:r>
          </w:p>
        </w:tc>
      </w:tr>
      <w:tr>
        <w:tc>
          <w:tcPr>
            <w:tcW w:type="dxa" w:w="5043"/>
            <w:vAlign w:val="center"/>
          </w:tcPr>
          <w:p>
            <w:r/>
            <w:r>
              <w:rPr>
                <w:b w:val="0"/>
                <w:sz w:val="18"/>
              </w:rPr>
              <w:t>Surfaces et vitrages</w:t>
            </w:r>
          </w:p>
        </w:tc>
        <w:tc>
          <w:tcPr>
            <w:tcW w:type="dxa" w:w="5043"/>
            <w:vAlign w:val="center"/>
          </w:tcPr>
          <w:p>
            <w:r/>
            <w:r>
              <w:rPr>
                <w:b w:val="0"/>
                <w:sz w:val="18"/>
              </w:rPr>
              <w:t>La surface totale de 35 200 m² et la pondération 60 % simple / 40 % double doivent être confirmées par inventaire.</w:t>
            </w:r>
          </w:p>
        </w:tc>
      </w:tr>
      <w:tr>
        <w:tc>
          <w:tcPr>
            <w:tcW w:type="dxa" w:w="5043"/>
            <w:vAlign w:val="center"/>
          </w:tcPr>
          <w:p>
            <w:r/>
            <w:r>
              <w:rPr>
                <w:b w:val="0"/>
                <w:sz w:val="18"/>
              </w:rPr>
              <w:t>Derniers étages et orientations</w:t>
            </w:r>
          </w:p>
        </w:tc>
        <w:tc>
          <w:tcPr>
            <w:tcW w:type="dxa" w:w="5043"/>
            <w:vAlign w:val="center"/>
          </w:tcPr>
          <w:p>
            <w:r/>
            <w:r>
              <w:rPr>
                <w:b w:val="0"/>
                <w:sz w:val="18"/>
              </w:rPr>
              <w:t>Les logements défavorisés doivent être traités explicitement : dernier niveau, plein sud, simple vitrage, apports internes élevés.</w:t>
            </w:r>
          </w:p>
        </w:tc>
      </w:tr>
      <w:tr>
        <w:tc>
          <w:tcPr>
            <w:tcW w:type="dxa" w:w="5043"/>
            <w:vAlign w:val="center"/>
          </w:tcPr>
          <w:p>
            <w:r/>
            <w:r>
              <w:rPr>
                <w:b w:val="0"/>
                <w:sz w:val="18"/>
              </w:rPr>
              <w:t>Production et distribution froid</w:t>
            </w:r>
          </w:p>
        </w:tc>
        <w:tc>
          <w:tcPr>
            <w:tcW w:type="dxa" w:w="5043"/>
            <w:vAlign w:val="center"/>
          </w:tcPr>
          <w:p>
            <w:r/>
            <w:r>
              <w:rPr>
                <w:b w:val="0"/>
                <w:sz w:val="18"/>
              </w:rPr>
              <w:t>La présente étude dimensionne un besoin ; elle ne choisit pas l’architecture technique. Les pertes de distribution, les régimes d’eau glacée et le raccordement électrique doivent être étudiés.</w:t>
            </w:r>
          </w:p>
        </w:tc>
      </w:tr>
      <w:tr>
        <w:tc>
          <w:tcPr>
            <w:tcW w:type="dxa" w:w="5043"/>
            <w:vAlign w:val="center"/>
          </w:tcPr>
          <w:p>
            <w:r/>
            <w:r>
              <w:rPr>
                <w:b w:val="0"/>
                <w:sz w:val="18"/>
              </w:rPr>
              <w:t>Pilotage</w:t>
            </w:r>
          </w:p>
        </w:tc>
        <w:tc>
          <w:tcPr>
            <w:tcW w:type="dxa" w:w="5043"/>
            <w:vAlign w:val="center"/>
          </w:tcPr>
          <w:p>
            <w:r/>
            <w:r>
              <w:rPr>
                <w:b w:val="0"/>
                <w:sz w:val="18"/>
              </w:rPr>
              <w:t>Le pré-refroidissement doit être considéré comme une stratégie d’exploitation pour réduire les pointes, pas comme une justification automatique de sous-dimensionnement.</w:t>
            </w:r>
          </w:p>
        </w:tc>
      </w:tr>
      <w:tr>
        <w:tc>
          <w:tcPr>
            <w:tcW w:type="dxa" w:w="5043"/>
            <w:vAlign w:val="center"/>
          </w:tcPr>
          <w:p>
            <w:r/>
            <w:r>
              <w:rPr>
                <w:b w:val="0"/>
                <w:sz w:val="18"/>
              </w:rPr>
              <w:t>Décision AG</w:t>
            </w:r>
          </w:p>
        </w:tc>
        <w:tc>
          <w:tcPr>
            <w:tcW w:type="dxa" w:w="5043"/>
            <w:vAlign w:val="center"/>
          </w:tcPr>
          <w:p>
            <w:r/>
            <w:r>
              <w:rPr>
                <w:b w:val="0"/>
                <w:sz w:val="18"/>
              </w:rPr>
              <w:t>La prochaine étape doit être un dossier technique et économique complet : variantes, CAPEX/OPEX, raccordement électrique, implantation, nuisances, performance et phasage.</w:t>
            </w:r>
          </w:p>
        </w:tc>
      </w:tr>
    </w:tbl>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86"/>
      </w:tblGrid>
      <w:tr>
        <w:tc>
          <w:tcPr>
            <w:tcW w:type="dxa" w:w="9071"/>
            <w:shd w:fill="F4F8EE"/>
          </w:tcPr>
          <w:p>
            <w:r/>
            <w:r>
              <w:rPr>
                <w:b/>
                <w:color w:val="1F4E79"/>
                <w:sz w:val="20"/>
              </w:rPr>
              <w:t>Point de décision</w:t>
            </w:r>
          </w:p>
          <w:p>
            <w:pPr>
              <w:spacing w:before="60"/>
            </w:pPr>
            <w:r>
              <w:rPr>
                <w:sz w:val="18"/>
              </w:rPr>
              <w:t>La poursuite d’étude doit partir d’une enveloppe de 3 MW comme base de faisabilité, puis vérifier l’architecture technique, le raccordement électrique, les pertes de distribution, le pilotage et le coût complet. La capacité pourra être affinée uniquement après cette étape, pas à partir d’une moyenne de température.</w:t>
            </w:r>
          </w:p>
        </w:tc>
      </w:tr>
    </w:tbl>
    <w:p/>
    <w:sectPr w:rsidR="00FC693F" w:rsidRPr="0006063C" w:rsidSect="00034616">
      <w:headerReference w:type="default" r:id="rId9"/>
      <w:footerReference w:type="default" r:id="rId10"/>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6969"/>
        <w:sz w:val="16"/>
      </w:rPr>
      <w:t xml:space="preserve">Document de travail - valeurs apparentes à confirmer par étude thermique détaillée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96969"/>
        <w:sz w:val="16"/>
      </w:rPr>
      <w:t>FRESHCOP - Chapitre 4 consolidé - modèle thermique, inconfort et dimensionnement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969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