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FRESHCOP</w:t>
      </w:r>
    </w:p>
    <w:p>
      <w:pPr>
        <w:jc w:val="center"/>
      </w:pPr>
      <w:r>
        <w:rPr>
          <w:b/>
          <w:color w:val="1F4E79"/>
          <w:sz w:val="40"/>
        </w:rPr>
        <w:t>Annexe santé et confort thermique</w:t>
      </w:r>
    </w:p>
    <w:p>
      <w:pPr>
        <w:jc w:val="center"/>
      </w:pPr>
      <w:r>
        <w:rPr>
          <w:b/>
          <w:sz w:val="28"/>
        </w:rPr>
        <w:t>Justification des consignes 24°C dans les chambres et 26°C dans les séjours</w:t>
      </w:r>
    </w:p>
    <w:p>
      <w:pPr>
        <w:jc w:val="center"/>
      </w:pPr>
      <w:r>
        <w:rPr>
          <w:sz w:val="22"/>
        </w:rPr>
        <w:t>Sommeil, activité humaine, populations vulnérables et références sanitaires</w:t>
      </w:r>
    </w:p>
    <w:p/>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9"/>
                <w:sz w:val="21"/>
              </w:rPr>
              <w:t>Position du document</w:t>
            </w:r>
          </w:p>
          <w:p>
            <w:pPr>
              <w:spacing w:after="0"/>
            </w:pPr>
            <w:r>
              <w:rPr>
                <w:sz w:val="19"/>
              </w:rPr>
              <w:t>Ce document ne fixe pas une consigne de confort de luxe. Il justifie deux seuils de santé publique et de conception : 24°C dans les chambres, afin de préserver le sommeil et de garder une marge sous les seuils nocturnes d'inconfort ; 26°C dans les séjours, afin de créer un espace de vie et de récupération compatible avec une activité humaine légère, sans sur-refroidissement inutile.</w:t>
            </w:r>
          </w:p>
        </w:tc>
      </w:tr>
    </w:tbl>
    <w:p>
      <w:pPr>
        <w:jc w:val="center"/>
      </w:pPr>
      <w:r>
        <w:rPr>
          <w:i/>
          <w:sz w:val="18"/>
        </w:rPr>
        <w:t>Version professionnelle - sans historique de calcul</w:t>
      </w:r>
    </w:p>
    <w:p/>
    <w:p/>
    <w:p>
      <w:pPr>
        <w:pStyle w:val="Heading1"/>
      </w:pPr>
      <w:r>
        <w:t>Sommaire</w:t>
      </w:r>
    </w:p>
    <w:p>
      <w:pPr>
        <w:ind w:left="216"/>
      </w:pPr>
      <w:r>
        <w:t>1. Synthèse exécutive</w:t>
      </w:r>
    </w:p>
    <w:p>
      <w:pPr>
        <w:ind w:left="216"/>
      </w:pPr>
      <w:r>
        <w:t>2. Ce que signifient réellement les consignes 24°C et 26°C</w:t>
      </w:r>
    </w:p>
    <w:p>
      <w:pPr>
        <w:ind w:left="216"/>
      </w:pPr>
      <w:r>
        <w:t>3. Fondements physiologiques : chaleur, thermorégulation et santé</w:t>
      </w:r>
    </w:p>
    <w:p>
      <w:pPr>
        <w:ind w:left="216"/>
      </w:pPr>
      <w:r>
        <w:t>4. Chambres à 24°C : justification par le sommeil</w:t>
      </w:r>
    </w:p>
    <w:p>
      <w:pPr>
        <w:ind w:left="216"/>
      </w:pPr>
      <w:r>
        <w:t>5. Séjours à 26°C : justification par l’activité humaine</w:t>
      </w:r>
    </w:p>
    <w:p>
      <w:pPr>
        <w:ind w:left="216"/>
      </w:pPr>
      <w:r>
        <w:t>6. Populations vulnérables : pourquoi le seuil doit protéger les plus fragiles</w:t>
      </w:r>
    </w:p>
    <w:p>
      <w:pPr>
        <w:ind w:left="216"/>
      </w:pPr>
      <w:r>
        <w:t>7. Références réglementaires et standards de confort d’été</w:t>
      </w:r>
    </w:p>
    <w:p>
      <w:pPr>
        <w:ind w:left="216"/>
      </w:pPr>
      <w:r>
        <w:t>8. Traduction opérationnelle pour FRESHCOP</w:t>
      </w:r>
    </w:p>
    <w:p>
      <w:pPr>
        <w:ind w:left="216"/>
      </w:pPr>
      <w:r>
        <w:t>9. Argumentaire prêt à intégrer au dossier</w:t>
      </w:r>
    </w:p>
    <w:p>
      <w:pPr>
        <w:ind w:left="216"/>
      </w:pPr>
      <w:r>
        <w:t>10. Bibliographie commentée</w:t>
      </w:r>
    </w:p>
    <w:p>
      <w:r>
        <w:br w:type="page"/>
      </w:r>
    </w:p>
    <w:p>
      <w:pPr>
        <w:pStyle w:val="Heading1"/>
      </w:pPr>
      <w:r>
        <w:t>1. Synthèse exécutive</w:t>
      </w:r>
    </w:p>
    <w:tbl>
      <w:tblPr>
        <w:tblStyle w:val="TableGrid"/>
        <w:tblW w:type="auto" w:w="0"/>
        <w:jc w:val="center"/>
        <w:tblLook w:firstColumn="1" w:firstRow="1" w:lastColumn="0" w:lastRow="0" w:noHBand="0" w:noVBand="1" w:val="04A0"/>
      </w:tblPr>
      <w:tblGrid>
        <w:gridCol w:w="10368"/>
      </w:tblGrid>
      <w:tr>
        <w:tc>
          <w:tcPr>
            <w:tcW w:type="dxa" w:w="10368"/>
            <w:shd w:fill="E2F0D9"/>
          </w:tcPr>
          <w:p>
            <w:r>
              <w:rPr>
                <w:b/>
                <w:color w:val="1F4E79"/>
                <w:sz w:val="21"/>
              </w:rPr>
              <w:t>Conclusion courte</w:t>
            </w:r>
          </w:p>
          <w:p>
            <w:pPr>
              <w:spacing w:after="0"/>
            </w:pPr>
            <w:r>
              <w:rPr>
                <w:sz w:val="19"/>
              </w:rPr>
              <w:t>La consigne 24°C dans les chambres et 26°C dans les séjours est techniquement défendable, sobre et médicalement prudente. Elle ne repose pas sur un seul texte, mais sur la convergence de quatre familles de preuves : physiologie du sommeil, recommandations de santé publique sur la chaleur intérieure, seuils de confort d’été du bâtiment, et repères de prévention de l’astreinte thermique liée à l’activité.</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9"/>
          </w:tcPr>
          <w:p>
            <w:r/>
            <w:r>
              <w:rPr>
                <w:b/>
                <w:color w:val="FFFFFF"/>
                <w:sz w:val="16"/>
              </w:rPr>
              <w:t>Zone</w:t>
            </w:r>
          </w:p>
        </w:tc>
        <w:tc>
          <w:tcPr>
            <w:tcW w:type="dxa" w:w="1872"/>
            <w:vAlign w:val="center"/>
            <w:shd w:fill="1F4E79"/>
          </w:tcPr>
          <w:p>
            <w:r/>
            <w:r>
              <w:rPr>
                <w:b/>
                <w:color w:val="FFFFFF"/>
                <w:sz w:val="16"/>
              </w:rPr>
              <w:t>Consigne retenue</w:t>
            </w:r>
          </w:p>
        </w:tc>
        <w:tc>
          <w:tcPr>
            <w:tcW w:type="dxa" w:w="6768"/>
            <w:vAlign w:val="center"/>
            <w:shd w:fill="1F4E79"/>
          </w:tcPr>
          <w:p>
            <w:r/>
            <w:r>
              <w:rPr>
                <w:b/>
                <w:color w:val="FFFFFF"/>
                <w:sz w:val="16"/>
              </w:rPr>
              <w:t>Justification</w:t>
            </w:r>
          </w:p>
        </w:tc>
        <w:tc>
          <w:tcPr>
            <w:tcW w:type="dxa" w:w="1584"/>
            <w:vAlign w:val="center"/>
            <w:shd w:fill="1F4E79"/>
          </w:tcPr>
          <w:p>
            <w:r/>
            <w:r>
              <w:rPr>
                <w:b/>
                <w:color w:val="FFFFFF"/>
                <w:sz w:val="16"/>
              </w:rPr>
              <w:t>Sources</w:t>
            </w:r>
          </w:p>
        </w:tc>
      </w:tr>
      <w:tr>
        <w:tc>
          <w:tcPr>
            <w:tcW w:type="dxa" w:w="1728"/>
            <w:vAlign w:val="center"/>
          </w:tcPr>
          <w:p>
            <w:r/>
            <w:r>
              <w:rPr>
                <w:b w:val="0"/>
                <w:sz w:val="16"/>
              </w:rPr>
              <w:t>Chambres</w:t>
            </w:r>
          </w:p>
        </w:tc>
        <w:tc>
          <w:tcPr>
            <w:tcW w:type="dxa" w:w="1872"/>
            <w:vAlign w:val="center"/>
          </w:tcPr>
          <w:p>
            <w:r/>
            <w:r>
              <w:rPr>
                <w:b w:val="0"/>
                <w:sz w:val="16"/>
              </w:rPr>
              <w:t>24°C</w:t>
            </w:r>
          </w:p>
        </w:tc>
        <w:tc>
          <w:tcPr>
            <w:tcW w:type="dxa" w:w="6768"/>
            <w:vAlign w:val="center"/>
          </w:tcPr>
          <w:p>
            <w:r/>
            <w:r>
              <w:rPr>
                <w:b w:val="0"/>
                <w:sz w:val="16"/>
              </w:rPr>
              <w:t>Le sommeil exige une baisse de la température corporelle et une ambiance stable. Les données disponibles chez les personnes âgées situent la meilleure efficacité du sommeil entre 20 et 25°C ; au-delà de 25°C la qualité se dégrade et les seuils d'inconfort nocturne apparaissent à 26°C.</w:t>
            </w:r>
          </w:p>
        </w:tc>
        <w:tc>
          <w:tcPr>
            <w:tcW w:type="dxa" w:w="1584"/>
            <w:vAlign w:val="center"/>
          </w:tcPr>
          <w:p>
            <w:r/>
            <w:r>
              <w:rPr>
                <w:b w:val="0"/>
                <w:sz w:val="16"/>
              </w:rPr>
              <w:t>[S7], [S9], [S10]</w:t>
            </w:r>
          </w:p>
        </w:tc>
      </w:tr>
      <w:tr>
        <w:tc>
          <w:tcPr>
            <w:tcW w:type="dxa" w:w="1728"/>
            <w:vAlign w:val="center"/>
          </w:tcPr>
          <w:p>
            <w:r/>
            <w:r>
              <w:rPr>
                <w:b w:val="0"/>
                <w:sz w:val="16"/>
              </w:rPr>
              <w:t>Séjours</w:t>
            </w:r>
          </w:p>
        </w:tc>
        <w:tc>
          <w:tcPr>
            <w:tcW w:type="dxa" w:w="1872"/>
            <w:vAlign w:val="center"/>
          </w:tcPr>
          <w:p>
            <w:r/>
            <w:r>
              <w:rPr>
                <w:b w:val="0"/>
                <w:sz w:val="16"/>
              </w:rPr>
              <w:t>26°C</w:t>
            </w:r>
          </w:p>
        </w:tc>
        <w:tc>
          <w:tcPr>
            <w:tcW w:type="dxa" w:w="6768"/>
            <w:vAlign w:val="center"/>
          </w:tcPr>
          <w:p>
            <w:r/>
            <w:r>
              <w:rPr>
                <w:b w:val="0"/>
                <w:sz w:val="16"/>
              </w:rPr>
              <w:t>Le séjour est la pièce de vie, de récupération et d'activité légère. 26°C constitue un plafond protecteur, compatible avec la sobriété énergétique, et cohérent avec les recommandations de santé publique visant à maintenir un espace frais pour les personnes vulnérables.</w:t>
            </w:r>
          </w:p>
        </w:tc>
        <w:tc>
          <w:tcPr>
            <w:tcW w:type="dxa" w:w="1584"/>
            <w:vAlign w:val="center"/>
          </w:tcPr>
          <w:p>
            <w:r/>
            <w:r>
              <w:rPr>
                <w:b w:val="0"/>
                <w:sz w:val="16"/>
              </w:rPr>
              <w:t>[S5], [S6], [S10], [S11]</w:t>
            </w:r>
          </w:p>
        </w:tc>
      </w:tr>
      <w:tr>
        <w:tc>
          <w:tcPr>
            <w:tcW w:type="dxa" w:w="1728"/>
            <w:vAlign w:val="center"/>
          </w:tcPr>
          <w:p>
            <w:r/>
            <w:r>
              <w:rPr>
                <w:b w:val="0"/>
                <w:sz w:val="16"/>
              </w:rPr>
              <w:t>Résidence avec personnes âgées et jeunes enfants</w:t>
            </w:r>
          </w:p>
        </w:tc>
        <w:tc>
          <w:tcPr>
            <w:tcW w:type="dxa" w:w="1872"/>
            <w:vAlign w:val="center"/>
          </w:tcPr>
          <w:p>
            <w:r/>
            <w:r>
              <w:rPr>
                <w:b w:val="0"/>
                <w:sz w:val="16"/>
              </w:rPr>
              <w:t>Consigne prudente</w:t>
            </w:r>
          </w:p>
        </w:tc>
        <w:tc>
          <w:tcPr>
            <w:tcW w:type="dxa" w:w="6768"/>
            <w:vAlign w:val="center"/>
          </w:tcPr>
          <w:p>
            <w:r/>
            <w:r>
              <w:rPr>
                <w:b w:val="0"/>
                <w:sz w:val="16"/>
              </w:rPr>
              <w:t>La décision ne doit pas viser uniquement l'adulte jeune en bonne santé. Elle doit protéger les personnes âgées, les nourrissons, les jeunes enfants, les personnes sous traitement et les occupants qui ne peuvent pas adapter facilement leur comportement.</w:t>
            </w:r>
          </w:p>
        </w:tc>
        <w:tc>
          <w:tcPr>
            <w:tcW w:type="dxa" w:w="1584"/>
            <w:vAlign w:val="center"/>
          </w:tcPr>
          <w:p>
            <w:r/>
            <w:r>
              <w:rPr>
                <w:b w:val="0"/>
                <w:sz w:val="16"/>
              </w:rPr>
              <w:t>[S1], [S2], [S3], [S4]</w:t>
            </w:r>
          </w:p>
        </w:tc>
      </w:tr>
    </w:tbl>
    <w:p>
      <w:r>
        <w:rPr>
          <w:b/>
        </w:rPr>
        <w:t xml:space="preserve">Point clé. </w:t>
      </w:r>
      <w:r>
        <w:t>Le 24°C des chambres n'est pas le seuil d'inconfort : c'est une consigne d'exploitation destinée à rester sous les seuils nocturnes critiques dans les logements réels, en tenant compte des écarts entre appartements, orientations, étages, vitrages, apports internes et incertitudes de mesure. Le 26°C du séjour n'est pas non plus un optimum universel ; c'est un plafond raisonnable pour un espace habité en période chaude.</w:t>
      </w:r>
    </w:p>
    <w:p>
      <w:pPr>
        <w:pStyle w:val="Heading1"/>
      </w:pPr>
      <w:r>
        <w:t>2. Ce que signifient réellement les consignes 24°C et 26°C</w:t>
      </w:r>
    </w:p>
    <w:p>
      <w:pPr>
        <w:pStyle w:val="Heading2"/>
      </w:pPr>
      <w:r>
        <w:t>2.1 Des consignes de protection, pas des promesses de confort absolu</w:t>
      </w:r>
    </w:p>
    <w:p>
      <w:r>
        <w:rPr>
          <w:b/>
        </w:rPr>
        <w:t xml:space="preserve">Température ressentie. </w:t>
      </w:r>
      <w:r>
        <w:t>Une consigne de climatisation collective ne doit pas être lue uniquement comme une température d'air. Le confort dépend aussi de la température radiante des parois, de l'humidité, de la vitesse d'air, de l'habillement, de l'activité, de l'âge et de l'état de santé. C'est le principe même des standards de confort thermique, qui évaluent des combinaisons de facteurs plutôt qu'une température isolée [S12].</w:t>
      </w:r>
    </w:p>
    <w:p>
      <w:r>
        <w:rPr>
          <w:b/>
        </w:rPr>
        <w:t xml:space="preserve">Consigne et marge. </w:t>
      </w:r>
      <w:r>
        <w:t>Dans un immeuble collectif, la consigne au niveau du système doit être plus stricte que le seuil sanitaire à ne pas dépasser. Une consigne chambre à 24°C crée une marge de 2°C par rapport au seuil nocturne de 26°C utilisé dans la RE2020 et dans les méthodes de surchauffe résidentielle. Cette marge est nécessaire parce que tous les logements ne réagissent pas de la même manière.</w:t>
      </w:r>
    </w:p>
    <w:p>
      <w:r>
        <w:drawing>
          <wp:inline xmlns:a="http://schemas.openxmlformats.org/drawingml/2006/main" xmlns:pic="http://schemas.openxmlformats.org/drawingml/2006/picture">
            <wp:extent cx="6217920" cy="1536192"/>
            <wp:docPr id="1" name="Picture 1"/>
            <wp:cNvGraphicFramePr>
              <a:graphicFrameLocks noChangeAspect="1"/>
            </wp:cNvGraphicFramePr>
            <a:graphic>
              <a:graphicData uri="http://schemas.openxmlformats.org/drawingml/2006/picture">
                <pic:pic>
                  <pic:nvPicPr>
                    <pic:cNvPr id="0" name="fig01_echelle_24_26.png"/>
                    <pic:cNvPicPr/>
                  </pic:nvPicPr>
                  <pic:blipFill>
                    <a:blip r:embed="rId11"/>
                    <a:stretch>
                      <a:fillRect/>
                    </a:stretch>
                  </pic:blipFill>
                  <pic:spPr>
                    <a:xfrm>
                      <a:off x="0" y="0"/>
                      <a:ext cx="6217920" cy="1536192"/>
                    </a:xfrm>
                    <a:prstGeom prst="rect"/>
                  </pic:spPr>
                </pic:pic>
              </a:graphicData>
            </a:graphic>
          </wp:inline>
        </w:drawing>
      </w:r>
    </w:p>
    <w:p>
      <w:pPr>
        <w:jc w:val="center"/>
      </w:pPr>
      <w:r>
        <w:rPr>
          <w:i/>
          <w:color w:val="5A5A5A"/>
          <w:sz w:val="17"/>
        </w:rPr>
        <w:t>Figure 1 - Positionnement des consignes 24°C / 26°C par rapport aux principaux seuils santé-confort.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center"/>
            <w:shd w:fill="1F4E79"/>
          </w:tcPr>
          <w:p>
            <w:r/>
            <w:r>
              <w:rPr>
                <w:b/>
                <w:color w:val="FFFFFF"/>
                <w:sz w:val="16"/>
              </w:rPr>
              <w:t>Température</w:t>
            </w:r>
          </w:p>
        </w:tc>
        <w:tc>
          <w:tcPr>
            <w:tcW w:type="dxa" w:w="2736"/>
            <w:vAlign w:val="center"/>
            <w:shd w:fill="1F4E79"/>
          </w:tcPr>
          <w:p>
            <w:r/>
            <w:r>
              <w:rPr>
                <w:b/>
                <w:color w:val="FFFFFF"/>
                <w:sz w:val="16"/>
              </w:rPr>
              <w:t>Lecture</w:t>
            </w:r>
          </w:p>
        </w:tc>
        <w:tc>
          <w:tcPr>
            <w:tcW w:type="dxa" w:w="5760"/>
            <w:vAlign w:val="center"/>
            <w:shd w:fill="1F4E79"/>
          </w:tcPr>
          <w:p>
            <w:r/>
            <w:r>
              <w:rPr>
                <w:b/>
                <w:color w:val="FFFFFF"/>
                <w:sz w:val="16"/>
              </w:rPr>
              <w:t>Justification</w:t>
            </w:r>
          </w:p>
        </w:tc>
        <w:tc>
          <w:tcPr>
            <w:tcW w:type="dxa" w:w="2160"/>
            <w:vAlign w:val="center"/>
            <w:shd w:fill="1F4E79"/>
          </w:tcPr>
          <w:p>
            <w:r/>
            <w:r>
              <w:rPr>
                <w:b/>
                <w:color w:val="FFFFFF"/>
                <w:sz w:val="16"/>
              </w:rPr>
              <w:t>Usage FRESHCOP</w:t>
            </w:r>
          </w:p>
        </w:tc>
      </w:tr>
      <w:tr>
        <w:tc>
          <w:tcPr>
            <w:tcW w:type="dxa" w:w="1800"/>
            <w:vAlign w:val="center"/>
          </w:tcPr>
          <w:p>
            <w:r/>
            <w:r>
              <w:rPr>
                <w:b w:val="0"/>
                <w:sz w:val="16"/>
              </w:rPr>
              <w:t>24°C chambres</w:t>
            </w:r>
          </w:p>
        </w:tc>
        <w:tc>
          <w:tcPr>
            <w:tcW w:type="dxa" w:w="2736"/>
            <w:vAlign w:val="center"/>
          </w:tcPr>
          <w:p>
            <w:r/>
            <w:r>
              <w:rPr>
                <w:b w:val="0"/>
                <w:sz w:val="16"/>
              </w:rPr>
              <w:t>Objectif de sommeil et de récupération nocturne</w:t>
            </w:r>
          </w:p>
        </w:tc>
        <w:tc>
          <w:tcPr>
            <w:tcW w:type="dxa" w:w="5760"/>
            <w:vAlign w:val="center"/>
          </w:tcPr>
          <w:p>
            <w:r/>
            <w:r>
              <w:rPr>
                <w:b w:val="0"/>
                <w:sz w:val="16"/>
              </w:rPr>
              <w:t>Sous le seuil de 26°C considéré comme seuil d'inconfort nocturne dans les approches bâtiment ; dans la zone 20-25°C associée à la meilleure efficacité de sommeil chez les personnes âgées.</w:t>
            </w:r>
          </w:p>
        </w:tc>
        <w:tc>
          <w:tcPr>
            <w:tcW w:type="dxa" w:w="2160"/>
            <w:vAlign w:val="center"/>
          </w:tcPr>
          <w:p>
            <w:r/>
            <w:r>
              <w:rPr>
                <w:b w:val="0"/>
                <w:sz w:val="16"/>
              </w:rPr>
              <w:t>Consigne prioritaire la nuit</w:t>
            </w:r>
          </w:p>
        </w:tc>
      </w:tr>
      <w:tr>
        <w:tc>
          <w:tcPr>
            <w:tcW w:type="dxa" w:w="1800"/>
            <w:vAlign w:val="center"/>
          </w:tcPr>
          <w:p>
            <w:r/>
            <w:r>
              <w:rPr>
                <w:b w:val="0"/>
                <w:sz w:val="16"/>
              </w:rPr>
              <w:t>26°C séjours</w:t>
            </w:r>
          </w:p>
        </w:tc>
        <w:tc>
          <w:tcPr>
            <w:tcW w:type="dxa" w:w="2736"/>
            <w:vAlign w:val="center"/>
          </w:tcPr>
          <w:p>
            <w:r/>
            <w:r>
              <w:rPr>
                <w:b w:val="0"/>
                <w:sz w:val="16"/>
              </w:rPr>
              <w:t>Objectif d’espace de vie et de refuge diurne</w:t>
            </w:r>
          </w:p>
        </w:tc>
        <w:tc>
          <w:tcPr>
            <w:tcW w:type="dxa" w:w="5760"/>
            <w:vAlign w:val="center"/>
          </w:tcPr>
          <w:p>
            <w:r/>
            <w:r>
              <w:rPr>
                <w:b w:val="0"/>
                <w:sz w:val="16"/>
              </w:rPr>
              <w:t>Aligné avec les recommandations de maintien d’un espace intérieur frais pour les personnes vulnérables et avec le seuil consensuel d'inconfort de la RE2020.</w:t>
            </w:r>
          </w:p>
        </w:tc>
        <w:tc>
          <w:tcPr>
            <w:tcW w:type="dxa" w:w="2160"/>
            <w:vAlign w:val="center"/>
          </w:tcPr>
          <w:p>
            <w:r/>
            <w:r>
              <w:rPr>
                <w:b w:val="0"/>
                <w:sz w:val="16"/>
              </w:rPr>
              <w:t>Consigne sobre en journée</w:t>
            </w:r>
          </w:p>
        </w:tc>
      </w:tr>
      <w:tr>
        <w:tc>
          <w:tcPr>
            <w:tcW w:type="dxa" w:w="1800"/>
            <w:vAlign w:val="center"/>
          </w:tcPr>
          <w:p>
            <w:r/>
            <w:r>
              <w:rPr>
                <w:b w:val="0"/>
                <w:sz w:val="16"/>
              </w:rPr>
              <w:t>&gt;28°C</w:t>
            </w:r>
          </w:p>
        </w:tc>
        <w:tc>
          <w:tcPr>
            <w:tcW w:type="dxa" w:w="2736"/>
            <w:vAlign w:val="center"/>
          </w:tcPr>
          <w:p>
            <w:r/>
            <w:r>
              <w:rPr>
                <w:b w:val="0"/>
                <w:sz w:val="16"/>
              </w:rPr>
              <w:t>Zone d’inconfort marqué</w:t>
            </w:r>
          </w:p>
        </w:tc>
        <w:tc>
          <w:tcPr>
            <w:tcW w:type="dxa" w:w="5760"/>
            <w:vAlign w:val="center"/>
          </w:tcPr>
          <w:p>
            <w:r/>
            <w:r>
              <w:rPr>
                <w:b w:val="0"/>
                <w:sz w:val="16"/>
              </w:rPr>
              <w:t>Seuil de journée souvent utilisé comme limite haute d'inconfort et repère d’alerte pour activité légère selon l’INRS.</w:t>
            </w:r>
          </w:p>
        </w:tc>
        <w:tc>
          <w:tcPr>
            <w:tcW w:type="dxa" w:w="2160"/>
            <w:vAlign w:val="center"/>
          </w:tcPr>
          <w:p>
            <w:r/>
            <w:r>
              <w:rPr>
                <w:b w:val="0"/>
                <w:sz w:val="16"/>
              </w:rPr>
              <w:t>À éviter en occupation prolongée</w:t>
            </w:r>
          </w:p>
        </w:tc>
      </w:tr>
      <w:tr>
        <w:tc>
          <w:tcPr>
            <w:tcW w:type="dxa" w:w="1800"/>
            <w:vAlign w:val="center"/>
          </w:tcPr>
          <w:p>
            <w:r/>
            <w:r>
              <w:rPr>
                <w:b w:val="0"/>
                <w:sz w:val="16"/>
              </w:rPr>
              <w:t>&gt;30°C</w:t>
            </w:r>
          </w:p>
        </w:tc>
        <w:tc>
          <w:tcPr>
            <w:tcW w:type="dxa" w:w="2736"/>
            <w:vAlign w:val="center"/>
          </w:tcPr>
          <w:p>
            <w:r/>
            <w:r>
              <w:rPr>
                <w:b w:val="0"/>
                <w:sz w:val="16"/>
              </w:rPr>
              <w:t>Zone de risque pour activité sédentaire</w:t>
            </w:r>
          </w:p>
        </w:tc>
        <w:tc>
          <w:tcPr>
            <w:tcW w:type="dxa" w:w="5760"/>
            <w:vAlign w:val="center"/>
          </w:tcPr>
          <w:p>
            <w:r/>
            <w:r>
              <w:rPr>
                <w:b w:val="0"/>
                <w:sz w:val="16"/>
              </w:rPr>
              <w:t>Repère de prévention de l’astreinte thermique, notamment en milieu de travail sédentaire.</w:t>
            </w:r>
          </w:p>
        </w:tc>
        <w:tc>
          <w:tcPr>
            <w:tcW w:type="dxa" w:w="2160"/>
            <w:vAlign w:val="center"/>
          </w:tcPr>
          <w:p>
            <w:r/>
            <w:r>
              <w:rPr>
                <w:b w:val="0"/>
                <w:sz w:val="16"/>
              </w:rPr>
              <w:t>Non acceptable comme régime de vie normal</w:t>
            </w:r>
          </w:p>
        </w:tc>
      </w:tr>
    </w:tbl>
    <w:p>
      <w:pPr>
        <w:pStyle w:val="Heading1"/>
      </w:pPr>
      <w:r>
        <w:t>3. Fondements physiologiques : chaleur, thermorégulation et santé</w:t>
      </w:r>
    </w:p>
    <w:p>
      <w:pPr>
        <w:pStyle w:val="Heading2"/>
      </w:pPr>
      <w:r>
        <w:t>3.1 Le corps humain doit évacuer la chaleur</w:t>
      </w:r>
    </w:p>
    <w:p>
      <w:r>
        <w:rPr>
          <w:b/>
        </w:rPr>
        <w:t xml:space="preserve">La chaleur n'est pas seulement un inconfort subjectif. </w:t>
      </w:r>
      <w:r>
        <w:t>Lorsque l'ambiance intérieure empêche le corps de dissiper la chaleur, l'organisme augmente sa transpiration, accélère la respiration et sollicite la vasodilatation cutanée. Ces mécanismes ont un coût physiologique : déshydratation, fatigue, augmentation de la charge cardiovasculaire et limitation de la récupération nocturne. L'Organisation mondiale de la santé rappelle que l'incapacité à réguler la température interne et à éliminer le gain de chaleur augmente le risque d'épuisement, de coup de chaleur, et aggrave notamment les risques cardiovasculaires, rénaux, respiratoires, métaboliques et de santé mentale [S1].</w:t>
      </w:r>
    </w:p>
    <w:p>
      <w:r>
        <w:rPr>
          <w:b/>
        </w:rPr>
        <w:t xml:space="preserve">La nuit est critique. </w:t>
      </w:r>
      <w:r>
        <w:t>Une journée chaude peut être supportable si la nuit permet une récupération. À l'inverse, lorsque la température baisse peu la nuit, le corps reste sous contrainte et la dette de sommeil s'accumule. La définition française de la canicule insiste précisément sur la persistance de fortes chaleurs pendant plusieurs jours et plusieurs nuits [S3].</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9"/>
          </w:tcPr>
          <w:p>
            <w:r/>
            <w:r>
              <w:rPr>
                <w:b/>
                <w:color w:val="FFFFFF"/>
                <w:sz w:val="16"/>
              </w:rPr>
              <w:t>Mécanisme</w:t>
            </w:r>
          </w:p>
        </w:tc>
        <w:tc>
          <w:tcPr>
            <w:tcW w:type="dxa" w:w="4896"/>
            <w:vAlign w:val="center"/>
            <w:shd w:fill="1F4E79"/>
          </w:tcPr>
          <w:p>
            <w:r/>
            <w:r>
              <w:rPr>
                <w:b/>
                <w:color w:val="FFFFFF"/>
                <w:sz w:val="16"/>
              </w:rPr>
              <w:t>Ce qui se passe</w:t>
            </w:r>
          </w:p>
        </w:tc>
        <w:tc>
          <w:tcPr>
            <w:tcW w:type="dxa" w:w="4608"/>
            <w:vAlign w:val="center"/>
            <w:shd w:fill="1F4E79"/>
          </w:tcPr>
          <w:p>
            <w:r/>
            <w:r>
              <w:rPr>
                <w:b/>
                <w:color w:val="FFFFFF"/>
                <w:sz w:val="16"/>
              </w:rPr>
              <w:t>Conséquence attendue</w:t>
            </w:r>
          </w:p>
        </w:tc>
      </w:tr>
      <w:tr>
        <w:tc>
          <w:tcPr>
            <w:tcW w:type="dxa" w:w="2448"/>
            <w:vAlign w:val="center"/>
          </w:tcPr>
          <w:p>
            <w:r/>
            <w:r>
              <w:rPr>
                <w:b w:val="0"/>
                <w:sz w:val="16"/>
              </w:rPr>
              <w:t>Thermorégulation</w:t>
            </w:r>
          </w:p>
        </w:tc>
        <w:tc>
          <w:tcPr>
            <w:tcW w:type="dxa" w:w="4896"/>
            <w:vAlign w:val="center"/>
          </w:tcPr>
          <w:p>
            <w:r/>
            <w:r>
              <w:rPr>
                <w:b w:val="0"/>
                <w:sz w:val="16"/>
              </w:rPr>
              <w:t>Transpiration, vasodilatation, augmentation de la respiration</w:t>
            </w:r>
          </w:p>
        </w:tc>
        <w:tc>
          <w:tcPr>
            <w:tcW w:type="dxa" w:w="4608"/>
            <w:vAlign w:val="center"/>
          </w:tcPr>
          <w:p>
            <w:r/>
            <w:r>
              <w:rPr>
                <w:b w:val="0"/>
                <w:sz w:val="16"/>
              </w:rPr>
              <w:t>Déshydratation, fatigue, contraintes cardiovasculaires</w:t>
            </w:r>
          </w:p>
        </w:tc>
      </w:tr>
      <w:tr>
        <w:tc>
          <w:tcPr>
            <w:tcW w:type="dxa" w:w="2448"/>
            <w:vAlign w:val="center"/>
          </w:tcPr>
          <w:p>
            <w:r/>
            <w:r>
              <w:rPr>
                <w:b w:val="0"/>
                <w:sz w:val="16"/>
              </w:rPr>
              <w:t>Sommeil</w:t>
            </w:r>
          </w:p>
        </w:tc>
        <w:tc>
          <w:tcPr>
            <w:tcW w:type="dxa" w:w="4896"/>
            <w:vAlign w:val="center"/>
          </w:tcPr>
          <w:p>
            <w:r/>
            <w:r>
              <w:rPr>
                <w:b w:val="0"/>
                <w:sz w:val="16"/>
              </w:rPr>
              <w:t>Baisse naturelle de la température corporelle et besoin de stabilité thermique</w:t>
            </w:r>
          </w:p>
        </w:tc>
        <w:tc>
          <w:tcPr>
            <w:tcW w:type="dxa" w:w="4608"/>
            <w:vAlign w:val="center"/>
          </w:tcPr>
          <w:p>
            <w:r/>
            <w:r>
              <w:rPr>
                <w:b w:val="0"/>
                <w:sz w:val="16"/>
              </w:rPr>
              <w:t>Endormissement retardé, réveils, baisse de l’efficacité du sommeil</w:t>
            </w:r>
          </w:p>
        </w:tc>
      </w:tr>
      <w:tr>
        <w:tc>
          <w:tcPr>
            <w:tcW w:type="dxa" w:w="2448"/>
            <w:vAlign w:val="center"/>
          </w:tcPr>
          <w:p>
            <w:r/>
            <w:r>
              <w:rPr>
                <w:b w:val="0"/>
                <w:sz w:val="16"/>
              </w:rPr>
              <w:t>Activité légère</w:t>
            </w:r>
          </w:p>
        </w:tc>
        <w:tc>
          <w:tcPr>
            <w:tcW w:type="dxa" w:w="4896"/>
            <w:vAlign w:val="center"/>
          </w:tcPr>
          <w:p>
            <w:r/>
            <w:r>
              <w:rPr>
                <w:b w:val="0"/>
                <w:sz w:val="16"/>
              </w:rPr>
              <w:t>Production métabolique supérieure au repos</w:t>
            </w:r>
          </w:p>
        </w:tc>
        <w:tc>
          <w:tcPr>
            <w:tcW w:type="dxa" w:w="4608"/>
            <w:vAlign w:val="center"/>
          </w:tcPr>
          <w:p>
            <w:r/>
            <w:r>
              <w:rPr>
                <w:b w:val="0"/>
                <w:sz w:val="16"/>
              </w:rPr>
              <w:t>Inconfort plus rapide, baisse de vigilance, fatigue accrue</w:t>
            </w:r>
          </w:p>
        </w:tc>
      </w:tr>
      <w:tr>
        <w:tc>
          <w:tcPr>
            <w:tcW w:type="dxa" w:w="2448"/>
            <w:vAlign w:val="center"/>
          </w:tcPr>
          <w:p>
            <w:r/>
            <w:r>
              <w:rPr>
                <w:b w:val="0"/>
                <w:sz w:val="16"/>
              </w:rPr>
              <w:t>Vulnérabilité</w:t>
            </w:r>
          </w:p>
        </w:tc>
        <w:tc>
          <w:tcPr>
            <w:tcW w:type="dxa" w:w="4896"/>
            <w:vAlign w:val="center"/>
          </w:tcPr>
          <w:p>
            <w:r/>
            <w:r>
              <w:rPr>
                <w:b w:val="0"/>
                <w:sz w:val="16"/>
              </w:rPr>
              <w:t>Réponse physiologique moins efficace ou comportement d’adaptation limité</w:t>
            </w:r>
          </w:p>
        </w:tc>
        <w:tc>
          <w:tcPr>
            <w:tcW w:type="dxa" w:w="4608"/>
            <w:vAlign w:val="center"/>
          </w:tcPr>
          <w:p>
            <w:r/>
            <w:r>
              <w:rPr>
                <w:b w:val="0"/>
                <w:sz w:val="16"/>
              </w:rPr>
              <w:t>Risque accru chez personnes âgées, nourrissons, enfants et personnes malades</w:t>
            </w:r>
          </w:p>
        </w:tc>
      </w:tr>
    </w:tbl>
    <w:p>
      <w:pPr>
        <w:pStyle w:val="Heading1"/>
      </w:pPr>
      <w:r>
        <w:t>4. Chambres à 24°C : justification par le sommeil</w:t>
      </w:r>
    </w:p>
    <w:p>
      <w:pPr>
        <w:pStyle w:val="Heading2"/>
      </w:pPr>
      <w:r>
        <w:t>4.1 Le sommeil impose une exigence plus stricte que le séjour</w:t>
      </w:r>
    </w:p>
    <w:p>
      <w:r>
        <w:rPr>
          <w:b/>
        </w:rPr>
        <w:t xml:space="preserve">Une chambre n'est pas une pièce de séjour. </w:t>
      </w:r>
      <w:r>
        <w:t>Pendant le sommeil, l'occupant ne peut pas adapter finement son comportement : il ne boit pas régulièrement, ne change pas souvent de pièce, ne gère pas son habillement comme en journée et ne compense pas facilement l'inconfort par une activité volontaire. La priorité n'est donc pas seulement de ne pas avoir trop chaud ; elle est de permettre l'endormissement, la continuité du sommeil et la récupération.</w:t>
      </w:r>
    </w:p>
    <w:p>
      <w:r>
        <w:rPr>
          <w:b/>
        </w:rPr>
        <w:t xml:space="preserve">La meilleure donnée directement utilisable </w:t>
      </w:r>
      <w:r>
        <w:t>est l'étude de Baniassadi et al. publiée en 2023 dans Science of the Total Environment. Elle a suivi des personnes âgées vivant à domicile avec des capteurs de température et des dispositifs de mesure du sommeil. Les résultats indiquent que le sommeil est le plus efficace et le plus reposant lorsque la température nocturne de la chambre se situe entre 20 et 25°C, avec une baisse cliniquement pertinente de l'efficacité du sommeil lorsque la température augmente de 25°C à 30°C [S7].</w:t>
      </w:r>
    </w:p>
    <w:tbl>
      <w:tblPr>
        <w:tblStyle w:val="TableGrid"/>
        <w:tblW w:type="auto" w:w="0"/>
        <w:jc w:val="center"/>
        <w:tblLook w:firstColumn="1" w:firstRow="1" w:lastColumn="0" w:lastRow="0" w:noHBand="0" w:noVBand="1" w:val="04A0"/>
      </w:tblPr>
      <w:tblGrid>
        <w:gridCol w:w="10368"/>
      </w:tblGrid>
      <w:tr>
        <w:tc>
          <w:tcPr>
            <w:tcW w:type="dxa" w:w="10368"/>
            <w:shd w:fill="FCE4D6"/>
          </w:tcPr>
          <w:p>
            <w:r>
              <w:rPr>
                <w:b/>
                <w:color w:val="1F4E79"/>
                <w:sz w:val="21"/>
              </w:rPr>
              <w:t>Pourquoi 24°C et pas 26°C en chambre ?</w:t>
            </w:r>
          </w:p>
          <w:p>
            <w:pPr>
              <w:spacing w:after="0"/>
            </w:pPr>
            <w:r>
              <w:rPr>
                <w:sz w:val="19"/>
              </w:rPr>
              <w:t>26°C est un seuil d'inconfort nocturne à ne pas dépasser, pas une consigne de pilotage. 24°C place la chambre à l'intérieur de la plage 20-25°C associée au meilleur sommeil chez les personnes âgées et laisse environ 2°C de marge avant le seuil nocturne de 26°C. Cette marge est indispensable dans une copropriété où les logements d'angle, plein sud, en étage haut ou encore en simple vitrage peuvent être nettement plus chauds que la moyenne.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1F4E79"/>
          </w:tcPr>
          <w:p>
            <w:r/>
            <w:r>
              <w:rPr>
                <w:b/>
                <w:color w:val="FFFFFF"/>
                <w:sz w:val="16"/>
              </w:rPr>
              <w:t>Repère</w:t>
            </w:r>
          </w:p>
        </w:tc>
        <w:tc>
          <w:tcPr>
            <w:tcW w:type="dxa" w:w="5328"/>
            <w:vAlign w:val="center"/>
            <w:shd w:fill="1F4E79"/>
          </w:tcPr>
          <w:p>
            <w:r/>
            <w:r>
              <w:rPr>
                <w:b/>
                <w:color w:val="FFFFFF"/>
                <w:sz w:val="16"/>
              </w:rPr>
              <w:t>Lecture santé / confort</w:t>
            </w:r>
          </w:p>
        </w:tc>
        <w:tc>
          <w:tcPr>
            <w:tcW w:type="dxa" w:w="4752"/>
            <w:vAlign w:val="center"/>
            <w:shd w:fill="1F4E79"/>
          </w:tcPr>
          <w:p>
            <w:r/>
            <w:r>
              <w:rPr>
                <w:b/>
                <w:color w:val="FFFFFF"/>
                <w:sz w:val="16"/>
              </w:rPr>
              <w:t>Conséquence pour FRESHCOP</w:t>
            </w:r>
          </w:p>
        </w:tc>
      </w:tr>
      <w:tr>
        <w:tc>
          <w:tcPr>
            <w:tcW w:type="dxa" w:w="1872"/>
            <w:vAlign w:val="center"/>
          </w:tcPr>
          <w:p>
            <w:r/>
            <w:r>
              <w:rPr>
                <w:b w:val="0"/>
                <w:sz w:val="16"/>
              </w:rPr>
              <w:t>20-25°C</w:t>
            </w:r>
          </w:p>
        </w:tc>
        <w:tc>
          <w:tcPr>
            <w:tcW w:type="dxa" w:w="5328"/>
            <w:vAlign w:val="center"/>
          </w:tcPr>
          <w:p>
            <w:r/>
            <w:r>
              <w:rPr>
                <w:b w:val="0"/>
                <w:sz w:val="16"/>
              </w:rPr>
              <w:t>Zone favorable observée chez des personnes âgées à domicile</w:t>
            </w:r>
          </w:p>
        </w:tc>
        <w:tc>
          <w:tcPr>
            <w:tcW w:type="dxa" w:w="4752"/>
            <w:vAlign w:val="center"/>
          </w:tcPr>
          <w:p>
            <w:r/>
            <w:r>
              <w:rPr>
                <w:b w:val="0"/>
                <w:sz w:val="16"/>
              </w:rPr>
              <w:t>Soutient directement la consigne 24°C</w:t>
            </w:r>
          </w:p>
        </w:tc>
      </w:tr>
      <w:tr>
        <w:tc>
          <w:tcPr>
            <w:tcW w:type="dxa" w:w="1872"/>
            <w:vAlign w:val="center"/>
          </w:tcPr>
          <w:p>
            <w:r/>
            <w:r>
              <w:rPr>
                <w:b w:val="0"/>
                <w:sz w:val="16"/>
              </w:rPr>
              <w:t>25-30°C</w:t>
            </w:r>
          </w:p>
        </w:tc>
        <w:tc>
          <w:tcPr>
            <w:tcW w:type="dxa" w:w="5328"/>
            <w:vAlign w:val="center"/>
          </w:tcPr>
          <w:p>
            <w:r/>
            <w:r>
              <w:rPr>
                <w:b w:val="0"/>
                <w:sz w:val="16"/>
              </w:rPr>
              <w:t>Dégradation progressive de l’efficacité du sommeil</w:t>
            </w:r>
          </w:p>
        </w:tc>
        <w:tc>
          <w:tcPr>
            <w:tcW w:type="dxa" w:w="4752"/>
            <w:vAlign w:val="center"/>
          </w:tcPr>
          <w:p>
            <w:r/>
            <w:r>
              <w:rPr>
                <w:b w:val="0"/>
                <w:sz w:val="16"/>
              </w:rPr>
              <w:t>Évite de piloter la chambre à 25-26°C comme objectif nominal</w:t>
            </w:r>
          </w:p>
        </w:tc>
      </w:tr>
      <w:tr>
        <w:tc>
          <w:tcPr>
            <w:tcW w:type="dxa" w:w="1872"/>
            <w:vAlign w:val="center"/>
          </w:tcPr>
          <w:p>
            <w:r/>
            <w:r>
              <w:rPr>
                <w:b w:val="0"/>
                <w:sz w:val="16"/>
              </w:rPr>
              <w:t>26°C</w:t>
            </w:r>
          </w:p>
        </w:tc>
        <w:tc>
          <w:tcPr>
            <w:tcW w:type="dxa" w:w="5328"/>
            <w:vAlign w:val="center"/>
          </w:tcPr>
          <w:p>
            <w:r/>
            <w:r>
              <w:rPr>
                <w:b w:val="0"/>
                <w:sz w:val="16"/>
              </w:rPr>
              <w:t>Seuil d’inconfort nocturne utilisé dans les approches bâtiment</w:t>
            </w:r>
          </w:p>
        </w:tc>
        <w:tc>
          <w:tcPr>
            <w:tcW w:type="dxa" w:w="4752"/>
            <w:vAlign w:val="center"/>
          </w:tcPr>
          <w:p>
            <w:r/>
            <w:r>
              <w:rPr>
                <w:b w:val="0"/>
                <w:sz w:val="16"/>
              </w:rPr>
              <w:t>À considérer comme limite haute résiduelle, non comme consigne</w:t>
            </w:r>
          </w:p>
        </w:tc>
      </w:tr>
      <w:tr>
        <w:tc>
          <w:tcPr>
            <w:tcW w:type="dxa" w:w="1872"/>
            <w:vAlign w:val="center"/>
          </w:tcPr>
          <w:p>
            <w:r/>
            <w:r>
              <w:rPr>
                <w:b w:val="0"/>
                <w:sz w:val="16"/>
              </w:rPr>
              <w:t>&gt;28°C</w:t>
            </w:r>
          </w:p>
        </w:tc>
        <w:tc>
          <w:tcPr>
            <w:tcW w:type="dxa" w:w="5328"/>
            <w:vAlign w:val="center"/>
          </w:tcPr>
          <w:p>
            <w:r/>
            <w:r>
              <w:rPr>
                <w:b w:val="0"/>
                <w:sz w:val="16"/>
              </w:rPr>
              <w:t>Inconfort nocturne sévère et chaleur persistante</w:t>
            </w:r>
          </w:p>
        </w:tc>
        <w:tc>
          <w:tcPr>
            <w:tcW w:type="dxa" w:w="4752"/>
            <w:vAlign w:val="center"/>
          </w:tcPr>
          <w:p>
            <w:r/>
            <w:r>
              <w:rPr>
                <w:b w:val="0"/>
                <w:sz w:val="16"/>
              </w:rPr>
              <w:t>Non compatible avec un objectif de récupération</w:t>
            </w:r>
          </w:p>
        </w:tc>
      </w:tr>
    </w:tbl>
    <w:p>
      <w:pPr>
        <w:pStyle w:val="Heading2"/>
      </w:pPr>
      <w:r>
        <w:t>4.2 Les nuits chaudes pèsent plus lourd que les pics de journée</w:t>
      </w:r>
    </w:p>
    <w:p>
      <w:r>
        <w:t>Les études de sommeil et de climat montrent que la hausse des températures nocturnes raccourcit le sommeil principalement par retard d'endormissement et augmente la probabilité de sommeil insuffisant. L'étude globale de Minor et al. a utilisé plus de 7 millions d'enregistrements de sommeil dans 68 pays et conclut que les températures plus élevées réduisent le sommeil, avec des effets plus marqués chez les personnes âgées, les femmes et les populations à faibles revenus [S8].</w:t>
      </w:r>
    </w:p>
    <w:p>
      <w:r>
        <w:rPr>
          <w:b/>
        </w:rPr>
        <w:t xml:space="preserve">Pour une résidence, l'indicateur le plus parlant n'est donc pas seulement le pic maximal atteint en journée. </w:t>
      </w:r>
      <w:r>
        <w:t>Il faut suivre le nombre de nuits pendant lesquelles les chambres restent au-dessus de 24°C, 26°C ou 28°C pendant plusieurs heures. C'est précisément pour cela que la métrique FRESHCOP doit privilégier les 'nuits chaudes' plutôt que des degrés-heures abstraits.</w:t>
      </w:r>
    </w:p>
    <w:p>
      <w:r>
        <w:br w:type="page"/>
      </w:r>
    </w:p>
    <w:p>
      <w:pPr>
        <w:pStyle w:val="Heading1"/>
      </w:pPr>
      <w:r>
        <w:t>5. Séjours à 26°C : justification par l’activité humaine</w:t>
      </w:r>
    </w:p>
    <w:p>
      <w:pPr>
        <w:pStyle w:val="Heading2"/>
      </w:pPr>
      <w:r>
        <w:t>5.1 Le séjour est une pièce de vie, pas seulement une pièce de repos</w:t>
      </w:r>
    </w:p>
    <w:p>
      <w:r>
        <w:rPr>
          <w:b/>
        </w:rPr>
        <w:t xml:space="preserve">Dans le séjour, l'occupant lit, travaille ponctuellement, mange, se déplace, reçoit, s'occupe d'enfants, range, cuisine parfois à proximité et utilise des équipements internes. </w:t>
      </w:r>
      <w:r>
        <w:t>Ces activités restent légères, mais elles génèrent plus de chaleur métabolique que le sommeil. Une température de 26°C constitue donc une cible sobre : elle évite de transformer le logement en espace sur-refroidi, tout en maintenant une marge avant les zones d'inconfort ou de risque.</w:t>
      </w:r>
    </w:p>
    <w:p>
      <w:r>
        <w:rPr>
          <w:b/>
        </w:rPr>
        <w:t xml:space="preserve">Les références de prévention au travail donnent un ordre de grandeur utile. </w:t>
      </w:r>
      <w:r>
        <w:t>L'INRS indique que les valeurs de 30°C pour une activité sédentaire et 28°C pour un travail nécessitant une activité physique peuvent être utilisées comme repères de prévention, tout en rappelant que la température seule ne suffit pas à évaluer le risque [S11]. Dans un séjour résidentiel, 26°C reste donc à distance de ces repères d'alerte, ce qui est cohérent avec un espace de vie occupé plusieurs heures.</w:t>
      </w:r>
    </w:p>
    <w:tbl>
      <w:tblPr>
        <w:tblStyle w:val="TableGrid"/>
        <w:tblW w:type="auto" w:w="0"/>
        <w:jc w:val="center"/>
        <w:tblLook w:firstColumn="1" w:firstRow="1" w:lastColumn="0" w:lastRow="0" w:noHBand="0" w:noVBand="1" w:val="04A0"/>
      </w:tblPr>
      <w:tblGrid>
        <w:gridCol w:w="3456"/>
        <w:gridCol w:w="3456"/>
        <w:gridCol w:w="3456"/>
      </w:tblGrid>
      <w:tr>
        <w:tc>
          <w:tcPr>
            <w:tcW w:type="dxa" w:w="4320"/>
            <w:vAlign w:val="center"/>
            <w:shd w:fill="1F4E79"/>
          </w:tcPr>
          <w:p>
            <w:r/>
            <w:r>
              <w:rPr>
                <w:b/>
                <w:color w:val="FFFFFF"/>
                <w:sz w:val="16"/>
              </w:rPr>
              <w:t>Usage du séjour</w:t>
            </w:r>
          </w:p>
        </w:tc>
        <w:tc>
          <w:tcPr>
            <w:tcW w:type="dxa" w:w="2592"/>
            <w:vAlign w:val="center"/>
            <w:shd w:fill="1F4E79"/>
          </w:tcPr>
          <w:p>
            <w:r/>
            <w:r>
              <w:rPr>
                <w:b/>
                <w:color w:val="FFFFFF"/>
                <w:sz w:val="16"/>
              </w:rPr>
              <w:t>Niveau d’activité</w:t>
            </w:r>
          </w:p>
        </w:tc>
        <w:tc>
          <w:tcPr>
            <w:tcW w:type="dxa" w:w="5040"/>
            <w:vAlign w:val="center"/>
            <w:shd w:fill="1F4E79"/>
          </w:tcPr>
          <w:p>
            <w:r/>
            <w:r>
              <w:rPr>
                <w:b/>
                <w:color w:val="FFFFFF"/>
                <w:sz w:val="16"/>
              </w:rPr>
              <w:t>Lecture de la consigne 26°C</w:t>
            </w:r>
          </w:p>
        </w:tc>
      </w:tr>
      <w:tr>
        <w:tc>
          <w:tcPr>
            <w:tcW w:type="dxa" w:w="4320"/>
            <w:vAlign w:val="center"/>
          </w:tcPr>
          <w:p>
            <w:r/>
            <w:r>
              <w:rPr>
                <w:b w:val="0"/>
                <w:sz w:val="16"/>
              </w:rPr>
              <w:t>Repos assis, lecture, télévision</w:t>
            </w:r>
          </w:p>
        </w:tc>
        <w:tc>
          <w:tcPr>
            <w:tcW w:type="dxa" w:w="2592"/>
            <w:vAlign w:val="center"/>
          </w:tcPr>
          <w:p>
            <w:r/>
            <w:r>
              <w:rPr>
                <w:b w:val="0"/>
                <w:sz w:val="16"/>
              </w:rPr>
              <w:t>Faible</w:t>
            </w:r>
          </w:p>
        </w:tc>
        <w:tc>
          <w:tcPr>
            <w:tcW w:type="dxa" w:w="5040"/>
            <w:vAlign w:val="center"/>
          </w:tcPr>
          <w:p>
            <w:r/>
            <w:r>
              <w:rPr>
                <w:b w:val="0"/>
                <w:sz w:val="16"/>
              </w:rPr>
              <w:t>26°C est un plafond acceptable et sobre</w:t>
            </w:r>
          </w:p>
        </w:tc>
      </w:tr>
      <w:tr>
        <w:tc>
          <w:tcPr>
            <w:tcW w:type="dxa" w:w="4320"/>
            <w:vAlign w:val="center"/>
          </w:tcPr>
          <w:p>
            <w:r/>
            <w:r>
              <w:rPr>
                <w:b w:val="0"/>
                <w:sz w:val="16"/>
              </w:rPr>
              <w:t>Télétravail, devoirs, repas</w:t>
            </w:r>
          </w:p>
        </w:tc>
        <w:tc>
          <w:tcPr>
            <w:tcW w:type="dxa" w:w="2592"/>
            <w:vAlign w:val="center"/>
          </w:tcPr>
          <w:p>
            <w:r/>
            <w:r>
              <w:rPr>
                <w:b w:val="0"/>
                <w:sz w:val="16"/>
              </w:rPr>
              <w:t>Faible à modérée</w:t>
            </w:r>
          </w:p>
        </w:tc>
        <w:tc>
          <w:tcPr>
            <w:tcW w:type="dxa" w:w="5040"/>
            <w:vAlign w:val="center"/>
          </w:tcPr>
          <w:p>
            <w:r/>
            <w:r>
              <w:rPr>
                <w:b w:val="0"/>
                <w:sz w:val="16"/>
              </w:rPr>
              <w:t>26°C limite fatigue et baisse de vigilance</w:t>
            </w:r>
          </w:p>
        </w:tc>
      </w:tr>
      <w:tr>
        <w:tc>
          <w:tcPr>
            <w:tcW w:type="dxa" w:w="4320"/>
            <w:vAlign w:val="center"/>
          </w:tcPr>
          <w:p>
            <w:r/>
            <w:r>
              <w:rPr>
                <w:b w:val="0"/>
                <w:sz w:val="16"/>
              </w:rPr>
              <w:t>Jeunes enfants, jeux calmes, tâches domestiques</w:t>
            </w:r>
          </w:p>
        </w:tc>
        <w:tc>
          <w:tcPr>
            <w:tcW w:type="dxa" w:w="2592"/>
            <w:vAlign w:val="center"/>
          </w:tcPr>
          <w:p>
            <w:r/>
            <w:r>
              <w:rPr>
                <w:b w:val="0"/>
                <w:sz w:val="16"/>
              </w:rPr>
              <w:t>Modérée</w:t>
            </w:r>
          </w:p>
        </w:tc>
        <w:tc>
          <w:tcPr>
            <w:tcW w:type="dxa" w:w="5040"/>
            <w:vAlign w:val="center"/>
          </w:tcPr>
          <w:p>
            <w:r/>
            <w:r>
              <w:rPr>
                <w:b w:val="0"/>
                <w:sz w:val="16"/>
              </w:rPr>
              <w:t>26°C évite l’approche du seuil 28°C</w:t>
            </w:r>
          </w:p>
        </w:tc>
      </w:tr>
      <w:tr>
        <w:tc>
          <w:tcPr>
            <w:tcW w:type="dxa" w:w="4320"/>
            <w:vAlign w:val="center"/>
          </w:tcPr>
          <w:p>
            <w:r/>
            <w:r>
              <w:rPr>
                <w:b w:val="0"/>
                <w:sz w:val="16"/>
              </w:rPr>
              <w:t>Personne âgée en journée</w:t>
            </w:r>
          </w:p>
        </w:tc>
        <w:tc>
          <w:tcPr>
            <w:tcW w:type="dxa" w:w="2592"/>
            <w:vAlign w:val="center"/>
          </w:tcPr>
          <w:p>
            <w:r/>
            <w:r>
              <w:rPr>
                <w:b w:val="0"/>
                <w:sz w:val="16"/>
              </w:rPr>
              <w:t>Faible mais vulnérabilité élevée</w:t>
            </w:r>
          </w:p>
        </w:tc>
        <w:tc>
          <w:tcPr>
            <w:tcW w:type="dxa" w:w="5040"/>
            <w:vAlign w:val="center"/>
          </w:tcPr>
          <w:p>
            <w:r/>
            <w:r>
              <w:rPr>
                <w:b w:val="0"/>
                <w:sz w:val="16"/>
              </w:rPr>
              <w:t>26°C crée une pièce refuge sans effort physiologique excessif</w:t>
            </w:r>
          </w:p>
        </w:tc>
      </w:tr>
    </w:tbl>
    <w:p>
      <w:pPr>
        <w:pStyle w:val="Heading2"/>
      </w:pPr>
      <w:r>
        <w:t>5.2 Le séjour peut devenir la pièce refuge</w:t>
      </w:r>
    </w:p>
    <w:p>
      <w:r>
        <w:rPr>
          <w:b/>
        </w:rPr>
        <w:t xml:space="preserve">Plusieurs dispositifs de santé publique retiennent 26°C comme limite de protection. </w:t>
      </w:r>
      <w:r>
        <w:t>Santé Canada recommande une limite intérieure supérieure de 26°C pour protéger les personnes âgées contre les maladies et décès liés à la chaleur ; le même document précise que cette limite est une valeur de protection sanitaire et pas seulement de confort [S5]. Les recommandations britanniques pour les gestionnaires de structures sociales demandent aussi de prévoir une pièce ou zone fraîche maintenue sous 26°C où les personnes vulnérables peuvent se rafraîchir [S6].</w:t>
      </w:r>
    </w:p>
    <w:tbl>
      <w:tblPr>
        <w:tblStyle w:val="TableGrid"/>
        <w:tblW w:type="auto" w:w="0"/>
        <w:jc w:val="center"/>
        <w:tblLook w:firstColumn="1" w:firstRow="1" w:lastColumn="0" w:lastRow="0" w:noHBand="0" w:noVBand="1" w:val="04A0"/>
      </w:tblPr>
      <w:tblGrid>
        <w:gridCol w:w="10368"/>
      </w:tblGrid>
      <w:tr>
        <w:tc>
          <w:tcPr>
            <w:tcW w:type="dxa" w:w="10368"/>
            <w:shd w:fill="E2F0D9"/>
          </w:tcPr>
          <w:p>
            <w:r>
              <w:rPr>
                <w:b/>
                <w:color w:val="1F4E79"/>
                <w:sz w:val="21"/>
              </w:rPr>
              <w:t>Interprétation pour la résidence</w:t>
            </w:r>
          </w:p>
          <w:p>
            <w:pPr>
              <w:spacing w:after="0"/>
            </w:pPr>
            <w:r>
              <w:rPr>
                <w:sz w:val="19"/>
              </w:rPr>
              <w:t>Dans une copropriété comprenant des personnes âgées et des familles avec jeunes enfants, la pièce principale ne doit pas seulement être 'supportable'. Elle doit pouvoir jouer le rôle de pièce refuge pendant les épisodes chauds. C'est l'argument le plus fort en faveur du 26°C séjour : il s'agit d'un plafond de protection sanitaire, pas d'une recherche de froid excessif.</w:t>
            </w:r>
          </w:p>
        </w:tc>
      </w:tr>
    </w:tbl>
    <w:p>
      <w:pPr>
        <w:pStyle w:val="Heading1"/>
      </w:pPr>
      <w:r>
        <w:t>6. Populations vulnérables : pourquoi le seuil doit protéger les plus fragiles</w:t>
      </w:r>
    </w:p>
    <w:p>
      <w:pPr>
        <w:pStyle w:val="Heading2"/>
      </w:pPr>
      <w:r>
        <w:t>6.1 Personnes âgées</w:t>
      </w:r>
    </w:p>
    <w:p>
      <w:r>
        <w:rPr>
          <w:b/>
        </w:rPr>
        <w:t xml:space="preserve">Les personnes âgées sont plus exposées. </w:t>
      </w:r>
      <w:r>
        <w:t>Ameli rappelle qu'elles perçoivent moins bien la chaleur, ressentent moins la soif et transpirent moins efficacement ; les personnes en perte d'autonomie adaptent aussi plus difficilement leur comportement à la chaleur [S3]. Cela justifie de ne pas dimensionner le système sur le seul ressenti d'adultes actifs et acclimatés.</w:t>
      </w:r>
    </w:p>
    <w:p>
      <w:r>
        <w:rPr>
          <w:b/>
        </w:rPr>
        <w:t xml:space="preserve">Les températures intérieures sont déterminantes. </w:t>
      </w:r>
      <w:r>
        <w:t>L'étude de van Loenhout et al. menée chez des personnes âgées montre que les problèmes de santé liés à la chaleur sont plus fortement associés à la température intérieure du séjour et de la chambre qu'à la température extérieure ; elle rapporte notamment une augmentation des troubles du sommeil lorsque la température intérieure augmente [S13].</w:t>
      </w:r>
    </w:p>
    <w:p>
      <w:pPr>
        <w:pStyle w:val="Heading2"/>
      </w:pPr>
      <w:r>
        <w:t>6.2 Nourrissons et jeunes enfants</w:t>
      </w:r>
    </w:p>
    <w:p>
      <w:r>
        <w:rPr>
          <w:b/>
        </w:rPr>
        <w:t xml:space="preserve">Les enfants, notamment les moins de cinq ans, sont explicitement identifiés comme population à risque. </w:t>
      </w:r>
      <w:r>
        <w:t>Santé publique France indique qu'ils sont exposés à des accidents graves comme le coup de chaleur et la déshydratation rapide ; le document mentionne également que, durant l'été 2019, 1 646 enfants de moins de six ans ont été pris en charge aux urgences pour une pathologie liée à la canicule, la déshydratation représentant le principal motif de consultation [S4].</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F4E79"/>
          </w:tcPr>
          <w:p>
            <w:r/>
            <w:r>
              <w:rPr>
                <w:b/>
                <w:color w:val="FFFFFF"/>
                <w:sz w:val="16"/>
              </w:rPr>
              <w:t>Population / situation</w:t>
            </w:r>
          </w:p>
        </w:tc>
        <w:tc>
          <w:tcPr>
            <w:tcW w:type="dxa" w:w="4608"/>
            <w:vAlign w:val="center"/>
            <w:shd w:fill="1F4E79"/>
          </w:tcPr>
          <w:p>
            <w:r/>
            <w:r>
              <w:rPr>
                <w:b/>
                <w:color w:val="FFFFFF"/>
                <w:sz w:val="16"/>
              </w:rPr>
              <w:t>Vulnérabilité</w:t>
            </w:r>
          </w:p>
        </w:tc>
        <w:tc>
          <w:tcPr>
            <w:tcW w:type="dxa" w:w="4464"/>
            <w:vAlign w:val="center"/>
            <w:shd w:fill="1F4E79"/>
          </w:tcPr>
          <w:p>
            <w:r/>
            <w:r>
              <w:rPr>
                <w:b/>
                <w:color w:val="FFFFFF"/>
                <w:sz w:val="16"/>
              </w:rPr>
              <w:t>Conséquence pour les consignes</w:t>
            </w:r>
          </w:p>
        </w:tc>
      </w:tr>
      <w:tr>
        <w:tc>
          <w:tcPr>
            <w:tcW w:type="dxa" w:w="2880"/>
            <w:vAlign w:val="center"/>
          </w:tcPr>
          <w:p>
            <w:r/>
            <w:r>
              <w:rPr>
                <w:b w:val="0"/>
                <w:sz w:val="16"/>
              </w:rPr>
              <w:t>Personnes âgées</w:t>
            </w:r>
          </w:p>
        </w:tc>
        <w:tc>
          <w:tcPr>
            <w:tcW w:type="dxa" w:w="4608"/>
            <w:vAlign w:val="center"/>
          </w:tcPr>
          <w:p>
            <w:r/>
            <w:r>
              <w:rPr>
                <w:b w:val="0"/>
                <w:sz w:val="16"/>
              </w:rPr>
              <w:t>Perception de la chaleur diminuée, soif atténuée, transpiration réduite, pathologies et traitements</w:t>
            </w:r>
          </w:p>
        </w:tc>
        <w:tc>
          <w:tcPr>
            <w:tcW w:type="dxa" w:w="4464"/>
            <w:vAlign w:val="center"/>
          </w:tcPr>
          <w:p>
            <w:r/>
            <w:r>
              <w:rPr>
                <w:b w:val="0"/>
                <w:sz w:val="16"/>
              </w:rPr>
              <w:t>Maintenir un espace de vie à 26°C et des chambres plus basses la nuit</w:t>
            </w:r>
          </w:p>
        </w:tc>
      </w:tr>
      <w:tr>
        <w:tc>
          <w:tcPr>
            <w:tcW w:type="dxa" w:w="2880"/>
            <w:vAlign w:val="center"/>
          </w:tcPr>
          <w:p>
            <w:r/>
            <w:r>
              <w:rPr>
                <w:b w:val="0"/>
                <w:sz w:val="16"/>
              </w:rPr>
              <w:t>Nourrissons / jeunes enfants</w:t>
            </w:r>
          </w:p>
        </w:tc>
        <w:tc>
          <w:tcPr>
            <w:tcW w:type="dxa" w:w="4608"/>
            <w:vAlign w:val="center"/>
          </w:tcPr>
          <w:p>
            <w:r/>
            <w:r>
              <w:rPr>
                <w:b w:val="0"/>
                <w:sz w:val="16"/>
              </w:rPr>
              <w:t>Déshydratation rapide, dépendance à l’adulte, incapacité à se protéger seuls</w:t>
            </w:r>
          </w:p>
        </w:tc>
        <w:tc>
          <w:tcPr>
            <w:tcW w:type="dxa" w:w="4464"/>
            <w:vAlign w:val="center"/>
          </w:tcPr>
          <w:p>
            <w:r/>
            <w:r>
              <w:rPr>
                <w:b w:val="0"/>
                <w:sz w:val="16"/>
              </w:rPr>
              <w:t>Éviter les logements durablement au-dessus de 26-28°C</w:t>
            </w:r>
          </w:p>
        </w:tc>
      </w:tr>
      <w:tr>
        <w:tc>
          <w:tcPr>
            <w:tcW w:type="dxa" w:w="2880"/>
            <w:vAlign w:val="center"/>
          </w:tcPr>
          <w:p>
            <w:r/>
            <w:r>
              <w:rPr>
                <w:b w:val="0"/>
                <w:sz w:val="16"/>
              </w:rPr>
              <w:t>Personnes malades ou sous traitement</w:t>
            </w:r>
          </w:p>
        </w:tc>
        <w:tc>
          <w:tcPr>
            <w:tcW w:type="dxa" w:w="4608"/>
            <w:vAlign w:val="center"/>
          </w:tcPr>
          <w:p>
            <w:r/>
            <w:r>
              <w:rPr>
                <w:b w:val="0"/>
                <w:sz w:val="16"/>
              </w:rPr>
              <w:t>Régulation thermique perturbée, risques cardiovasculaires/rénaux/respiratoires</w:t>
            </w:r>
          </w:p>
        </w:tc>
        <w:tc>
          <w:tcPr>
            <w:tcW w:type="dxa" w:w="4464"/>
            <w:vAlign w:val="center"/>
          </w:tcPr>
          <w:p>
            <w:r/>
            <w:r>
              <w:rPr>
                <w:b w:val="0"/>
                <w:sz w:val="16"/>
              </w:rPr>
              <w:t>Prévoir une marge, ne pas piloter au seuil limite</w:t>
            </w:r>
          </w:p>
        </w:tc>
      </w:tr>
      <w:tr>
        <w:tc>
          <w:tcPr>
            <w:tcW w:type="dxa" w:w="2880"/>
            <w:vAlign w:val="center"/>
          </w:tcPr>
          <w:p>
            <w:r/>
            <w:r>
              <w:rPr>
                <w:b w:val="0"/>
                <w:sz w:val="16"/>
              </w:rPr>
              <w:t>Familles avec activité domestique</w:t>
            </w:r>
          </w:p>
        </w:tc>
        <w:tc>
          <w:tcPr>
            <w:tcW w:type="dxa" w:w="4608"/>
            <w:vAlign w:val="center"/>
          </w:tcPr>
          <w:p>
            <w:r/>
            <w:r>
              <w:rPr>
                <w:b w:val="0"/>
                <w:sz w:val="16"/>
              </w:rPr>
              <w:t>Chaleur interne ajoutée par cuisine, appareils, occupation</w:t>
            </w:r>
          </w:p>
        </w:tc>
        <w:tc>
          <w:tcPr>
            <w:tcW w:type="dxa" w:w="4464"/>
            <w:vAlign w:val="center"/>
          </w:tcPr>
          <w:p>
            <w:r/>
            <w:r>
              <w:rPr>
                <w:b w:val="0"/>
                <w:sz w:val="16"/>
              </w:rPr>
              <w:t>Salon à 26°C comme pièce refuge et de vie</w:t>
            </w:r>
          </w:p>
        </w:tc>
      </w:tr>
    </w:tbl>
    <w:p>
      <w:pPr>
        <w:pStyle w:val="Heading1"/>
      </w:pPr>
      <w:r>
        <w:t>7. Références réglementaires et standards de confort d’été</w:t>
      </w:r>
    </w:p>
    <w:p>
      <w:pPr>
        <w:pStyle w:val="Heading2"/>
      </w:pPr>
      <w:r>
        <w:t>7.1 RE2020 : 26°C la nuit, 26 à 28°C le jour</w:t>
      </w:r>
    </w:p>
    <w:p>
      <w:r>
        <w:rPr>
          <w:b/>
        </w:rPr>
        <w:t xml:space="preserve">La RE2020 ne fixe pas les consignes FRESHCOP, mais elle donne un repère français très utile. </w:t>
      </w:r>
      <w:r>
        <w:t>Le guide officiel indique que la température intérieure ne doit pas dépasser 26°C la nuit pour éviter l'inconfort ; le jour, le seuil peut varier entre 26°C et 28°C pour tenir compte de l'adaptation du corps après plusieurs jours chauds. Le guide précise aussi que le confort adaptatif n'est pas utilisé la nuit [S10].</w:t>
      </w:r>
    </w:p>
    <w:p>
      <w:r>
        <w:rPr>
          <w:b/>
        </w:rPr>
        <w:t xml:space="preserve">Conséquence directe. </w:t>
      </w:r>
      <w:r>
        <w:t>La nuit, il n'est pas rigoureux de viser 26°C comme consigne de chambre, car 26°C est déjà le seuil d'inconfort conventionnel. Une consigne de 24°C est donc cohérente avec une approche de protection et de marge. Le jour, 26°C en séjour se place au début de la zone de confort adaptatif et non à sa limite haute.</w:t>
      </w:r>
    </w:p>
    <w:p>
      <w:pPr>
        <w:pStyle w:val="Heading2"/>
      </w:pPr>
      <w:r>
        <w:t>7.2 CIBSE TM59 : le seuil de 26°C en chambre est un critère de surchauffe</w:t>
      </w:r>
    </w:p>
    <w:p>
      <w:r>
        <w:rPr>
          <w:b/>
        </w:rPr>
        <w:t xml:space="preserve">Les méthodes britanniques de surchauffe résidentielle utilisent également un repère spécifique pour les chambres. </w:t>
      </w:r>
      <w:r>
        <w:t>La présentation de TM59 par le CIBSE Journal rappelle que le second critère porte sur le nombre d'heures dépassant 26°C dans les chambres la nuit, température au-delà de laquelle la recherche montre une perturbation des schémas de sommeil [S9].</w:t>
      </w:r>
    </w:p>
    <w:p>
      <w:pPr>
        <w:pStyle w:val="Heading2"/>
      </w:pPr>
      <w:r>
        <w:t>7.3 ASHRAE 55 : le confort dépend de plusieurs facteurs</w:t>
      </w:r>
    </w:p>
    <w:p>
      <w:r>
        <w:rPr>
          <w:b/>
        </w:rPr>
        <w:t xml:space="preserve">Le standard ASHRAE 55 est important pour éviter un raisonnement trop simpliste. </w:t>
      </w:r>
      <w:r>
        <w:t>Il spécifie des combinaisons de facteurs produisant des conditions thermiques satisfaisantes pour la majorité des occupants, avec des critères de conception et d'évaluation des bâtiments existants [S12]. Pour FRESHCOP, cela signifie que les consignes 24/26°C doivent être interprétées avec l'humidité, la vitesse d'air, le rayonnement solaire, la température des parois, l'habillement et l'activité réelle.</w:t>
      </w:r>
    </w:p>
    <w:p>
      <w:pPr>
        <w:pStyle w:val="Heading1"/>
      </w:pPr>
      <w:r>
        <w:t>8. Traduction opérationnelle pour FRESHCOP</w:t>
      </w:r>
    </w:p>
    <w:p>
      <w:pPr>
        <w:pStyle w:val="Heading2"/>
      </w:pPr>
      <w:r>
        <w:t>8.1 Règle de conception proposée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9"/>
          </w:tcPr>
          <w:p>
            <w:r/>
            <w:r>
              <w:rPr>
                <w:b/>
                <w:color w:val="FFFFFF"/>
                <w:sz w:val="16"/>
              </w:rPr>
              <w:t>Zone</w:t>
            </w:r>
          </w:p>
        </w:tc>
        <w:tc>
          <w:tcPr>
            <w:tcW w:type="dxa" w:w="3024"/>
            <w:vAlign w:val="center"/>
            <w:shd w:fill="1F4E79"/>
          </w:tcPr>
          <w:p>
            <w:r/>
            <w:r>
              <w:rPr>
                <w:b/>
                <w:color w:val="FFFFFF"/>
                <w:sz w:val="16"/>
              </w:rPr>
              <w:t>Consigne</w:t>
            </w:r>
          </w:p>
        </w:tc>
        <w:tc>
          <w:tcPr>
            <w:tcW w:type="dxa" w:w="4464"/>
            <w:vAlign w:val="center"/>
            <w:shd w:fill="1F4E79"/>
          </w:tcPr>
          <w:p>
            <w:r/>
            <w:r>
              <w:rPr>
                <w:b/>
                <w:color w:val="FFFFFF"/>
                <w:sz w:val="16"/>
              </w:rPr>
              <w:t>Justification</w:t>
            </w:r>
          </w:p>
        </w:tc>
        <w:tc>
          <w:tcPr>
            <w:tcW w:type="dxa" w:w="3024"/>
            <w:vAlign w:val="center"/>
            <w:shd w:fill="1F4E79"/>
          </w:tcPr>
          <w:p>
            <w:r/>
            <w:r>
              <w:rPr>
                <w:b/>
                <w:color w:val="FFFFFF"/>
                <w:sz w:val="16"/>
              </w:rPr>
              <w:t>Indicateur de suivi</w:t>
            </w:r>
          </w:p>
        </w:tc>
      </w:tr>
      <w:tr>
        <w:tc>
          <w:tcPr>
            <w:tcW w:type="dxa" w:w="2160"/>
            <w:vAlign w:val="center"/>
          </w:tcPr>
          <w:p>
            <w:r/>
            <w:r>
              <w:rPr>
                <w:b w:val="0"/>
                <w:sz w:val="16"/>
              </w:rPr>
              <w:t>Chambres</w:t>
            </w:r>
          </w:p>
        </w:tc>
        <w:tc>
          <w:tcPr>
            <w:tcW w:type="dxa" w:w="3024"/>
            <w:vAlign w:val="center"/>
          </w:tcPr>
          <w:p>
            <w:r/>
            <w:r>
              <w:rPr>
                <w:b w:val="0"/>
                <w:sz w:val="16"/>
              </w:rPr>
              <w:t>24°C en période nocturne</w:t>
            </w:r>
          </w:p>
        </w:tc>
        <w:tc>
          <w:tcPr>
            <w:tcW w:type="dxa" w:w="4464"/>
            <w:vAlign w:val="center"/>
          </w:tcPr>
          <w:p>
            <w:r/>
            <w:r>
              <w:rPr>
                <w:b w:val="0"/>
                <w:sz w:val="16"/>
              </w:rPr>
              <w:t>Sommeil, récupération, protection des personnes âgées et enfants</w:t>
            </w:r>
          </w:p>
        </w:tc>
        <w:tc>
          <w:tcPr>
            <w:tcW w:type="dxa" w:w="3024"/>
            <w:vAlign w:val="center"/>
          </w:tcPr>
          <w:p>
            <w:r/>
            <w:r>
              <w:rPr>
                <w:b w:val="0"/>
                <w:sz w:val="16"/>
              </w:rPr>
              <w:t>La performance doit être évaluée en nuits chaudes résiduelles</w:t>
            </w:r>
          </w:p>
        </w:tc>
      </w:tr>
      <w:tr>
        <w:tc>
          <w:tcPr>
            <w:tcW w:type="dxa" w:w="2160"/>
            <w:vAlign w:val="center"/>
          </w:tcPr>
          <w:p>
            <w:r/>
            <w:r>
              <w:rPr>
                <w:b w:val="0"/>
                <w:sz w:val="16"/>
              </w:rPr>
              <w:t>Séjour</w:t>
            </w:r>
          </w:p>
        </w:tc>
        <w:tc>
          <w:tcPr>
            <w:tcW w:type="dxa" w:w="3024"/>
            <w:vAlign w:val="center"/>
          </w:tcPr>
          <w:p>
            <w:r/>
            <w:r>
              <w:rPr>
                <w:b w:val="0"/>
                <w:sz w:val="16"/>
              </w:rPr>
              <w:t>26°C en occupation diurne et soirée</w:t>
            </w:r>
          </w:p>
        </w:tc>
        <w:tc>
          <w:tcPr>
            <w:tcW w:type="dxa" w:w="4464"/>
            <w:vAlign w:val="center"/>
          </w:tcPr>
          <w:p>
            <w:r/>
            <w:r>
              <w:rPr>
                <w:b w:val="0"/>
                <w:sz w:val="16"/>
              </w:rPr>
              <w:t>Pièce de vie, pièce refuge, activité légère</w:t>
            </w:r>
          </w:p>
        </w:tc>
        <w:tc>
          <w:tcPr>
            <w:tcW w:type="dxa" w:w="3024"/>
            <w:vAlign w:val="center"/>
          </w:tcPr>
          <w:p>
            <w:r/>
            <w:r>
              <w:rPr>
                <w:b w:val="0"/>
                <w:sz w:val="16"/>
              </w:rPr>
              <w:t>La performance doit être évaluée en heures au-dessus de 26/28°C</w:t>
            </w:r>
          </w:p>
        </w:tc>
      </w:tr>
      <w:tr>
        <w:tc>
          <w:tcPr>
            <w:tcW w:type="dxa" w:w="2160"/>
            <w:vAlign w:val="center"/>
          </w:tcPr>
          <w:p>
            <w:r/>
            <w:r>
              <w:rPr>
                <w:b w:val="0"/>
                <w:sz w:val="16"/>
              </w:rPr>
              <w:t>Pièces secondaires</w:t>
            </w:r>
          </w:p>
        </w:tc>
        <w:tc>
          <w:tcPr>
            <w:tcW w:type="dxa" w:w="3024"/>
            <w:vAlign w:val="center"/>
          </w:tcPr>
          <w:p>
            <w:r/>
            <w:r>
              <w:rPr>
                <w:b w:val="0"/>
                <w:sz w:val="16"/>
              </w:rPr>
              <w:t>26 à 26,5°C</w:t>
            </w:r>
          </w:p>
        </w:tc>
        <w:tc>
          <w:tcPr>
            <w:tcW w:type="dxa" w:w="4464"/>
            <w:vAlign w:val="center"/>
          </w:tcPr>
          <w:p>
            <w:r/>
            <w:r>
              <w:rPr>
                <w:b w:val="0"/>
                <w:sz w:val="16"/>
              </w:rPr>
              <w:t>Tolérance supérieure car occupation intermittente</w:t>
            </w:r>
          </w:p>
        </w:tc>
        <w:tc>
          <w:tcPr>
            <w:tcW w:type="dxa" w:w="3024"/>
            <w:vAlign w:val="center"/>
          </w:tcPr>
          <w:p>
            <w:r/>
            <w:r>
              <w:rPr>
                <w:b w:val="0"/>
                <w:sz w:val="16"/>
              </w:rPr>
              <w:t>Ne doit pas dégrader le confort des chambres</w:t>
            </w:r>
          </w:p>
        </w:tc>
      </w:tr>
      <w:tr>
        <w:tc>
          <w:tcPr>
            <w:tcW w:type="dxa" w:w="2160"/>
            <w:vAlign w:val="center"/>
          </w:tcPr>
          <w:p>
            <w:r/>
            <w:r>
              <w:rPr>
                <w:b w:val="0"/>
                <w:sz w:val="16"/>
              </w:rPr>
              <w:t>Pilotage</w:t>
            </w:r>
          </w:p>
        </w:tc>
        <w:tc>
          <w:tcPr>
            <w:tcW w:type="dxa" w:w="3024"/>
            <w:vAlign w:val="center"/>
          </w:tcPr>
          <w:p>
            <w:r/>
            <w:r>
              <w:rPr>
                <w:b w:val="0"/>
                <w:sz w:val="16"/>
              </w:rPr>
              <w:t>Anticipatif plutôt que réactif</w:t>
            </w:r>
          </w:p>
        </w:tc>
        <w:tc>
          <w:tcPr>
            <w:tcW w:type="dxa" w:w="4464"/>
            <w:vAlign w:val="center"/>
          </w:tcPr>
          <w:p>
            <w:r/>
            <w:r>
              <w:rPr>
                <w:b w:val="0"/>
                <w:sz w:val="16"/>
              </w:rPr>
              <w:t>Éviter les pics au passage nuit</w:t>
            </w:r>
          </w:p>
        </w:tc>
        <w:tc>
          <w:tcPr>
            <w:tcW w:type="dxa" w:w="3024"/>
            <w:vAlign w:val="center"/>
          </w:tcPr>
          <w:p>
            <w:r/>
            <w:r>
              <w:rPr>
                <w:b w:val="0"/>
                <w:sz w:val="16"/>
              </w:rPr>
              <w:t>Pré-refroidir avant la période de sommeil</w:t>
            </w:r>
          </w:p>
        </w:tc>
      </w:tr>
    </w:tbl>
    <w:p>
      <w:r>
        <w:rPr>
          <w:b/>
        </w:rPr>
        <w:t xml:space="preserve">Le point essentiel pour le dimensionnement est le pilotage. </w:t>
      </w:r>
      <w:r>
        <w:t>Une consigne chambre à 24°C ne signifie pas lancer brutalement le froid à 22h. Elle impose une stratégie anticipative : abaisser progressivement la température des chambres avant la période de sommeil pour éviter un pic de puissance et garantir une température nocturne stable.</w:t>
      </w:r>
    </w:p>
    <w:p>
      <w:r>
        <w:br w:type="page"/>
      </w:r>
    </w:p>
    <w:p>
      <w:pPr>
        <w:pStyle w:val="Heading2"/>
      </w:pPr>
      <w:r>
        <w:t>8.2 Indicateurs à utiliser dans le dossier FRESHCOP</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center"/>
            <w:shd w:fill="1F4E79"/>
          </w:tcPr>
          <w:p>
            <w:r/>
            <w:r>
              <w:rPr>
                <w:b/>
                <w:color w:val="FFFFFF"/>
                <w:sz w:val="16"/>
              </w:rPr>
              <w:t>Indicateur</w:t>
            </w:r>
          </w:p>
        </w:tc>
        <w:tc>
          <w:tcPr>
            <w:tcW w:type="dxa" w:w="4896"/>
            <w:vAlign w:val="center"/>
            <w:shd w:fill="1F4E79"/>
          </w:tcPr>
          <w:p>
            <w:r/>
            <w:r>
              <w:rPr>
                <w:b/>
                <w:color w:val="FFFFFF"/>
                <w:sz w:val="16"/>
              </w:rPr>
              <w:t>Définition</w:t>
            </w:r>
          </w:p>
        </w:tc>
        <w:tc>
          <w:tcPr>
            <w:tcW w:type="dxa" w:w="4032"/>
            <w:vAlign w:val="center"/>
            <w:shd w:fill="1F4E79"/>
          </w:tcPr>
          <w:p>
            <w:r/>
            <w:r>
              <w:rPr>
                <w:b/>
                <w:color w:val="FFFFFF"/>
                <w:sz w:val="16"/>
              </w:rPr>
              <w:t>Pourquoi c’est utile</w:t>
            </w:r>
          </w:p>
        </w:tc>
      </w:tr>
      <w:tr>
        <w:tc>
          <w:tcPr>
            <w:tcW w:type="dxa" w:w="3024"/>
            <w:vAlign w:val="center"/>
          </w:tcPr>
          <w:p>
            <w:r/>
            <w:r>
              <w:rPr>
                <w:b w:val="0"/>
                <w:sz w:val="16"/>
              </w:rPr>
              <w:t>Nuits chaudes</w:t>
            </w:r>
          </w:p>
        </w:tc>
        <w:tc>
          <w:tcPr>
            <w:tcW w:type="dxa" w:w="4896"/>
            <w:vAlign w:val="center"/>
          </w:tcPr>
          <w:p>
            <w:r/>
            <w:r>
              <w:rPr>
                <w:b w:val="0"/>
                <w:sz w:val="16"/>
              </w:rPr>
              <w:t>Nombre de nuits avec au moins 6 h au-dessus de 24, 26 ou 28°C</w:t>
            </w:r>
          </w:p>
        </w:tc>
        <w:tc>
          <w:tcPr>
            <w:tcW w:type="dxa" w:w="4032"/>
            <w:vAlign w:val="center"/>
          </w:tcPr>
          <w:p>
            <w:r/>
            <w:r>
              <w:rPr>
                <w:b w:val="0"/>
                <w:sz w:val="16"/>
              </w:rPr>
              <w:t>Très lisible pour les copropriétaires ; directement lié au sommeil</w:t>
            </w:r>
          </w:p>
        </w:tc>
      </w:tr>
      <w:tr>
        <w:tc>
          <w:tcPr>
            <w:tcW w:type="dxa" w:w="3024"/>
            <w:vAlign w:val="center"/>
          </w:tcPr>
          <w:p>
            <w:r/>
            <w:r>
              <w:rPr>
                <w:b w:val="0"/>
                <w:sz w:val="16"/>
              </w:rPr>
              <w:t>Température maximale nocturne</w:t>
            </w:r>
          </w:p>
        </w:tc>
        <w:tc>
          <w:tcPr>
            <w:tcW w:type="dxa" w:w="4896"/>
            <w:vAlign w:val="center"/>
          </w:tcPr>
          <w:p>
            <w:r/>
            <w:r>
              <w:rPr>
                <w:b w:val="0"/>
                <w:sz w:val="16"/>
              </w:rPr>
              <w:t>Maximum atteint entre 22h et 7h</w:t>
            </w:r>
          </w:p>
        </w:tc>
        <w:tc>
          <w:tcPr>
            <w:tcW w:type="dxa" w:w="4032"/>
            <w:vAlign w:val="center"/>
          </w:tcPr>
          <w:p>
            <w:r/>
            <w:r>
              <w:rPr>
                <w:b w:val="0"/>
                <w:sz w:val="16"/>
              </w:rPr>
              <w:t>Permet d’identifier les nuits dangereuses ou invivables</w:t>
            </w:r>
          </w:p>
        </w:tc>
      </w:tr>
      <w:tr>
        <w:tc>
          <w:tcPr>
            <w:tcW w:type="dxa" w:w="3024"/>
            <w:vAlign w:val="center"/>
          </w:tcPr>
          <w:p>
            <w:r/>
            <w:r>
              <w:rPr>
                <w:b w:val="0"/>
                <w:sz w:val="16"/>
              </w:rPr>
              <w:t>Heures de séjour au-dessus de 26/28°C</w:t>
            </w:r>
          </w:p>
        </w:tc>
        <w:tc>
          <w:tcPr>
            <w:tcW w:type="dxa" w:w="4896"/>
            <w:vAlign w:val="center"/>
          </w:tcPr>
          <w:p>
            <w:r/>
            <w:r>
              <w:rPr>
                <w:b w:val="0"/>
                <w:sz w:val="16"/>
              </w:rPr>
              <w:t>Durée de dépassement en journée et soirée</w:t>
            </w:r>
          </w:p>
        </w:tc>
        <w:tc>
          <w:tcPr>
            <w:tcW w:type="dxa" w:w="4032"/>
            <w:vAlign w:val="center"/>
          </w:tcPr>
          <w:p>
            <w:r/>
            <w:r>
              <w:rPr>
                <w:b w:val="0"/>
                <w:sz w:val="16"/>
              </w:rPr>
              <w:t>Lisible pour la vie quotidienne</w:t>
            </w:r>
          </w:p>
        </w:tc>
      </w:tr>
      <w:tr>
        <w:tc>
          <w:tcPr>
            <w:tcW w:type="dxa" w:w="3024"/>
            <w:vAlign w:val="center"/>
          </w:tcPr>
          <w:p>
            <w:r/>
            <w:r>
              <w:rPr>
                <w:b w:val="0"/>
                <w:sz w:val="16"/>
              </w:rPr>
              <w:t>Énergie froide non servie</w:t>
            </w:r>
          </w:p>
        </w:tc>
        <w:tc>
          <w:tcPr>
            <w:tcW w:type="dxa" w:w="4896"/>
            <w:vAlign w:val="center"/>
          </w:tcPr>
          <w:p>
            <w:r/>
            <w:r>
              <w:rPr>
                <w:b w:val="0"/>
                <w:sz w:val="16"/>
              </w:rPr>
              <w:t>Écart entre besoin et capacité installée</w:t>
            </w:r>
          </w:p>
        </w:tc>
        <w:tc>
          <w:tcPr>
            <w:tcW w:type="dxa" w:w="4032"/>
            <w:vAlign w:val="center"/>
          </w:tcPr>
          <w:p>
            <w:r/>
            <w:r>
              <w:rPr>
                <w:b w:val="0"/>
                <w:sz w:val="16"/>
              </w:rPr>
              <w:t>Mesure technique de l’insuffisance système</w:t>
            </w:r>
          </w:p>
        </w:tc>
      </w:tr>
      <w:tr>
        <w:tc>
          <w:tcPr>
            <w:tcW w:type="dxa" w:w="3024"/>
            <w:vAlign w:val="center"/>
          </w:tcPr>
          <w:p>
            <w:r/>
            <w:r>
              <w:rPr>
                <w:b w:val="0"/>
                <w:sz w:val="16"/>
              </w:rPr>
              <w:t>P95 de puissance appelée</w:t>
            </w:r>
          </w:p>
        </w:tc>
        <w:tc>
          <w:tcPr>
            <w:tcW w:type="dxa" w:w="4896"/>
            <w:vAlign w:val="center"/>
          </w:tcPr>
          <w:p>
            <w:r/>
            <w:r>
              <w:rPr>
                <w:b w:val="0"/>
                <w:sz w:val="16"/>
              </w:rPr>
              <w:t>Puissance rarement dépassée</w:t>
            </w:r>
          </w:p>
        </w:tc>
        <w:tc>
          <w:tcPr>
            <w:tcW w:type="dxa" w:w="4032"/>
            <w:vAlign w:val="center"/>
          </w:tcPr>
          <w:p>
            <w:r/>
            <w:r>
              <w:rPr>
                <w:b w:val="0"/>
                <w:sz w:val="16"/>
              </w:rPr>
              <w:t>Évite de dimensionner uniquement sur un pic isolé</w:t>
            </w:r>
          </w:p>
        </w:tc>
      </w:tr>
    </w:tbl>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9"/>
                <w:sz w:val="21"/>
              </w:rPr>
              <w:t>Formulation à retenir</w:t>
            </w:r>
          </w:p>
          <w:p>
            <w:pPr>
              <w:spacing w:after="0"/>
            </w:pPr>
            <w:r>
              <w:rPr>
                <w:sz w:val="19"/>
              </w:rPr>
              <w:t>Pour défendre le projet, il faut éviter de dire : 'nous voulons 24°C partout'. La formulation robuste est : 'nous voulons garantir une capacité de rafraîchissement permettant de maintenir les chambres autour de 24°C la nuit et les séjours autour de 26°C en période chaude, afin de rester sous les seuils d'inconfort et de protéger les occupants vulnérables'.</w:t>
            </w:r>
          </w:p>
        </w:tc>
      </w:tr>
    </w:tbl>
    <w:p>
      <w:r>
        <w:br w:type="page"/>
      </w:r>
    </w:p>
    <w:p>
      <w:pPr>
        <w:pStyle w:val="Heading1"/>
      </w:pPr>
      <w:r>
        <w:t>9. Argumentaire prêt à intégrer au dossier</w:t>
      </w:r>
    </w:p>
    <w:p>
      <w:pPr>
        <w:pStyle w:val="Heading2"/>
      </w:pPr>
      <w:r>
        <w:t>9.1 Version courte</w:t>
      </w:r>
    </w:p>
    <w:p>
      <w:r>
        <w:rPr>
          <w:b/>
        </w:rPr>
        <w:t xml:space="preserve">Les consignes 24°C chambres et 26°C séjours sont fondées sur une logique de santé et de sobriété. </w:t>
      </w:r>
      <w:r>
        <w:t>La chambre doit être plus fraîche que le séjour parce que le sommeil est très sensible à la chaleur nocturne. Les études disponibles chez les personnes âgées montrent que le sommeil est le plus efficace entre 20 et 25°C, et se dégrade lorsque la température monte vers 30°C. Par ailleurs, les méthodes de confort d’été retiennent 26°C comme seuil d’inconfort nocturne. Viser 24°C en chambre permet donc de rester sous ce seuil avec une marge réaliste.</w:t>
      </w:r>
    </w:p>
    <w:p>
      <w:r>
        <w:rPr>
          <w:b/>
        </w:rPr>
        <w:t xml:space="preserve">Le séjour à 26°C répond à une logique différente : </w:t>
      </w:r>
      <w:r>
        <w:t>il s’agit de maintenir une pièce de vie et de refuge compatible avec une activité humaine légère, sans surconsommation liée à un sur-refroidissement. Le seuil de 26°C est également cohérent avec des recommandations de santé publique visant à protéger les personnes âgées lors des épisodes de chaleur.</w:t>
      </w:r>
    </w:p>
    <w:p>
      <w:pPr>
        <w:pStyle w:val="Heading2"/>
      </w:pPr>
      <w:r>
        <w:t>9.2 Version renforcée pour conseil syndical / assemblée générale</w:t>
      </w:r>
    </w:p>
    <w:p>
      <w:r>
        <w:rPr>
          <w:b/>
        </w:rPr>
        <w:t xml:space="preserve">Notre objectif n’est pas de créer du froid artificiel pour du confort superficiel. </w:t>
      </w:r>
      <w:r>
        <w:t>Il est de garantir une capacité de récupération thermique pendant les épisodes chauds, en particulier la nuit. Un logement qui ne redescend pas la nuit devient un accumulateur de chaleur : le corps récupère moins, le sommeil se fragmente, les personnes âgées ressentent moins la soif et adaptent moins vite leur comportement, les jeunes enfants se déshydratent plus rapidement. Dans ce contexte, les seuils 24°C en chambre et 26°C en séjour sont des repères prudents, sobres et défendables.</w:t>
      </w:r>
    </w:p>
    <w:p>
      <w:r>
        <w:rPr>
          <w:b/>
        </w:rPr>
        <w:t xml:space="preserve">24°C en chambre est une cible de sommeil. </w:t>
      </w:r>
      <w:r>
        <w:t>Elle reste dans la plage favorable observée pour le sommeil des personnes âgées et garde une marge sous le seuil nocturne de 26°C. 26°C en séjour est une cible de vie quotidienne. Elle permet de disposer d’une pièce respirable pendant la journée et la soirée, tout en évitant un système trop énergivore. C’est précisément cette distinction entre chambre et séjour qui rend le projet sérieux : on ne refroidit pas tout indistinctement, on répond aux usages réels du logement.</w:t>
      </w:r>
    </w:p>
    <w:p>
      <w:r>
        <w:rPr>
          <w:b/>
        </w:rPr>
        <w:t xml:space="preserve">La question n’est donc pas : 'quelle température aimerait-on avoir ?' </w:t>
      </w:r>
      <w:r>
        <w:t>La question est : 'à partir de quelle température un logement cesse-t-il d’être un espace de récupération sûr pour ses occupants ?' Les données disponibles convergent : au-delà de 26°C la nuit, la récupération se dégrade ; au-delà de 26-28°C en journée, l’inconfort devient durable ; au-delà de 28-30°C selon l’activité, l’astreinte thermique devient un sujet de prévention. Les consignes FRESHCOP se placent volontairement avant ces zones de rupture.</w:t>
      </w:r>
    </w:p>
    <w:p>
      <w:pPr>
        <w:sectPr>
          <w:headerReference w:type="default" r:id="rId9"/>
          <w:footerReference w:type="default" r:id="rId10"/>
          <w:pgSz w:w="12240" w:h="15840"/>
          <w:pgMar w:top="792" w:right="936" w:bottom="792" w:left="936" w:header="720" w:footer="720" w:gutter="0"/>
          <w:cols w:space="720"/>
          <w:docGrid w:linePitch="360"/>
        </w:sectPr>
      </w:pPr>
    </w:p>
    <w:p>
      <w:pPr>
        <w:pStyle w:val="Heading1"/>
      </w:pPr>
      <w:r>
        <w:t>10. Bibliographie commentée</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648"/>
            <w:vAlign w:val="center"/>
            <w:shd w:fill="1F4E79"/>
          </w:tcPr>
          <w:p>
            <w:r/>
            <w:r>
              <w:rPr>
                <w:b/>
                <w:color w:val="FFFFFF"/>
                <w:sz w:val="14"/>
              </w:rPr>
              <w:t>Réf.</w:t>
            </w:r>
          </w:p>
        </w:tc>
        <w:tc>
          <w:tcPr>
            <w:tcW w:type="dxa" w:w="4032"/>
            <w:vAlign w:val="center"/>
            <w:shd w:fill="1F4E79"/>
          </w:tcPr>
          <w:p>
            <w:r/>
            <w:r>
              <w:rPr>
                <w:b/>
                <w:color w:val="FFFFFF"/>
                <w:sz w:val="14"/>
              </w:rPr>
              <w:t>Source</w:t>
            </w:r>
          </w:p>
        </w:tc>
        <w:tc>
          <w:tcPr>
            <w:tcW w:type="dxa" w:w="7344"/>
            <w:vAlign w:val="center"/>
            <w:shd w:fill="1F4E79"/>
          </w:tcPr>
          <w:p>
            <w:r/>
            <w:r>
              <w:rPr>
                <w:b/>
                <w:color w:val="FFFFFF"/>
                <w:sz w:val="14"/>
              </w:rPr>
              <w:t>Apport pour FRESHCOP</w:t>
            </w:r>
          </w:p>
        </w:tc>
        <w:tc>
          <w:tcPr>
            <w:tcW w:type="dxa" w:w="5040"/>
            <w:vAlign w:val="center"/>
            <w:shd w:fill="1F4E79"/>
          </w:tcPr>
          <w:p>
            <w:r/>
            <w:r>
              <w:rPr>
                <w:b/>
                <w:color w:val="FFFFFF"/>
                <w:sz w:val="14"/>
              </w:rPr>
              <w:t>Lien</w:t>
            </w:r>
          </w:p>
        </w:tc>
      </w:tr>
      <w:tr>
        <w:tc>
          <w:tcPr>
            <w:tcW w:type="dxa" w:w="648"/>
            <w:vAlign w:val="center"/>
          </w:tcPr>
          <w:p>
            <w:r/>
            <w:r>
              <w:rPr>
                <w:b w:val="0"/>
                <w:sz w:val="14"/>
              </w:rPr>
              <w:t>S1</w:t>
            </w:r>
          </w:p>
        </w:tc>
        <w:tc>
          <w:tcPr>
            <w:tcW w:type="dxa" w:w="4032"/>
            <w:vAlign w:val="center"/>
          </w:tcPr>
          <w:p>
            <w:r/>
            <w:r>
              <w:rPr>
                <w:b w:val="0"/>
                <w:sz w:val="14"/>
              </w:rPr>
              <w:t>OMS - Heat and health (2026)</w:t>
            </w:r>
          </w:p>
        </w:tc>
        <w:tc>
          <w:tcPr>
            <w:tcW w:type="dxa" w:w="7344"/>
            <w:vAlign w:val="center"/>
          </w:tcPr>
          <w:p>
            <w:r/>
            <w:r>
              <w:rPr>
                <w:b w:val="0"/>
                <w:sz w:val="14"/>
              </w:rPr>
              <w:t>Risque d’épuisement, coup de chaleur et aggravation cardiovasculaire/rénale/respiratoire.</w:t>
            </w:r>
          </w:p>
        </w:tc>
        <w:tc>
          <w:tcPr>
            <w:tcW w:type="dxa" w:w="5040"/>
            <w:vAlign w:val="center"/>
          </w:tcPr>
          <w:p>
            <w:r/>
            <w:r>
              <w:rPr>
                <w:b w:val="0"/>
                <w:sz w:val="14"/>
              </w:rPr>
              <w:t>https://www.who.int/news-room/fact-sheets/detail/climate-change-heat-and-health</w:t>
            </w:r>
          </w:p>
        </w:tc>
      </w:tr>
      <w:tr>
        <w:tc>
          <w:tcPr>
            <w:tcW w:type="dxa" w:w="648"/>
            <w:vAlign w:val="center"/>
          </w:tcPr>
          <w:p>
            <w:r/>
            <w:r>
              <w:rPr>
                <w:b w:val="0"/>
                <w:sz w:val="14"/>
              </w:rPr>
              <w:t>S2</w:t>
            </w:r>
          </w:p>
        </w:tc>
        <w:tc>
          <w:tcPr>
            <w:tcW w:type="dxa" w:w="4032"/>
            <w:vAlign w:val="center"/>
          </w:tcPr>
          <w:p>
            <w:r/>
            <w:r>
              <w:rPr>
                <w:b w:val="0"/>
                <w:sz w:val="14"/>
              </w:rPr>
              <w:t>Santé publique France - Fortes chaleurs/canicule</w:t>
            </w:r>
          </w:p>
        </w:tc>
        <w:tc>
          <w:tcPr>
            <w:tcW w:type="dxa" w:w="7344"/>
            <w:vAlign w:val="center"/>
          </w:tcPr>
          <w:p>
            <w:r/>
            <w:r>
              <w:rPr>
                <w:b w:val="0"/>
                <w:sz w:val="14"/>
              </w:rPr>
              <w:t>La canicule est un enjeu de santé publique ; priorité aux populations à risque.</w:t>
            </w:r>
          </w:p>
        </w:tc>
        <w:tc>
          <w:tcPr>
            <w:tcW w:type="dxa" w:w="5040"/>
            <w:vAlign w:val="center"/>
          </w:tcPr>
          <w:p>
            <w:r/>
            <w:r>
              <w:rPr>
                <w:b w:val="0"/>
                <w:sz w:val="14"/>
              </w:rPr>
              <w:t>https://www.santepubliquefrance.fr/climat/fortes-chaleurs-canicule</w:t>
            </w:r>
          </w:p>
        </w:tc>
      </w:tr>
      <w:tr>
        <w:tc>
          <w:tcPr>
            <w:tcW w:type="dxa" w:w="648"/>
            <w:vAlign w:val="center"/>
          </w:tcPr>
          <w:p>
            <w:r/>
            <w:r>
              <w:rPr>
                <w:b w:val="0"/>
                <w:sz w:val="14"/>
              </w:rPr>
              <w:t>S3</w:t>
            </w:r>
          </w:p>
        </w:tc>
        <w:tc>
          <w:tcPr>
            <w:tcW w:type="dxa" w:w="4032"/>
            <w:vAlign w:val="center"/>
          </w:tcPr>
          <w:p>
            <w:r/>
            <w:r>
              <w:rPr>
                <w:b w:val="0"/>
                <w:sz w:val="14"/>
              </w:rPr>
              <w:t>Ameli - effets de la canicule</w:t>
            </w:r>
          </w:p>
        </w:tc>
        <w:tc>
          <w:tcPr>
            <w:tcW w:type="dxa" w:w="7344"/>
            <w:vAlign w:val="center"/>
          </w:tcPr>
          <w:p>
            <w:r/>
            <w:r>
              <w:rPr>
                <w:b w:val="0"/>
                <w:sz w:val="14"/>
              </w:rPr>
              <w:t>Personnes âgées et nourrissons plus fragiles ; faible baisse nocturne pendant une canicule.</w:t>
            </w:r>
          </w:p>
        </w:tc>
        <w:tc>
          <w:tcPr>
            <w:tcW w:type="dxa" w:w="5040"/>
            <w:vAlign w:val="center"/>
          </w:tcPr>
          <w:p>
            <w:r/>
            <w:r>
              <w:rPr>
                <w:b w:val="0"/>
                <w:sz w:val="14"/>
              </w:rPr>
              <w:t>https://www.ameli.fr/assure/sante/themes/canicule-chaleur/effets-organisme-personnes-risque-sante</w:t>
            </w:r>
          </w:p>
        </w:tc>
      </w:tr>
      <w:tr>
        <w:tc>
          <w:tcPr>
            <w:tcW w:type="dxa" w:w="648"/>
            <w:vAlign w:val="center"/>
          </w:tcPr>
          <w:p>
            <w:r/>
            <w:r>
              <w:rPr>
                <w:b w:val="0"/>
                <w:sz w:val="14"/>
              </w:rPr>
              <w:t>S4</w:t>
            </w:r>
          </w:p>
        </w:tc>
        <w:tc>
          <w:tcPr>
            <w:tcW w:type="dxa" w:w="4032"/>
            <w:vAlign w:val="center"/>
          </w:tcPr>
          <w:p>
            <w:r/>
            <w:r>
              <w:rPr>
                <w:b w:val="0"/>
                <w:sz w:val="14"/>
              </w:rPr>
              <w:t>Santé publique France - chaleur chez l’enfant (2021)</w:t>
            </w:r>
          </w:p>
        </w:tc>
        <w:tc>
          <w:tcPr>
            <w:tcW w:type="dxa" w:w="7344"/>
            <w:vAlign w:val="center"/>
          </w:tcPr>
          <w:p>
            <w:r/>
            <w:r>
              <w:rPr>
                <w:b w:val="0"/>
                <w:sz w:val="14"/>
              </w:rPr>
              <w:t>Moins de cinq ans à risque ; 1 646 passages aux urgences &lt;6 ans durant l’été 2019.</w:t>
            </w:r>
          </w:p>
        </w:tc>
        <w:tc>
          <w:tcPr>
            <w:tcW w:type="dxa" w:w="5040"/>
            <w:vAlign w:val="center"/>
          </w:tcPr>
          <w:p>
            <w:r/>
            <w:r>
              <w:rPr>
                <w:b w:val="0"/>
                <w:sz w:val="14"/>
              </w:rPr>
              <w:t>https://www.santepubliquefrance.fr/sites/default/files/rdd/document/424019_spf00003179.pdf</w:t>
            </w:r>
          </w:p>
        </w:tc>
      </w:tr>
      <w:tr>
        <w:tc>
          <w:tcPr>
            <w:tcW w:type="dxa" w:w="648"/>
            <w:vAlign w:val="center"/>
          </w:tcPr>
          <w:p>
            <w:r/>
            <w:r>
              <w:rPr>
                <w:b w:val="0"/>
                <w:sz w:val="14"/>
              </w:rPr>
              <w:t>S5</w:t>
            </w:r>
          </w:p>
        </w:tc>
        <w:tc>
          <w:tcPr>
            <w:tcW w:type="dxa" w:w="4032"/>
            <w:vAlign w:val="center"/>
          </w:tcPr>
          <w:p>
            <w:r/>
            <w:r>
              <w:rPr>
                <w:b w:val="0"/>
                <w:sz w:val="14"/>
              </w:rPr>
              <w:t>Santé Canada - limite intérieure 26°C (2026)</w:t>
            </w:r>
          </w:p>
        </w:tc>
        <w:tc>
          <w:tcPr>
            <w:tcW w:type="dxa" w:w="7344"/>
            <w:vAlign w:val="center"/>
          </w:tcPr>
          <w:p>
            <w:r/>
            <w:r>
              <w:rPr>
                <w:b w:val="0"/>
                <w:sz w:val="14"/>
              </w:rPr>
              <w:t>26°C recommandé comme limite supérieure protectrice pour les adultes âgés.</w:t>
            </w:r>
          </w:p>
        </w:tc>
        <w:tc>
          <w:tcPr>
            <w:tcW w:type="dxa" w:w="5040"/>
            <w:vAlign w:val="center"/>
          </w:tcPr>
          <w:p>
            <w:r/>
            <w:r>
              <w:rPr>
                <w:b w:val="0"/>
                <w:sz w:val="14"/>
              </w:rPr>
              <w:t>https://www.canada.ca/en/health-canada/services/publications/healthy-living/guidance-upper-indoor-temperature-limits-protecting-older-adults.html</w:t>
            </w:r>
          </w:p>
        </w:tc>
      </w:tr>
      <w:tr>
        <w:tc>
          <w:tcPr>
            <w:tcW w:type="dxa" w:w="648"/>
            <w:vAlign w:val="center"/>
          </w:tcPr>
          <w:p>
            <w:r/>
            <w:r>
              <w:rPr>
                <w:b w:val="0"/>
                <w:sz w:val="14"/>
              </w:rPr>
              <w:t>S6</w:t>
            </w:r>
          </w:p>
        </w:tc>
        <w:tc>
          <w:tcPr>
            <w:tcW w:type="dxa" w:w="4032"/>
            <w:vAlign w:val="center"/>
          </w:tcPr>
          <w:p>
            <w:r/>
            <w:r>
              <w:rPr>
                <w:b w:val="0"/>
                <w:sz w:val="14"/>
              </w:rPr>
              <w:t>UKHSA/GOV.UK - personnes vulnérables</w:t>
            </w:r>
          </w:p>
        </w:tc>
        <w:tc>
          <w:tcPr>
            <w:tcW w:type="dxa" w:w="7344"/>
            <w:vAlign w:val="center"/>
          </w:tcPr>
          <w:p>
            <w:r/>
            <w:r>
              <w:rPr>
                <w:b w:val="0"/>
                <w:sz w:val="14"/>
              </w:rPr>
              <w:t>Prévoir une pièce ou zone fraîche maintenue sous 26°C.</w:t>
            </w:r>
          </w:p>
        </w:tc>
        <w:tc>
          <w:tcPr>
            <w:tcW w:type="dxa" w:w="5040"/>
            <w:vAlign w:val="center"/>
          </w:tcPr>
          <w:p>
            <w:r/>
            <w:r>
              <w:rPr>
                <w:b w:val="0"/>
                <w:sz w:val="14"/>
              </w:rPr>
              <w:t>https://www.gov.uk/guidance/supporting-vulnerable-people-before-and-during-hot-weather-social-care-managers</w:t>
            </w:r>
          </w:p>
        </w:tc>
      </w:tr>
      <w:tr>
        <w:tc>
          <w:tcPr>
            <w:tcW w:type="dxa" w:w="648"/>
            <w:vAlign w:val="center"/>
          </w:tcPr>
          <w:p>
            <w:r/>
            <w:r>
              <w:rPr>
                <w:b w:val="0"/>
                <w:sz w:val="14"/>
              </w:rPr>
              <w:t>S7</w:t>
            </w:r>
          </w:p>
        </w:tc>
        <w:tc>
          <w:tcPr>
            <w:tcW w:type="dxa" w:w="4032"/>
            <w:vAlign w:val="center"/>
          </w:tcPr>
          <w:p>
            <w:r/>
            <w:r>
              <w:rPr>
                <w:b w:val="0"/>
                <w:sz w:val="14"/>
              </w:rPr>
              <w:t>Baniassadi et al. - Science of the Total Environment (2023)</w:t>
            </w:r>
          </w:p>
        </w:tc>
        <w:tc>
          <w:tcPr>
            <w:tcW w:type="dxa" w:w="7344"/>
            <w:vAlign w:val="center"/>
          </w:tcPr>
          <w:p>
            <w:r/>
            <w:r>
              <w:rPr>
                <w:b w:val="0"/>
                <w:sz w:val="14"/>
              </w:rPr>
              <w:t>Sommeil des personnes âgées optimal à 20-25°C ; baisse de 5-10% de l’efficacité de 25 à 30°C.</w:t>
            </w:r>
          </w:p>
        </w:tc>
        <w:tc>
          <w:tcPr>
            <w:tcW w:type="dxa" w:w="5040"/>
            <w:vAlign w:val="center"/>
          </w:tcPr>
          <w:p>
            <w:r/>
            <w:r>
              <w:rPr>
                <w:b w:val="0"/>
                <w:sz w:val="14"/>
              </w:rPr>
              <w:t>https://doi.org/10.1016/j.scitotenv.2023.165623</w:t>
            </w:r>
          </w:p>
        </w:tc>
      </w:tr>
      <w:tr>
        <w:tc>
          <w:tcPr>
            <w:tcW w:type="dxa" w:w="648"/>
            <w:vAlign w:val="center"/>
          </w:tcPr>
          <w:p>
            <w:r/>
            <w:r>
              <w:rPr>
                <w:b w:val="0"/>
                <w:sz w:val="14"/>
              </w:rPr>
              <w:t>S8</w:t>
            </w:r>
          </w:p>
        </w:tc>
        <w:tc>
          <w:tcPr>
            <w:tcW w:type="dxa" w:w="4032"/>
            <w:vAlign w:val="center"/>
          </w:tcPr>
          <w:p>
            <w:r/>
            <w:r>
              <w:rPr>
                <w:b w:val="0"/>
                <w:sz w:val="14"/>
              </w:rPr>
              <w:t>Minor et al. - One Earth (2022)</w:t>
            </w:r>
          </w:p>
        </w:tc>
        <w:tc>
          <w:tcPr>
            <w:tcW w:type="dxa" w:w="7344"/>
            <w:vAlign w:val="center"/>
          </w:tcPr>
          <w:p>
            <w:r/>
            <w:r>
              <w:rPr>
                <w:b w:val="0"/>
                <w:sz w:val="14"/>
              </w:rPr>
              <w:t>Plus de 7 millions d’enregistrements : les nuits chaudes réduisent le sommeil, surtout chez les personnes âgées.</w:t>
            </w:r>
          </w:p>
        </w:tc>
        <w:tc>
          <w:tcPr>
            <w:tcW w:type="dxa" w:w="5040"/>
            <w:vAlign w:val="center"/>
          </w:tcPr>
          <w:p>
            <w:r/>
            <w:r>
              <w:rPr>
                <w:b w:val="0"/>
                <w:sz w:val="14"/>
              </w:rPr>
              <w:t>https://doi.org/10.1016/j.oneear.2022.04.008</w:t>
            </w:r>
          </w:p>
        </w:tc>
      </w:tr>
      <w:tr>
        <w:tc>
          <w:tcPr>
            <w:tcW w:type="dxa" w:w="648"/>
            <w:vAlign w:val="center"/>
          </w:tcPr>
          <w:p>
            <w:r/>
            <w:r>
              <w:rPr>
                <w:b w:val="0"/>
                <w:sz w:val="14"/>
              </w:rPr>
              <w:t>S9</w:t>
            </w:r>
          </w:p>
        </w:tc>
        <w:tc>
          <w:tcPr>
            <w:tcW w:type="dxa" w:w="4032"/>
            <w:vAlign w:val="center"/>
          </w:tcPr>
          <w:p>
            <w:r/>
            <w:r>
              <w:rPr>
                <w:b w:val="0"/>
                <w:sz w:val="14"/>
              </w:rPr>
              <w:t>CIBSE TM59 / CIBSE Journal</w:t>
            </w:r>
          </w:p>
        </w:tc>
        <w:tc>
          <w:tcPr>
            <w:tcW w:type="dxa" w:w="7344"/>
            <w:vAlign w:val="center"/>
          </w:tcPr>
          <w:p>
            <w:r/>
            <w:r>
              <w:rPr>
                <w:b w:val="0"/>
                <w:sz w:val="14"/>
              </w:rPr>
              <w:t>Critère de dépassement de 26°C en chambre la nuit lié aux perturbations du sommeil.</w:t>
            </w:r>
          </w:p>
        </w:tc>
        <w:tc>
          <w:tcPr>
            <w:tcW w:type="dxa" w:w="5040"/>
            <w:vAlign w:val="center"/>
          </w:tcPr>
          <w:p>
            <w:r/>
            <w:r>
              <w:rPr>
                <w:b w:val="0"/>
                <w:sz w:val="14"/>
              </w:rPr>
              <w:t>https://www.cibsejournal.com/technical/using-tm59-to-assess-overheating-risk-in-homes/</w:t>
            </w:r>
          </w:p>
        </w:tc>
      </w:tr>
      <w:tr>
        <w:tc>
          <w:tcPr>
            <w:tcW w:type="dxa" w:w="648"/>
            <w:vAlign w:val="center"/>
          </w:tcPr>
          <w:p>
            <w:r/>
            <w:r>
              <w:rPr>
                <w:b w:val="0"/>
                <w:sz w:val="14"/>
              </w:rPr>
              <w:t>S10</w:t>
            </w:r>
          </w:p>
        </w:tc>
        <w:tc>
          <w:tcPr>
            <w:tcW w:type="dxa" w:w="4032"/>
            <w:vAlign w:val="center"/>
          </w:tcPr>
          <w:p>
            <w:r/>
            <w:r>
              <w:rPr>
                <w:b w:val="0"/>
                <w:sz w:val="14"/>
              </w:rPr>
              <w:t>Guide officiel RE2020 (2024)</w:t>
            </w:r>
          </w:p>
        </w:tc>
        <w:tc>
          <w:tcPr>
            <w:tcW w:type="dxa" w:w="7344"/>
            <w:vAlign w:val="center"/>
          </w:tcPr>
          <w:p>
            <w:r/>
            <w:r>
              <w:rPr>
                <w:b w:val="0"/>
                <w:sz w:val="14"/>
              </w:rPr>
              <w:t>Seuils d’inconfort : 26°C la nuit ; 26-28°C le jour selon adaptation.</w:t>
            </w:r>
          </w:p>
        </w:tc>
        <w:tc>
          <w:tcPr>
            <w:tcW w:type="dxa" w:w="5040"/>
            <w:vAlign w:val="center"/>
          </w:tcPr>
          <w:p>
            <w:r/>
            <w:r>
              <w:rPr>
                <w:b w:val="0"/>
                <w:sz w:val="14"/>
              </w:rPr>
              <w:t>https://www.ecologie.gouv.fr/sites/default/files/documents/guide_re2020_version_janvier_2024.pdf</w:t>
            </w:r>
          </w:p>
        </w:tc>
      </w:tr>
      <w:tr>
        <w:tc>
          <w:tcPr>
            <w:tcW w:type="dxa" w:w="648"/>
            <w:vAlign w:val="center"/>
          </w:tcPr>
          <w:p>
            <w:r/>
            <w:r>
              <w:rPr>
                <w:b w:val="0"/>
                <w:sz w:val="14"/>
              </w:rPr>
              <w:t>S11</w:t>
            </w:r>
          </w:p>
        </w:tc>
        <w:tc>
          <w:tcPr>
            <w:tcW w:type="dxa" w:w="4032"/>
            <w:vAlign w:val="center"/>
          </w:tcPr>
          <w:p>
            <w:r/>
            <w:r>
              <w:rPr>
                <w:b w:val="0"/>
                <w:sz w:val="14"/>
              </w:rPr>
              <w:t>INRS - forte chaleur/canicule (2024)</w:t>
            </w:r>
          </w:p>
        </w:tc>
        <w:tc>
          <w:tcPr>
            <w:tcW w:type="dxa" w:w="7344"/>
            <w:vAlign w:val="center"/>
          </w:tcPr>
          <w:p>
            <w:r/>
            <w:r>
              <w:rPr>
                <w:b w:val="0"/>
                <w:sz w:val="14"/>
              </w:rPr>
              <w:t>Repères de prévention : 30°C activité sédentaire, 28°C activité physique.</w:t>
            </w:r>
          </w:p>
        </w:tc>
        <w:tc>
          <w:tcPr>
            <w:tcW w:type="dxa" w:w="5040"/>
            <w:vAlign w:val="center"/>
          </w:tcPr>
          <w:p>
            <w:r/>
            <w:r>
              <w:rPr>
                <w:b w:val="0"/>
                <w:sz w:val="14"/>
              </w:rPr>
              <w:t>https://www.inrs.fr/header/presse/cp-forte-chaleur-canicule.html</w:t>
            </w:r>
          </w:p>
        </w:tc>
      </w:tr>
      <w:tr>
        <w:tc>
          <w:tcPr>
            <w:tcW w:type="dxa" w:w="648"/>
            <w:vAlign w:val="center"/>
          </w:tcPr>
          <w:p>
            <w:r/>
            <w:r>
              <w:rPr>
                <w:b w:val="0"/>
                <w:sz w:val="14"/>
              </w:rPr>
              <w:t>S12</w:t>
            </w:r>
          </w:p>
        </w:tc>
        <w:tc>
          <w:tcPr>
            <w:tcW w:type="dxa" w:w="4032"/>
            <w:vAlign w:val="center"/>
          </w:tcPr>
          <w:p>
            <w:r/>
            <w:r>
              <w:rPr>
                <w:b w:val="0"/>
                <w:sz w:val="14"/>
              </w:rPr>
              <w:t>ASHRAE Standard 55</w:t>
            </w:r>
          </w:p>
        </w:tc>
        <w:tc>
          <w:tcPr>
            <w:tcW w:type="dxa" w:w="7344"/>
            <w:vAlign w:val="center"/>
          </w:tcPr>
          <w:p>
            <w:r/>
            <w:r>
              <w:rPr>
                <w:b w:val="0"/>
                <w:sz w:val="14"/>
              </w:rPr>
              <w:t>Le confort dépend d’une combinaison de facteurs, pas d’une seule température.</w:t>
            </w:r>
          </w:p>
        </w:tc>
        <w:tc>
          <w:tcPr>
            <w:tcW w:type="dxa" w:w="5040"/>
            <w:vAlign w:val="center"/>
          </w:tcPr>
          <w:p>
            <w:r/>
            <w:r>
              <w:rPr>
                <w:b w:val="0"/>
                <w:sz w:val="14"/>
              </w:rPr>
              <w:t>https://www.ashrae.org/technical-resources/bookstore/standard-55-thermal-environmental-conditions-for-human-occupancy</w:t>
            </w:r>
          </w:p>
        </w:tc>
      </w:tr>
      <w:tr>
        <w:tc>
          <w:tcPr>
            <w:tcW w:type="dxa" w:w="648"/>
            <w:vAlign w:val="center"/>
          </w:tcPr>
          <w:p>
            <w:r/>
            <w:r>
              <w:rPr>
                <w:b w:val="0"/>
                <w:sz w:val="14"/>
              </w:rPr>
              <w:t>S13</w:t>
            </w:r>
          </w:p>
        </w:tc>
        <w:tc>
          <w:tcPr>
            <w:tcW w:type="dxa" w:w="4032"/>
            <w:vAlign w:val="center"/>
          </w:tcPr>
          <w:p>
            <w:r/>
            <w:r>
              <w:rPr>
                <w:b w:val="0"/>
                <w:sz w:val="14"/>
              </w:rPr>
              <w:t>van Loenhout et al. - Environmental Research (2016)</w:t>
            </w:r>
          </w:p>
        </w:tc>
        <w:tc>
          <w:tcPr>
            <w:tcW w:type="dxa" w:w="7344"/>
            <w:vAlign w:val="center"/>
          </w:tcPr>
          <w:p>
            <w:r/>
            <w:r>
              <w:rPr>
                <w:b w:val="0"/>
                <w:sz w:val="14"/>
              </w:rPr>
              <w:t>Chez les personnes âgées, les symptômes liés à la chaleur sont plus corrélés à la température intérieure qu’extérieure.</w:t>
            </w:r>
          </w:p>
        </w:tc>
        <w:tc>
          <w:tcPr>
            <w:tcW w:type="dxa" w:w="5040"/>
            <w:vAlign w:val="center"/>
          </w:tcPr>
          <w:p>
            <w:r/>
            <w:r>
              <w:rPr>
                <w:b w:val="0"/>
                <w:sz w:val="14"/>
              </w:rPr>
              <w:t>https://pubmed.ncbi.nlm.nih.gov/26710340/</w:t>
            </w:r>
          </w:p>
        </w:tc>
      </w:tr>
    </w:tbl>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Document de travail - justification des consignes 24°C chambres / 26°C séjour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FRESHCOP - Annexe santé et confort thermique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