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b/>
          <w:color w:val="1F4E79"/>
          <w:sz w:val="48"/>
        </w:rPr>
        <w:t>FRESHCOP</w:t>
        <w:br/>
        <w:t>Chapitre 4 consolidé</w:t>
      </w:r>
    </w:p>
    <w:p>
      <w:pPr>
        <w:jc w:val="center"/>
      </w:pPr>
      <w:r>
        <w:rPr>
          <w:rFonts w:ascii="Aptos" w:hAnsi="Aptos"/>
          <w:b/>
          <w:color w:val="1F4E79"/>
          <w:sz w:val="30"/>
        </w:rPr>
        <w:t>Modèle thermique dynamique, simulations 2050, dimensionnement et marges de puissance</w:t>
      </w:r>
    </w:p>
    <w:p>
      <w:pPr>
        <w:jc w:val="center"/>
      </w:pPr>
      <w:r>
        <w:rPr>
          <w:rFonts w:ascii="Arial" w:hAnsi="Arial"/>
        </w:rPr>
        <w:t>Version V3 recentrée : parties 1, 2 et 3 conservées comme socle technique ; suppression du chapitre 5 et retrait du chiffre 1,19 MW de la conclusion de dimensionnement.</w:t>
      </w:r>
    </w:p>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D9EAF7"/>
          </w:tcPr>
          <w:p>
            <w:r>
              <w:rPr>
                <w:rFonts w:ascii="Arial" w:hAnsi="Arial"/>
                <w:b/>
                <w:sz w:val="17"/>
              </w:rPr>
              <w:t>Sources fusionnées</w:t>
            </w:r>
          </w:p>
        </w:tc>
        <w:tc>
          <w:tcPr>
            <w:tcW w:type="dxa" w:w="5074"/>
            <w:vAlign w:val="center"/>
            <w:shd w:fill="D9EAF7"/>
          </w:tcPr>
          <w:p>
            <w:r>
              <w:rPr>
                <w:rFonts w:ascii="Arial" w:hAnsi="Arial"/>
                <w:b/>
                <w:sz w:val="17"/>
              </w:rPr>
              <w:t>Parties 1 à 5 du Chapitre 4 + CSV T appart mai - juin 2026</w:t>
            </w:r>
          </w:p>
        </w:tc>
      </w:tr>
      <w:tr>
        <w:tc>
          <w:tcPr>
            <w:tcW w:type="dxa" w:w="5074"/>
            <w:vAlign w:val="center"/>
          </w:tcPr>
          <w:p>
            <w:r>
              <w:rPr>
                <w:rFonts w:ascii="Arial" w:hAnsi="Arial"/>
                <w:sz w:val="17"/>
              </w:rPr>
              <w:t>Période principale de calibration</w:t>
            </w:r>
          </w:p>
        </w:tc>
        <w:tc>
          <w:tcPr>
            <w:tcW w:type="dxa" w:w="5074"/>
            <w:vAlign w:val="center"/>
          </w:tcPr>
          <w:p>
            <w:r>
              <w:rPr>
                <w:rFonts w:ascii="Arial" w:hAnsi="Arial"/>
                <w:sz w:val="17"/>
              </w:rPr>
              <w:t>22/05/2026 au 30/06/2026 - 960 points horaires après arrêt du chauffage collectif</w:t>
            </w:r>
          </w:p>
        </w:tc>
      </w:tr>
      <w:tr>
        <w:tc>
          <w:tcPr>
            <w:tcW w:type="dxa" w:w="5074"/>
            <w:vAlign w:val="center"/>
          </w:tcPr>
          <w:p>
            <w:r>
              <w:rPr>
                <w:rFonts w:ascii="Arial" w:hAnsi="Arial"/>
                <w:sz w:val="17"/>
              </w:rPr>
              <w:t>Référence de calibration retenue</w:t>
            </w:r>
          </w:p>
        </w:tc>
        <w:tc>
          <w:tcPr>
            <w:tcW w:type="dxa" w:w="5074"/>
            <w:vAlign w:val="center"/>
          </w:tcPr>
          <w:p>
            <w:r>
              <w:rPr>
                <w:rFonts w:ascii="Arial" w:hAnsi="Arial"/>
                <w:sz w:val="17"/>
              </w:rPr>
              <w:t>Partie 1 V3 : modèle RC apparent recalibré CSV</w:t>
            </w:r>
          </w:p>
        </w:tc>
      </w:tr>
      <w:tr>
        <w:tc>
          <w:tcPr>
            <w:tcW w:type="dxa" w:w="5074"/>
            <w:vAlign w:val="center"/>
          </w:tcPr>
          <w:p>
            <w:r>
              <w:rPr>
                <w:rFonts w:ascii="Arial" w:hAnsi="Arial"/>
                <w:sz w:val="17"/>
              </w:rPr>
              <w:t>Statut</w:t>
            </w:r>
          </w:p>
        </w:tc>
        <w:tc>
          <w:tcPr>
            <w:tcW w:type="dxa" w:w="5074"/>
            <w:vAlign w:val="center"/>
          </w:tcPr>
          <w:p>
            <w:r>
              <w:rPr>
                <w:rFonts w:ascii="Arial" w:hAnsi="Arial"/>
                <w:sz w:val="17"/>
              </w:rPr>
              <w:t>Document de travail - pré-dimensionnement, non substituable à une étude thermique détaillée</w:t>
            </w:r>
          </w:p>
        </w:tc>
      </w:tr>
      <w:tr>
        <w:tc>
          <w:tcPr>
            <w:tcW w:type="dxa" w:w="5074"/>
            <w:vAlign w:val="center"/>
          </w:tcPr>
          <w:p>
            <w:r>
              <w:rPr>
                <w:rFonts w:ascii="Arial" w:hAnsi="Arial"/>
                <w:sz w:val="17"/>
              </w:rPr>
              <w:t>Principe de fusion</w:t>
            </w:r>
          </w:p>
        </w:tc>
        <w:tc>
          <w:tcPr>
            <w:tcW w:type="dxa" w:w="5074"/>
            <w:vAlign w:val="center"/>
          </w:tcPr>
          <w:p>
            <w:r>
              <w:rPr>
                <w:rFonts w:ascii="Arial" w:hAnsi="Arial"/>
                <w:sz w:val="17"/>
              </w:rPr>
              <w:t>Aucun contenu source n’est supprimé ; les incohérences identifiées sont corrigées ou encadrées par notes de consolidation</w:t>
            </w:r>
          </w:p>
        </w:tc>
      </w:tr>
    </w:tbl>
    <w:p>
      <w:r>
        <w:rPr>
          <w:rFonts w:ascii="Aptos" w:hAnsi="Aptos"/>
        </w:rPr>
        <w:br w:type="page"/>
      </w:r>
    </w:p>
    <w:p>
      <w:pPr>
        <w:pStyle w:val="Heading1"/>
      </w:pPr>
      <w:r>
        <w:rPr>
          <w:rFonts w:ascii="Aptos" w:hAnsi="Aptos"/>
        </w:rPr>
        <w:t>Synthèse de cohérence technique intégrée</w:t>
      </w:r>
    </w:p>
    <w:p>
      <w:r>
        <w:rPr>
          <w:rFonts w:ascii="Arial" w:hAnsi="Arial"/>
          <w:b w:val="0"/>
          <w:i w:val="0"/>
        </w:rPr>
        <w:t>Cette version reprend la structure technique autour des trois parties qui tiennent la route : calibration du modèle, simulation dynamique et dimensionnement par capacité. Les anciennes lectures issues du pic moyen corrigé à 1,19 MW et du chapitre 5 sont retirées de la conclusion, car elles brouillaient l'arbitrage technique.</w:t>
      </w:r>
    </w:p>
    <w:p>
      <w:r>
        <w:rPr>
          <w:rFonts w:ascii="Arial" w:hAnsi="Arial"/>
          <w:b/>
          <w:i w:val="0"/>
        </w:rPr>
        <w:t>Décision de cohérence : le dimensionnement doit être lu sur le scénario de pointe horaire de la Partie 3, pas sur une moyenne corrigée. Le chiffre 1,19 MW n'est donc plus utilisé pour conclure qu'une capacité passe ou ne passe pas.</w:t>
      </w:r>
    </w:p>
    <w:tbl>
      <w:tblPr>
        <w:tblStyle w:val="TableGrid"/>
        <w:tblW w:type="auto" w:w="0"/>
        <w:jc w:val="center"/>
        <w:tblLook w:firstColumn="1" w:firstRow="1" w:lastColumn="0" w:lastRow="0" w:noHBand="0" w:noVBand="1" w:val="04A0"/>
      </w:tblPr>
      <w:tblGrid>
        <w:gridCol w:w="5074"/>
        <w:gridCol w:w="5074"/>
      </w:tblGrid>
      <w:tr>
        <w:tc>
          <w:tcPr>
            <w:tcW w:type="dxa" w:w="5074"/>
            <w:vAlign w:val="center"/>
          </w:tcPr>
          <w:p>
            <w:r>
              <w:rPr>
                <w:b/>
              </w:rPr>
              <w:t>Point technique</w:t>
            </w:r>
          </w:p>
        </w:tc>
        <w:tc>
          <w:tcPr>
            <w:tcW w:type="dxa" w:w="5074"/>
            <w:vAlign w:val="center"/>
          </w:tcPr>
          <w:p>
            <w:r>
              <w:rPr>
                <w:b/>
              </w:rPr>
              <w:t>Décision V3</w:t>
            </w:r>
          </w:p>
        </w:tc>
      </w:tr>
      <w:tr>
        <w:tc>
          <w:tcPr>
            <w:tcW w:type="dxa" w:w="5074"/>
            <w:vAlign w:val="center"/>
          </w:tcPr>
          <w:p>
            <w:r>
              <w:rPr>
                <w:sz w:val="18"/>
              </w:rPr>
              <w:t>Socle conservé</w:t>
            </w:r>
          </w:p>
        </w:tc>
        <w:tc>
          <w:tcPr>
            <w:tcW w:type="dxa" w:w="5074"/>
            <w:vAlign w:val="center"/>
          </w:tcPr>
          <w:p>
            <w:r>
              <w:rPr>
                <w:sz w:val="18"/>
              </w:rPr>
              <w:t>Parties 1, 2 et 3 : modèle RC, projection sans froid, calcul dynamique 2 / 2,5 / 3 MW.</w:t>
            </w:r>
          </w:p>
        </w:tc>
      </w:tr>
      <w:tr>
        <w:tc>
          <w:tcPr>
            <w:tcW w:type="dxa" w:w="5074"/>
            <w:vAlign w:val="center"/>
          </w:tcPr>
          <w:p>
            <w:r>
              <w:rPr>
                <w:sz w:val="18"/>
              </w:rPr>
              <w:t>Élément retiré de la conclusion</w:t>
            </w:r>
          </w:p>
        </w:tc>
        <w:tc>
          <w:tcPr>
            <w:tcW w:type="dxa" w:w="5074"/>
            <w:vAlign w:val="center"/>
          </w:tcPr>
          <w:p>
            <w:r>
              <w:rPr>
                <w:sz w:val="18"/>
              </w:rPr>
              <w:t>Le 1,19 MW, car il correspond à une lecture moyenne/anticipative et non au cas de pointe réactif.</w:t>
            </w:r>
          </w:p>
        </w:tc>
      </w:tr>
      <w:tr>
        <w:tc>
          <w:tcPr>
            <w:tcW w:type="dxa" w:w="5074"/>
            <w:vAlign w:val="center"/>
          </w:tcPr>
          <w:p>
            <w:r>
              <w:rPr>
                <w:sz w:val="18"/>
              </w:rPr>
              <w:t>Chapitre 5</w:t>
            </w:r>
          </w:p>
        </w:tc>
        <w:tc>
          <w:tcPr>
            <w:tcW w:type="dxa" w:w="5074"/>
            <w:vAlign w:val="center"/>
          </w:tcPr>
          <w:p>
            <w:r>
              <w:rPr>
                <w:sz w:val="18"/>
              </w:rPr>
              <w:t>Supprimé de cette version : il mélangeait des métriques incompatibles avec la conclusion de dimensionnement.</w:t>
            </w:r>
          </w:p>
        </w:tc>
      </w:tr>
      <w:tr>
        <w:tc>
          <w:tcPr>
            <w:tcW w:type="dxa" w:w="5074"/>
            <w:vAlign w:val="center"/>
          </w:tcPr>
          <w:p>
            <w:r>
              <w:rPr>
                <w:sz w:val="18"/>
              </w:rPr>
              <w:t>Critère de puissance retenu</w:t>
            </w:r>
          </w:p>
        </w:tc>
        <w:tc>
          <w:tcPr>
            <w:tcW w:type="dxa" w:w="5074"/>
            <w:vAlign w:val="center"/>
          </w:tcPr>
          <w:p>
            <w:r>
              <w:rPr>
                <w:sz w:val="18"/>
              </w:rPr>
              <w:t>Pic non contraint 2050 en pilotage réactif : 2,65 MW.</w:t>
            </w:r>
          </w:p>
        </w:tc>
      </w:tr>
      <w:tr>
        <w:tc>
          <w:tcPr>
            <w:tcW w:type="dxa" w:w="5074"/>
            <w:vAlign w:val="center"/>
          </w:tcPr>
          <w:p>
            <w:r>
              <w:rPr>
                <w:sz w:val="18"/>
              </w:rPr>
              <w:t>Lecture 3 MW</w:t>
            </w:r>
          </w:p>
        </w:tc>
        <w:tc>
          <w:tcPr>
            <w:tcW w:type="dxa" w:w="5074"/>
            <w:vAlign w:val="center"/>
          </w:tcPr>
          <w:p>
            <w:r>
              <w:rPr>
                <w:sz w:val="18"/>
              </w:rPr>
              <w:t>3 MW ne donne pas une grande marge : il donne une marge faible mais positive, environ +0,35 MW en 2050.</w:t>
            </w:r>
          </w:p>
        </w:tc>
      </w:tr>
    </w:tbl>
    <w:p>
      <w:r>
        <w:rPr>
          <w:rFonts w:ascii="Arial" w:hAnsi="Arial"/>
          <w:b/>
          <w:i w:val="0"/>
        </w:rPr>
        <w:t>Conclusion corrigée : 2 MW est insuffisant pour le scénario réactif ; 2,5 MW reste limite ; 3 MW est l'enveloppe de pré-dimensionnement cohérente, non pas parce que la marge est confortable, mais parce qu'elle est la seule à supprimer la saturation dans les scénarios de la Partie 3.</w:t>
      </w:r>
    </w:p>
    <w:p>
      <w:pPr>
        <w:pStyle w:val="Heading1"/>
      </w:pPr>
      <w:r>
        <w:rPr>
          <w:rFonts w:ascii="Aptos" w:hAnsi="Aptos"/>
        </w:rPr>
        <w:t>Sommaire</w:t>
      </w:r>
    </w:p>
    <w:p>
      <w:r>
        <w:rPr>
          <w:rFonts w:ascii="Arial" w:hAnsi="Arial"/>
          <w:b w:val="0"/>
          <w:i w:val="0"/>
        </w:rPr>
        <w:t>Le sommaire ci-dessous est volontairement statique afin de rester lisible dans tous les environnements.</w:t>
      </w:r>
    </w:p>
    <w:p>
      <w:r>
        <w:rPr>
          <w:rFonts w:ascii="Arial" w:hAnsi="Arial"/>
          <w:b w:val="0"/>
          <w:i w:val="0"/>
        </w:rPr>
        <w:t>Synthèse de cohérence technique intégrée</w:t>
      </w:r>
    </w:p>
    <w:p>
      <w:r>
        <w:rPr>
          <w:rFonts w:ascii="Arial" w:hAnsi="Arial"/>
          <w:b w:val="0"/>
          <w:i w:val="0"/>
        </w:rPr>
        <w:t>Lexique des abréviations</w:t>
      </w:r>
    </w:p>
    <w:p>
      <w:r>
        <w:rPr>
          <w:rFonts w:ascii="Arial" w:hAnsi="Arial"/>
          <w:b w:val="0"/>
          <w:i w:val="0"/>
        </w:rPr>
        <w:t>Partie 1 - Construction et calibration du modèle thermique dynamique</w:t>
      </w:r>
    </w:p>
    <w:p>
      <w:r>
        <w:rPr>
          <w:rFonts w:ascii="Arial" w:hAnsi="Arial"/>
          <w:b w:val="0"/>
          <w:i w:val="0"/>
        </w:rPr>
        <w:t>Synthèse de la partie 1</w:t>
      </w:r>
    </w:p>
    <w:p>
      <w:r>
        <w:rPr>
          <w:rFonts w:ascii="Arial" w:hAnsi="Arial"/>
          <w:b w:val="0"/>
          <w:i w:val="0"/>
        </w:rPr>
        <w:t>4.1 Objet et niveau de modèle</w:t>
      </w:r>
    </w:p>
    <w:p>
      <w:r>
        <w:rPr>
          <w:rFonts w:ascii="Arial" w:hAnsi="Arial"/>
          <w:b w:val="0"/>
          <w:i w:val="0"/>
        </w:rPr>
        <w:t>4.2 Données disponibles et période retenue</w:t>
      </w:r>
    </w:p>
    <w:p>
      <w:r>
        <w:rPr>
          <w:rFonts w:ascii="Arial" w:hAnsi="Arial"/>
          <w:b w:val="0"/>
          <w:i w:val="0"/>
        </w:rPr>
        <w:t>4.3 Statistiques descriptives issues du CSV</w:t>
      </w:r>
    </w:p>
    <w:p>
      <w:r>
        <w:rPr>
          <w:rFonts w:ascii="Arial" w:hAnsi="Arial"/>
          <w:b w:val="0"/>
          <w:i w:val="0"/>
        </w:rPr>
        <w:t>4.4 Hypothèses et valeurs retenues</w:t>
      </w:r>
    </w:p>
    <w:p>
      <w:r>
        <w:rPr>
          <w:rFonts w:ascii="Arial" w:hAnsi="Arial"/>
          <w:b w:val="0"/>
          <w:i w:val="0"/>
        </w:rPr>
        <w:t>4.5 Pourquoi un modèle RC dynamique ?</w:t>
      </w:r>
    </w:p>
    <w:p>
      <w:r>
        <w:rPr>
          <w:rFonts w:ascii="Arial" w:hAnsi="Arial"/>
          <w:b w:val="0"/>
          <w:i w:val="0"/>
        </w:rPr>
        <w:t>4.6 Équations du modèle</w:t>
      </w:r>
    </w:p>
    <w:p>
      <w:r>
        <w:rPr>
          <w:rFonts w:ascii="Arial" w:hAnsi="Arial"/>
          <w:b w:val="0"/>
          <w:i w:val="0"/>
        </w:rPr>
        <w:t>4.7 Identification des paramètres sur les 960 heures</w:t>
      </w:r>
    </w:p>
    <w:p>
      <w:r>
        <w:rPr>
          <w:rFonts w:ascii="Arial" w:hAnsi="Arial"/>
          <w:b w:val="0"/>
          <w:i w:val="0"/>
        </w:rPr>
        <w:t>4.8 Déphasage, inertie et refroidissement nocturne</w:t>
      </w:r>
    </w:p>
    <w:p>
      <w:r>
        <w:rPr>
          <w:rFonts w:ascii="Arial" w:hAnsi="Arial"/>
          <w:b w:val="0"/>
          <w:i w:val="0"/>
        </w:rPr>
        <w:t>4.9 Passage des coefficients apparents vers des grandeurs physiques</w:t>
      </w:r>
    </w:p>
    <w:p>
      <w:r>
        <w:rPr>
          <w:rFonts w:ascii="Arial" w:hAnsi="Arial"/>
          <w:b w:val="0"/>
          <w:i w:val="0"/>
        </w:rPr>
        <w:t>4.10 Domaine de validité et limites</w:t>
      </w:r>
    </w:p>
    <w:p>
      <w:r>
        <w:rPr>
          <w:rFonts w:ascii="Arial" w:hAnsi="Arial"/>
          <w:b w:val="0"/>
          <w:i w:val="0"/>
        </w:rPr>
        <w:t>Partie 2 - Simulation dynamique sans rafraîchissement, projection 2050 et premiers calculs de puissance</w:t>
      </w:r>
    </w:p>
    <w:p>
      <w:r>
        <w:rPr>
          <w:rFonts w:ascii="Arial" w:hAnsi="Arial"/>
          <w:b w:val="0"/>
          <w:i w:val="0"/>
        </w:rPr>
        <w:t>4.2.1 Rappel du modèle dynamique utilisé</w:t>
      </w:r>
    </w:p>
    <w:p>
      <w:r>
        <w:rPr>
          <w:rFonts w:ascii="Arial" w:hAnsi="Arial"/>
          <w:b w:val="0"/>
          <w:i w:val="0"/>
        </w:rPr>
        <w:t>4.2.2 Températures initiales et simulation sans rafraîchissement</w:t>
      </w:r>
    </w:p>
    <w:p>
      <w:r>
        <w:rPr>
          <w:rFonts w:ascii="Arial" w:hAnsi="Arial"/>
          <w:b w:val="0"/>
          <w:i w:val="0"/>
        </w:rPr>
        <w:t>4.2.3 Pourquoi les chambres deviennent le point dimensionnant</w:t>
      </w:r>
    </w:p>
    <w:p>
      <w:r>
        <w:rPr>
          <w:rFonts w:ascii="Arial" w:hAnsi="Arial"/>
          <w:b w:val="0"/>
          <w:i w:val="0"/>
        </w:rPr>
        <w:t>4.2.4 Effet du vitrage : hypothèse 60 % simple vitrage / 40 % double vitrage</w:t>
      </w:r>
    </w:p>
    <w:p>
      <w:r>
        <w:rPr>
          <w:rFonts w:ascii="Arial" w:hAnsi="Arial"/>
          <w:b w:val="0"/>
          <w:i w:val="0"/>
        </w:rPr>
        <w:t>4.2.5 Calcul dynamique de puissance froid</w:t>
      </w:r>
    </w:p>
    <w:p>
      <w:r>
        <w:rPr>
          <w:rFonts w:ascii="Arial" w:hAnsi="Arial"/>
          <w:b w:val="0"/>
          <w:i w:val="0"/>
        </w:rPr>
        <w:t>4.2.6 Marges pour 2 MW, 2,5 MW et 3 MW</w:t>
      </w:r>
    </w:p>
    <w:p>
      <w:r>
        <w:rPr>
          <w:rFonts w:ascii="Arial" w:hAnsi="Arial"/>
          <w:b w:val="0"/>
          <w:i w:val="0"/>
        </w:rPr>
        <w:t>4.2.7 Contribution des zones au besoin de froid</w:t>
      </w:r>
    </w:p>
    <w:p>
      <w:r>
        <w:rPr>
          <w:rFonts w:ascii="Arial" w:hAnsi="Arial"/>
          <w:b w:val="0"/>
          <w:i w:val="0"/>
        </w:rPr>
        <w:t>4.2.8 Inconfort cumulé sans rafraîchissement - métrique V3 lisible</w:t>
      </w:r>
    </w:p>
    <w:p>
      <w:r>
        <w:rPr>
          <w:rFonts w:ascii="Arial" w:hAnsi="Arial"/>
          <w:b w:val="0"/>
          <w:i w:val="0"/>
        </w:rPr>
        <w:t>4.2.9 Sensibilités principales</w:t>
      </w:r>
    </w:p>
    <w:p>
      <w:r>
        <w:rPr>
          <w:rFonts w:ascii="Arial" w:hAnsi="Arial"/>
          <w:b w:val="0"/>
          <w:i w:val="0"/>
        </w:rPr>
        <w:t>4.2.10 Conclusion de la partie 2</w:t>
      </w:r>
    </w:p>
    <w:p>
      <w:r>
        <w:rPr>
          <w:rFonts w:ascii="Arial" w:hAnsi="Arial"/>
          <w:b w:val="0"/>
          <w:i w:val="0"/>
        </w:rPr>
        <w:t>Partie 3 - Dimensionnement dynamique et marges de puissance</w:t>
      </w:r>
    </w:p>
    <w:p>
      <w:r>
        <w:rPr>
          <w:rFonts w:ascii="Arial" w:hAnsi="Arial"/>
          <w:b w:val="0"/>
          <w:i w:val="0"/>
        </w:rPr>
        <w:t>4.3.1 à 4.3.14 Dimensionnement dynamique, saturation, marges et formules</w:t>
      </w:r>
    </w:p>
    <w:p>
      <w:r>
        <w:rPr>
          <w:rFonts w:ascii="Arial" w:hAnsi="Arial"/>
          <w:b w:val="0"/>
          <w:i w:val="0"/>
        </w:rPr>
        <w:t>Partie 4 - Conclusion consolidée de dimensionnement V3</w:t>
      </w:r>
    </w:p>
    <w:p>
      <w:pPr>
        <w:pStyle w:val="Heading1"/>
      </w:pPr>
      <w:r>
        <w:rPr>
          <w:rFonts w:ascii="Aptos" w:hAnsi="Aptos"/>
        </w:rPr>
        <w:t>Lexique des abréviations</w:t>
      </w:r>
    </w:p>
    <w:tbl>
      <w:tblPr>
        <w:tblStyle w:val="TableGrid"/>
        <w:tblW w:type="auto" w:w="0"/>
        <w:jc w:val="center"/>
        <w:tblLook w:firstColumn="1" w:firstRow="1" w:lastColumn="0" w:lastRow="0" w:noHBand="0" w:noVBand="1" w:val="04A0"/>
      </w:tblPr>
      <w:tblGrid>
        <w:gridCol w:w="5074"/>
        <w:gridCol w:w="5074"/>
      </w:tblGrid>
      <w:tr>
        <w:tc>
          <w:tcPr>
            <w:tcW w:type="dxa" w:w="5074"/>
            <w:vAlign w:val="center"/>
            <w:shd w:fill="D9EAF7"/>
          </w:tcPr>
          <w:p>
            <w:r>
              <w:rPr>
                <w:rFonts w:ascii="Arial" w:hAnsi="Arial"/>
                <w:b/>
                <w:sz w:val="17"/>
              </w:rPr>
              <w:t>Abréviation</w:t>
            </w:r>
          </w:p>
        </w:tc>
        <w:tc>
          <w:tcPr>
            <w:tcW w:type="dxa" w:w="5074"/>
            <w:vAlign w:val="center"/>
            <w:shd w:fill="D9EAF7"/>
          </w:tcPr>
          <w:p>
            <w:r>
              <w:rPr>
                <w:rFonts w:ascii="Arial" w:hAnsi="Arial"/>
                <w:b/>
                <w:sz w:val="17"/>
              </w:rPr>
              <w:t>Définition</w:t>
            </w:r>
          </w:p>
        </w:tc>
      </w:tr>
      <w:tr>
        <w:tc>
          <w:tcPr>
            <w:tcW w:type="dxa" w:w="5074"/>
            <w:vAlign w:val="center"/>
          </w:tcPr>
          <w:p>
            <w:r>
              <w:rPr>
                <w:rFonts w:ascii="Arial" w:hAnsi="Arial"/>
                <w:sz w:val="17"/>
              </w:rPr>
              <w:t>AB / CD</w:t>
            </w:r>
          </w:p>
        </w:tc>
        <w:tc>
          <w:tcPr>
            <w:tcW w:type="dxa" w:w="5074"/>
            <w:vAlign w:val="center"/>
          </w:tcPr>
          <w:p>
            <w:r>
              <w:rPr>
                <w:rFonts w:ascii="Arial" w:hAnsi="Arial"/>
                <w:sz w:val="17"/>
              </w:rPr>
              <w:t>Circuits de mesure intérieure de la résidence utilisés dans le CSV.</w:t>
            </w:r>
          </w:p>
        </w:tc>
      </w:tr>
      <w:tr>
        <w:tc>
          <w:tcPr>
            <w:tcW w:type="dxa" w:w="5074"/>
            <w:vAlign w:val="center"/>
          </w:tcPr>
          <w:p>
            <w:r>
              <w:rPr>
                <w:rFonts w:ascii="Arial" w:hAnsi="Arial"/>
                <w:sz w:val="17"/>
              </w:rPr>
              <w:t>AG</w:t>
            </w:r>
          </w:p>
        </w:tc>
        <w:tc>
          <w:tcPr>
            <w:tcW w:type="dxa" w:w="5074"/>
            <w:vAlign w:val="center"/>
          </w:tcPr>
          <w:p>
            <w:r>
              <w:rPr>
                <w:rFonts w:ascii="Arial" w:hAnsi="Arial"/>
                <w:sz w:val="17"/>
              </w:rPr>
              <w:t>Assemblée générale de copropriété.</w:t>
            </w:r>
          </w:p>
        </w:tc>
      </w:tr>
      <w:tr>
        <w:tc>
          <w:tcPr>
            <w:tcW w:type="dxa" w:w="5074"/>
            <w:vAlign w:val="center"/>
          </w:tcPr>
          <w:p>
            <w:r>
              <w:rPr>
                <w:rFonts w:ascii="Arial" w:hAnsi="Arial"/>
                <w:sz w:val="17"/>
              </w:rPr>
              <w:t>C</w:t>
            </w:r>
          </w:p>
        </w:tc>
        <w:tc>
          <w:tcPr>
            <w:tcW w:type="dxa" w:w="5074"/>
            <w:vAlign w:val="center"/>
          </w:tcPr>
          <w:p>
            <w:r>
              <w:rPr>
                <w:rFonts w:ascii="Arial" w:hAnsi="Arial"/>
                <w:sz w:val="17"/>
              </w:rPr>
              <w:t>Capacité thermique équivalente du bâtiment, exprimée en MWh/K ou Wh/m².K.</w:t>
            </w:r>
          </w:p>
        </w:tc>
      </w:tr>
      <w:tr>
        <w:tc>
          <w:tcPr>
            <w:tcW w:type="dxa" w:w="5074"/>
            <w:vAlign w:val="center"/>
          </w:tcPr>
          <w:p>
            <w:r>
              <w:rPr>
                <w:rFonts w:ascii="Arial" w:hAnsi="Arial"/>
                <w:sz w:val="17"/>
              </w:rPr>
              <w:t>COP</w:t>
            </w:r>
          </w:p>
        </w:tc>
        <w:tc>
          <w:tcPr>
            <w:tcW w:type="dxa" w:w="5074"/>
            <w:vAlign w:val="center"/>
          </w:tcPr>
          <w:p>
            <w:r>
              <w:rPr>
                <w:rFonts w:ascii="Arial" w:hAnsi="Arial"/>
                <w:sz w:val="17"/>
              </w:rPr>
              <w:t>Coefficient de performance : rapport entre puissance utile froide et puissance électrique consommée.</w:t>
            </w:r>
          </w:p>
        </w:tc>
      </w:tr>
      <w:tr>
        <w:tc>
          <w:tcPr>
            <w:tcW w:type="dxa" w:w="5074"/>
            <w:vAlign w:val="center"/>
          </w:tcPr>
          <w:p>
            <w:r>
              <w:rPr>
                <w:rFonts w:ascii="Arial" w:hAnsi="Arial"/>
                <w:sz w:val="17"/>
              </w:rPr>
              <w:t>CSV</w:t>
            </w:r>
          </w:p>
        </w:tc>
        <w:tc>
          <w:tcPr>
            <w:tcW w:type="dxa" w:w="5074"/>
            <w:vAlign w:val="center"/>
          </w:tcPr>
          <w:p>
            <w:r>
              <w:rPr>
                <w:rFonts w:ascii="Arial" w:hAnsi="Arial"/>
                <w:sz w:val="17"/>
              </w:rPr>
              <w:t>Fichier de données tabulaires utilisé pour les mesures horaires.</w:t>
            </w:r>
          </w:p>
        </w:tc>
      </w:tr>
      <w:tr>
        <w:tc>
          <w:tcPr>
            <w:tcW w:type="dxa" w:w="5074"/>
            <w:vAlign w:val="center"/>
          </w:tcPr>
          <w:p>
            <w:r>
              <w:rPr>
                <w:rFonts w:ascii="Arial" w:hAnsi="Arial"/>
                <w:sz w:val="17"/>
              </w:rPr>
              <w:t>CVC</w:t>
            </w:r>
          </w:p>
        </w:tc>
        <w:tc>
          <w:tcPr>
            <w:tcW w:type="dxa" w:w="5074"/>
            <w:vAlign w:val="center"/>
          </w:tcPr>
          <w:p>
            <w:r>
              <w:rPr>
                <w:rFonts w:ascii="Arial" w:hAnsi="Arial"/>
                <w:sz w:val="17"/>
              </w:rPr>
              <w:t>Chauffage, ventilation, climatisation.</w:t>
            </w:r>
          </w:p>
        </w:tc>
      </w:tr>
      <w:tr>
        <w:tc>
          <w:tcPr>
            <w:tcW w:type="dxa" w:w="5074"/>
            <w:vAlign w:val="center"/>
          </w:tcPr>
          <w:p>
            <w:r>
              <w:rPr>
                <w:rFonts w:ascii="Arial" w:hAnsi="Arial"/>
                <w:sz w:val="17"/>
              </w:rPr>
              <w:t>MAE</w:t>
            </w:r>
          </w:p>
        </w:tc>
        <w:tc>
          <w:tcPr>
            <w:tcW w:type="dxa" w:w="5074"/>
            <w:vAlign w:val="center"/>
          </w:tcPr>
          <w:p>
            <w:r>
              <w:rPr>
                <w:rFonts w:ascii="Arial" w:hAnsi="Arial"/>
                <w:sz w:val="17"/>
              </w:rPr>
              <w:t>Mean Absolute Error ; erreur absolue moyenne entre modèle et mesure.</w:t>
            </w:r>
          </w:p>
        </w:tc>
      </w:tr>
      <w:tr>
        <w:tc>
          <w:tcPr>
            <w:tcW w:type="dxa" w:w="5074"/>
            <w:vAlign w:val="center"/>
          </w:tcPr>
          <w:p>
            <w:r>
              <w:rPr>
                <w:rFonts w:ascii="Arial" w:hAnsi="Arial"/>
                <w:sz w:val="17"/>
              </w:rPr>
              <w:t>Monte Carlo</w:t>
            </w:r>
          </w:p>
        </w:tc>
        <w:tc>
          <w:tcPr>
            <w:tcW w:type="dxa" w:w="5074"/>
            <w:vAlign w:val="center"/>
          </w:tcPr>
          <w:p>
            <w:r>
              <w:rPr>
                <w:rFonts w:ascii="Arial" w:hAnsi="Arial"/>
                <w:sz w:val="17"/>
              </w:rPr>
              <w:t>Simulation probabiliste par tirage de paramètres incertains dans des plages plausibles.</w:t>
            </w:r>
          </w:p>
        </w:tc>
      </w:tr>
      <w:tr>
        <w:tc>
          <w:tcPr>
            <w:tcW w:type="dxa" w:w="5074"/>
            <w:vAlign w:val="center"/>
          </w:tcPr>
          <w:p>
            <w:r>
              <w:rPr>
                <w:rFonts w:ascii="Arial" w:hAnsi="Arial"/>
                <w:sz w:val="17"/>
              </w:rPr>
              <w:t>MW</w:t>
            </w:r>
          </w:p>
        </w:tc>
        <w:tc>
          <w:tcPr>
            <w:tcW w:type="dxa" w:w="5074"/>
            <w:vAlign w:val="center"/>
          </w:tcPr>
          <w:p>
            <w:r>
              <w:rPr>
                <w:rFonts w:ascii="Arial" w:hAnsi="Arial"/>
                <w:sz w:val="17"/>
              </w:rPr>
              <w:t>Mégawatt ; unité de puissance.</w:t>
            </w:r>
          </w:p>
        </w:tc>
      </w:tr>
      <w:tr>
        <w:tc>
          <w:tcPr>
            <w:tcW w:type="dxa" w:w="5074"/>
            <w:vAlign w:val="center"/>
          </w:tcPr>
          <w:p>
            <w:r>
              <w:rPr>
                <w:rFonts w:ascii="Arial" w:hAnsi="Arial"/>
                <w:sz w:val="17"/>
              </w:rPr>
              <w:t>MWh</w:t>
            </w:r>
          </w:p>
        </w:tc>
        <w:tc>
          <w:tcPr>
            <w:tcW w:type="dxa" w:w="5074"/>
            <w:vAlign w:val="center"/>
          </w:tcPr>
          <w:p>
            <w:r>
              <w:rPr>
                <w:rFonts w:ascii="Arial" w:hAnsi="Arial"/>
                <w:sz w:val="17"/>
              </w:rPr>
              <w:t>Mégawattheure ; unité d’énergie.</w:t>
            </w:r>
          </w:p>
        </w:tc>
      </w:tr>
      <w:tr>
        <w:tc>
          <w:tcPr>
            <w:tcW w:type="dxa" w:w="5074"/>
            <w:vAlign w:val="center"/>
          </w:tcPr>
          <w:p>
            <w:r>
              <w:rPr>
                <w:rFonts w:ascii="Arial" w:hAnsi="Arial"/>
                <w:sz w:val="17"/>
              </w:rPr>
              <w:t>P50 / P80 / P90 / P95 / P99</w:t>
            </w:r>
          </w:p>
        </w:tc>
        <w:tc>
          <w:tcPr>
            <w:tcW w:type="dxa" w:w="5074"/>
            <w:vAlign w:val="center"/>
          </w:tcPr>
          <w:p>
            <w:r>
              <w:rPr>
                <w:rFonts w:ascii="Arial" w:hAnsi="Arial"/>
                <w:sz w:val="17"/>
              </w:rPr>
              <w:t>Percentiles : part des simulations ou occurrences situées sous une valeur donnée.</w:t>
            </w:r>
          </w:p>
        </w:tc>
      </w:tr>
      <w:tr>
        <w:tc>
          <w:tcPr>
            <w:tcW w:type="dxa" w:w="5074"/>
            <w:vAlign w:val="center"/>
          </w:tcPr>
          <w:p>
            <w:r>
              <w:rPr>
                <w:rFonts w:ascii="Arial" w:hAnsi="Arial"/>
                <w:sz w:val="17"/>
              </w:rPr>
              <w:t>R²</w:t>
            </w:r>
          </w:p>
        </w:tc>
        <w:tc>
          <w:tcPr>
            <w:tcW w:type="dxa" w:w="5074"/>
            <w:vAlign w:val="center"/>
          </w:tcPr>
          <w:p>
            <w:r>
              <w:rPr>
                <w:rFonts w:ascii="Arial" w:hAnsi="Arial"/>
                <w:sz w:val="17"/>
              </w:rPr>
              <w:t>Coefficient de détermination ; part de variance reproduite par le modèle.</w:t>
            </w:r>
          </w:p>
        </w:tc>
      </w:tr>
      <w:tr>
        <w:tc>
          <w:tcPr>
            <w:tcW w:type="dxa" w:w="5074"/>
            <w:vAlign w:val="center"/>
          </w:tcPr>
          <w:p>
            <w:r>
              <w:rPr>
                <w:rFonts w:ascii="Arial" w:hAnsi="Arial"/>
                <w:sz w:val="17"/>
              </w:rPr>
              <w:t>RC</w:t>
            </w:r>
          </w:p>
        </w:tc>
        <w:tc>
          <w:tcPr>
            <w:tcW w:type="dxa" w:w="5074"/>
            <w:vAlign w:val="center"/>
          </w:tcPr>
          <w:p>
            <w:r>
              <w:rPr>
                <w:rFonts w:ascii="Arial" w:hAnsi="Arial"/>
                <w:sz w:val="17"/>
              </w:rPr>
              <w:t>Modèle résistance-capacité thermique apparent.</w:t>
            </w:r>
          </w:p>
        </w:tc>
      </w:tr>
      <w:tr>
        <w:tc>
          <w:tcPr>
            <w:tcW w:type="dxa" w:w="5074"/>
            <w:vAlign w:val="center"/>
          </w:tcPr>
          <w:p>
            <w:r>
              <w:rPr>
                <w:rFonts w:ascii="Arial" w:hAnsi="Arial"/>
                <w:sz w:val="17"/>
              </w:rPr>
              <w:t>2R2C</w:t>
            </w:r>
          </w:p>
        </w:tc>
        <w:tc>
          <w:tcPr>
            <w:tcW w:type="dxa" w:w="5074"/>
            <w:vAlign w:val="center"/>
          </w:tcPr>
          <w:p>
            <w:r>
              <w:rPr>
                <w:rFonts w:ascii="Arial" w:hAnsi="Arial"/>
                <w:sz w:val="17"/>
              </w:rPr>
              <w:t>Modèle thermique conceptuel à deux résistances et deux capacités.</w:t>
            </w:r>
          </w:p>
        </w:tc>
      </w:tr>
      <w:tr>
        <w:tc>
          <w:tcPr>
            <w:tcW w:type="dxa" w:w="5074"/>
            <w:vAlign w:val="center"/>
          </w:tcPr>
          <w:p>
            <w:r>
              <w:rPr>
                <w:rFonts w:ascii="Arial" w:hAnsi="Arial"/>
                <w:sz w:val="17"/>
              </w:rPr>
              <w:t>RMSE</w:t>
            </w:r>
          </w:p>
        </w:tc>
        <w:tc>
          <w:tcPr>
            <w:tcW w:type="dxa" w:w="5074"/>
            <w:vAlign w:val="center"/>
          </w:tcPr>
          <w:p>
            <w:r>
              <w:rPr>
                <w:rFonts w:ascii="Arial" w:hAnsi="Arial"/>
                <w:sz w:val="17"/>
              </w:rPr>
              <w:t>Root Mean Square Error ; erreur quadratique moyenne.</w:t>
            </w:r>
          </w:p>
        </w:tc>
      </w:tr>
      <w:tr>
        <w:tc>
          <w:tcPr>
            <w:tcW w:type="dxa" w:w="5074"/>
            <w:vAlign w:val="center"/>
          </w:tcPr>
          <w:p>
            <w:r>
              <w:rPr>
                <w:rFonts w:ascii="Arial" w:hAnsi="Arial"/>
                <w:sz w:val="17"/>
              </w:rPr>
              <w:t>SEER</w:t>
            </w:r>
          </w:p>
        </w:tc>
        <w:tc>
          <w:tcPr>
            <w:tcW w:type="dxa" w:w="5074"/>
            <w:vAlign w:val="center"/>
          </w:tcPr>
          <w:p>
            <w:r>
              <w:rPr>
                <w:rFonts w:ascii="Arial" w:hAnsi="Arial"/>
                <w:sz w:val="17"/>
              </w:rPr>
              <w:t>Seasonal Energy Efficiency Ratio ; efficacité saisonnière en froid.</w:t>
            </w:r>
          </w:p>
        </w:tc>
      </w:tr>
      <w:tr>
        <w:tc>
          <w:tcPr>
            <w:tcW w:type="dxa" w:w="5074"/>
            <w:vAlign w:val="center"/>
          </w:tcPr>
          <w:p>
            <w:r>
              <w:rPr>
                <w:rFonts w:ascii="Arial" w:hAnsi="Arial"/>
                <w:sz w:val="17"/>
              </w:rPr>
              <w:t>STD</w:t>
            </w:r>
          </w:p>
        </w:tc>
        <w:tc>
          <w:tcPr>
            <w:tcW w:type="dxa" w:w="5074"/>
            <w:vAlign w:val="center"/>
          </w:tcPr>
          <w:p>
            <w:r>
              <w:rPr>
                <w:rFonts w:ascii="Arial" w:hAnsi="Arial"/>
                <w:sz w:val="17"/>
              </w:rPr>
              <w:t>Simulation thermique dynamique.</w:t>
            </w:r>
          </w:p>
        </w:tc>
      </w:tr>
      <w:tr>
        <w:tc>
          <w:tcPr>
            <w:tcW w:type="dxa" w:w="5074"/>
            <w:vAlign w:val="center"/>
          </w:tcPr>
          <w:p>
            <w:r>
              <w:rPr>
                <w:rFonts w:ascii="Arial" w:hAnsi="Arial"/>
                <w:sz w:val="17"/>
              </w:rPr>
              <w:t>UA</w:t>
            </w:r>
          </w:p>
        </w:tc>
        <w:tc>
          <w:tcPr>
            <w:tcW w:type="dxa" w:w="5074"/>
            <w:vAlign w:val="center"/>
          </w:tcPr>
          <w:p>
            <w:r>
              <w:rPr>
                <w:rFonts w:ascii="Arial" w:hAnsi="Arial"/>
                <w:sz w:val="17"/>
              </w:rPr>
              <w:t>Coefficient global apparent d’échange thermique, en kW/K.</w:t>
            </w:r>
          </w:p>
        </w:tc>
      </w:tr>
      <w:tr>
        <w:tc>
          <w:tcPr>
            <w:tcW w:type="dxa" w:w="5074"/>
            <w:vAlign w:val="center"/>
          </w:tcPr>
          <w:p>
            <w:r>
              <w:rPr>
                <w:rFonts w:ascii="Arial" w:hAnsi="Arial"/>
                <w:sz w:val="17"/>
              </w:rPr>
              <w:t>Wh/m².K</w:t>
            </w:r>
          </w:p>
        </w:tc>
        <w:tc>
          <w:tcPr>
            <w:tcW w:type="dxa" w:w="5074"/>
            <w:vAlign w:val="center"/>
          </w:tcPr>
          <w:p>
            <w:r>
              <w:rPr>
                <w:rFonts w:ascii="Arial" w:hAnsi="Arial"/>
                <w:sz w:val="17"/>
              </w:rPr>
              <w:t>Capacité thermique surfacique effective par degré Kelvin.</w:t>
            </w:r>
          </w:p>
        </w:tc>
      </w:tr>
      <w:tr>
        <w:tc>
          <w:tcPr>
            <w:tcW w:type="dxa" w:w="5074"/>
            <w:vAlign w:val="center"/>
          </w:tcPr>
          <w:p>
            <w:r>
              <w:rPr>
                <w:rFonts w:ascii="Arial" w:hAnsi="Arial"/>
                <w:sz w:val="17"/>
              </w:rPr>
              <w:t>W/m²</w:t>
            </w:r>
          </w:p>
        </w:tc>
        <w:tc>
          <w:tcPr>
            <w:tcW w:type="dxa" w:w="5074"/>
            <w:vAlign w:val="center"/>
          </w:tcPr>
          <w:p>
            <w:r>
              <w:rPr>
                <w:rFonts w:ascii="Arial" w:hAnsi="Arial"/>
                <w:sz w:val="17"/>
              </w:rPr>
              <w:t>Puissance surfacique rapportée à la surface représentative.</w:t>
            </w:r>
          </w:p>
        </w:tc>
      </w:tr>
    </w:tbl>
    <w:p>
      <w:r>
        <w:rPr>
          <w:rFonts w:ascii="Aptos" w:hAnsi="Aptos"/>
        </w:rPr>
        <w:br w:type="page"/>
      </w:r>
    </w:p>
    <w:p>
      <w:pPr>
        <w:pStyle w:val="Heading1"/>
      </w:pPr>
      <w:r>
        <w:rPr>
          <w:rFonts w:ascii="Arial" w:hAnsi="Arial"/>
        </w:rPr>
        <w:t>Contenu fusionné des parties techniques retenues</w:t>
      </w:r>
    </w:p>
    <w:p>
      <w:pPr>
        <w:pStyle w:val="Notedeconsolidation"/>
      </w:pPr>
      <w:r>
        <w:rPr>
          <w:rFonts w:ascii="Arial" w:hAnsi="Arial"/>
        </w:rPr>
        <w:t>Les parties 1, 2 et 3 sont reproduites ci-après comme socle technique. Les anciennes parties 4 et 5 ne sont pas reprises dans cette version V3 : elles sont remplacées par une conclusion consolidée de dimensionnement, afin d'éviter la confusion entre calcul moyen, inconfort et puissance installée.</w:t>
      </w:r>
    </w:p>
    <w:p>
      <w:r>
        <w:rPr>
          <w:rFonts w:ascii="Aptos" w:hAnsi="Aptos"/>
        </w:rPr>
        <w:br w:type="page"/>
      </w:r>
    </w:p>
    <w:p>
      <w:pPr>
        <w:pStyle w:val="Heading1"/>
      </w:pPr>
      <w:r>
        <w:rPr>
          <w:rFonts w:ascii="Aptos" w:hAnsi="Aptos"/>
        </w:rPr>
        <w:t>Partie 1 - Construction et calibration du modèle thermique dynamique</w:t>
      </w:r>
    </w:p>
    <w:p>
      <w:pPr>
        <w:pStyle w:val="Normal"/>
      </w:pPr>
      <w:r>
        <w:rPr>
          <w:rFonts w:ascii="Arial" w:hAnsi="Arial"/>
        </w:rPr>
        <w:t>Note de consolidation : contenu source conservé pour les parties 1 à 3. Les contradictions de lecture sont levées dans la synthèse et dans la conclusion V3.</w:t>
      </w:r>
    </w:p>
    <w:p>
      <w:pPr>
        <w:jc w:val="center"/>
      </w:pPr>
      <w:r>
        <w:rPr>
          <w:rFonts w:ascii="Aptos" w:hAnsi="Aptos"/>
          <w:b/>
          <w:sz w:val="40"/>
        </w:rPr>
        <w:t>FRESHCOP</w:t>
        <w:br/>
        <w:t>Chapitre 4 - Partie 1</w:t>
        <w:br/>
        <w:t>Construction et calibration du modèle thermique dynamique</w:t>
      </w:r>
    </w:p>
    <w:p/>
    <w:p>
      <w:pPr>
        <w:jc w:val="center"/>
      </w:pPr>
      <w:r>
        <w:rPr>
          <w:rFonts w:ascii="Aptos" w:hAnsi="Aptos"/>
          <w:i/>
          <w:sz w:val="24"/>
        </w:rPr>
        <w:t>Version V3 - Paramètres recalculés à partir du CSV transmis</w:t>
      </w:r>
    </w:p>
    <w:p>
      <w:r>
        <w:rPr>
          <w:rFonts w:ascii="Aptos" w:hAnsi="Aptos"/>
        </w:rPr>
        <w:br w:type="page"/>
      </w:r>
    </w:p>
    <w:p>
      <w:pPr>
        <w:pStyle w:val="Heading1"/>
      </w:pPr>
      <w:r>
        <w:rPr>
          <w:rFonts w:ascii="Aptos" w:hAnsi="Aptos"/>
        </w:rPr>
        <w:t>Synthèse de la partie 1</w:t>
      </w:r>
    </w:p>
    <w:p>
      <w:r>
        <w:rPr>
          <w:rFonts w:ascii="Aptos" w:hAnsi="Aptos"/>
        </w:rPr>
        <w:t>Cette version remplace le chapitre court initial par une construction explicitement tracée du modèle thermique. Les valeurs présentées ci-dessous sont recalculées à partir du fichier CSV transmis et de la période postérieure à l'arrêt du chauffage collectif.</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sz w:val="17"/>
              </w:rPr>
            </w:r>
            <w:r>
              <w:rPr>
                <w:b/>
                <w:sz w:val="17"/>
              </w:rPr>
              <w:t>Résultat clé</w:t>
            </w:r>
          </w:p>
        </w:tc>
        <w:tc>
          <w:tcPr>
            <w:tcW w:type="dxa" w:w="3408"/>
            <w:vAlign w:val="center"/>
            <w:shd w:fill="D9EAF7"/>
          </w:tcPr>
          <w:p>
            <w:r>
              <w:rPr>
                <w:sz w:val="17"/>
              </w:rPr>
            </w:r>
            <w:r>
              <w:rPr>
                <w:b/>
                <w:sz w:val="17"/>
              </w:rPr>
              <w:t>Valeur retenue</w:t>
            </w:r>
          </w:p>
        </w:tc>
        <w:tc>
          <w:tcPr>
            <w:tcW w:type="dxa" w:w="3408"/>
            <w:vAlign w:val="center"/>
            <w:shd w:fill="D9EAF7"/>
          </w:tcPr>
          <w:p>
            <w:r>
              <w:rPr>
                <w:sz w:val="17"/>
              </w:rPr>
            </w:r>
            <w:r>
              <w:rPr>
                <w:b/>
                <w:sz w:val="17"/>
              </w:rPr>
              <w:t>Lecture technique</w:t>
            </w:r>
          </w:p>
        </w:tc>
      </w:tr>
      <w:tr>
        <w:tc>
          <w:tcPr>
            <w:tcW w:type="dxa" w:w="3408"/>
            <w:vAlign w:val="center"/>
          </w:tcPr>
          <w:p>
            <w:r>
              <w:rPr>
                <w:sz w:val="17"/>
              </w:rPr>
            </w:r>
            <w:r>
              <w:rPr>
                <w:b w:val="0"/>
                <w:sz w:val="17"/>
              </w:rPr>
              <w:t>Période de calibration</w:t>
            </w:r>
          </w:p>
        </w:tc>
        <w:tc>
          <w:tcPr>
            <w:tcW w:type="dxa" w:w="3408"/>
            <w:vAlign w:val="center"/>
          </w:tcPr>
          <w:p>
            <w:r>
              <w:rPr>
                <w:sz w:val="17"/>
              </w:rPr>
            </w:r>
            <w:r>
              <w:rPr>
                <w:b w:val="0"/>
                <w:sz w:val="17"/>
              </w:rPr>
              <w:t>22/05/2026 00:00 au 30/06/2026 23:00</w:t>
            </w:r>
          </w:p>
        </w:tc>
        <w:tc>
          <w:tcPr>
            <w:tcW w:type="dxa" w:w="3408"/>
            <w:vAlign w:val="center"/>
          </w:tcPr>
          <w:p>
            <w:r>
              <w:rPr>
                <w:sz w:val="17"/>
              </w:rPr>
            </w:r>
            <w:r>
              <w:rPr>
                <w:b w:val="0"/>
                <w:sz w:val="17"/>
              </w:rPr>
              <w:t>Période hors chauffage collectif</w:t>
            </w:r>
          </w:p>
        </w:tc>
      </w:tr>
      <w:tr>
        <w:tc>
          <w:tcPr>
            <w:tcW w:type="dxa" w:w="3408"/>
            <w:vAlign w:val="center"/>
          </w:tcPr>
          <w:p>
            <w:r>
              <w:rPr>
                <w:sz w:val="17"/>
              </w:rPr>
            </w:r>
            <w:r>
              <w:rPr>
                <w:b w:val="0"/>
                <w:sz w:val="17"/>
              </w:rPr>
              <w:t>Nombre de mesures utilisées</w:t>
            </w:r>
          </w:p>
        </w:tc>
        <w:tc>
          <w:tcPr>
            <w:tcW w:type="dxa" w:w="3408"/>
            <w:vAlign w:val="center"/>
          </w:tcPr>
          <w:p>
            <w:r>
              <w:rPr>
                <w:sz w:val="17"/>
              </w:rPr>
            </w:r>
            <w:r>
              <w:rPr>
                <w:b w:val="0"/>
                <w:sz w:val="17"/>
              </w:rPr>
              <w:t>960 heures</w:t>
            </w:r>
          </w:p>
        </w:tc>
        <w:tc>
          <w:tcPr>
            <w:tcW w:type="dxa" w:w="3408"/>
            <w:vAlign w:val="center"/>
          </w:tcPr>
          <w:p>
            <w:r>
              <w:rPr>
                <w:sz w:val="17"/>
              </w:rPr>
            </w:r>
            <w:r>
              <w:rPr>
                <w:b w:val="0"/>
                <w:sz w:val="17"/>
              </w:rPr>
              <w:t>Pas horaire continu</w:t>
            </w:r>
          </w:p>
        </w:tc>
      </w:tr>
      <w:tr>
        <w:tc>
          <w:tcPr>
            <w:tcW w:type="dxa" w:w="3408"/>
            <w:vAlign w:val="center"/>
          </w:tcPr>
          <w:p>
            <w:r>
              <w:rPr>
                <w:sz w:val="17"/>
              </w:rPr>
            </w:r>
            <w:r>
              <w:rPr>
                <w:b w:val="0"/>
                <w:sz w:val="17"/>
              </w:rPr>
              <w:t>Température extérieure moyenne</w:t>
            </w:r>
          </w:p>
        </w:tc>
        <w:tc>
          <w:tcPr>
            <w:tcW w:type="dxa" w:w="3408"/>
            <w:vAlign w:val="center"/>
          </w:tcPr>
          <w:p>
            <w:r>
              <w:rPr>
                <w:sz w:val="17"/>
              </w:rPr>
            </w:r>
            <w:r>
              <w:rPr>
                <w:b w:val="0"/>
                <w:sz w:val="17"/>
              </w:rPr>
              <w:t>23,11 °C</w:t>
            </w:r>
          </w:p>
        </w:tc>
        <w:tc>
          <w:tcPr>
            <w:tcW w:type="dxa" w:w="3408"/>
            <w:vAlign w:val="center"/>
          </w:tcPr>
          <w:p>
            <w:r>
              <w:rPr>
                <w:sz w:val="17"/>
              </w:rPr>
            </w:r>
            <w:r>
              <w:rPr>
                <w:b w:val="0"/>
                <w:sz w:val="17"/>
              </w:rPr>
              <w:t>Entrée climatique du modèle</w:t>
            </w:r>
          </w:p>
        </w:tc>
      </w:tr>
      <w:tr>
        <w:tc>
          <w:tcPr>
            <w:tcW w:type="dxa" w:w="3408"/>
            <w:vAlign w:val="center"/>
          </w:tcPr>
          <w:p>
            <w:r>
              <w:rPr>
                <w:sz w:val="17"/>
              </w:rPr>
            </w:r>
            <w:r>
              <w:rPr>
                <w:b w:val="0"/>
                <w:sz w:val="17"/>
              </w:rPr>
              <w:t>Température intérieure moyenne AB/CD</w:t>
            </w:r>
          </w:p>
        </w:tc>
        <w:tc>
          <w:tcPr>
            <w:tcW w:type="dxa" w:w="3408"/>
            <w:vAlign w:val="center"/>
          </w:tcPr>
          <w:p>
            <w:r>
              <w:rPr>
                <w:sz w:val="17"/>
              </w:rPr>
            </w:r>
            <w:r>
              <w:rPr>
                <w:b w:val="0"/>
                <w:sz w:val="17"/>
              </w:rPr>
              <w:t>26,21 °C</w:t>
            </w:r>
          </w:p>
        </w:tc>
        <w:tc>
          <w:tcPr>
            <w:tcW w:type="dxa" w:w="3408"/>
            <w:vAlign w:val="center"/>
          </w:tcPr>
          <w:p>
            <w:r>
              <w:rPr>
                <w:sz w:val="17"/>
              </w:rPr>
            </w:r>
            <w:r>
              <w:rPr>
                <w:b w:val="0"/>
                <w:sz w:val="17"/>
              </w:rPr>
              <w:t>Sortie moyenne de résidence</w:t>
            </w:r>
          </w:p>
        </w:tc>
      </w:tr>
      <w:tr>
        <w:tc>
          <w:tcPr>
            <w:tcW w:type="dxa" w:w="3408"/>
            <w:vAlign w:val="center"/>
          </w:tcPr>
          <w:p>
            <w:r>
              <w:rPr>
                <w:sz w:val="17"/>
              </w:rPr>
            </w:r>
            <w:r>
              <w:rPr>
                <w:b w:val="0"/>
                <w:sz w:val="17"/>
              </w:rPr>
              <w:t>Écart moyen intérieur - extérieur</w:t>
            </w:r>
          </w:p>
        </w:tc>
        <w:tc>
          <w:tcPr>
            <w:tcW w:type="dxa" w:w="3408"/>
            <w:vAlign w:val="center"/>
          </w:tcPr>
          <w:p>
            <w:r>
              <w:rPr>
                <w:sz w:val="17"/>
              </w:rPr>
            </w:r>
            <w:r>
              <w:rPr>
                <w:b w:val="0"/>
                <w:sz w:val="17"/>
              </w:rPr>
              <w:t>3,10 °C</w:t>
            </w:r>
          </w:p>
        </w:tc>
        <w:tc>
          <w:tcPr>
            <w:tcW w:type="dxa" w:w="3408"/>
            <w:vAlign w:val="center"/>
          </w:tcPr>
          <w:p>
            <w:r>
              <w:rPr>
                <w:sz w:val="17"/>
              </w:rPr>
            </w:r>
            <w:r>
              <w:rPr>
                <w:b w:val="0"/>
                <w:sz w:val="17"/>
              </w:rPr>
              <w:t>Surchauffe moyenne post-chauffage</w:t>
            </w:r>
          </w:p>
        </w:tc>
      </w:tr>
      <w:tr>
        <w:tc>
          <w:tcPr>
            <w:tcW w:type="dxa" w:w="3408"/>
            <w:vAlign w:val="center"/>
          </w:tcPr>
          <w:p>
            <w:r>
              <w:rPr>
                <w:sz w:val="17"/>
              </w:rPr>
            </w:r>
            <w:r>
              <w:rPr>
                <w:b w:val="0"/>
                <w:sz w:val="17"/>
              </w:rPr>
              <w:t>Mémoire lente brute</w:t>
            </w:r>
          </w:p>
        </w:tc>
        <w:tc>
          <w:tcPr>
            <w:tcW w:type="dxa" w:w="3408"/>
            <w:vAlign w:val="center"/>
          </w:tcPr>
          <w:p>
            <w:r>
              <w:rPr>
                <w:sz w:val="17"/>
              </w:rPr>
            </w:r>
            <w:r>
              <w:rPr>
                <w:b w:val="0"/>
                <w:sz w:val="17"/>
              </w:rPr>
              <w:t>51 h (R = 0,81)</w:t>
            </w:r>
          </w:p>
        </w:tc>
        <w:tc>
          <w:tcPr>
            <w:tcW w:type="dxa" w:w="3408"/>
            <w:vAlign w:val="center"/>
          </w:tcPr>
          <w:p>
            <w:r>
              <w:rPr>
                <w:sz w:val="17"/>
              </w:rPr>
            </w:r>
            <w:r>
              <w:rPr>
                <w:b w:val="0"/>
                <w:sz w:val="17"/>
              </w:rPr>
              <w:t>Effet accumulation / canicule sur plusieurs jours</w:t>
            </w:r>
          </w:p>
        </w:tc>
      </w:tr>
      <w:tr>
        <w:tc>
          <w:tcPr>
            <w:tcW w:type="dxa" w:w="3408"/>
            <w:vAlign w:val="center"/>
          </w:tcPr>
          <w:p>
            <w:r>
              <w:rPr>
                <w:sz w:val="17"/>
              </w:rPr>
            </w:r>
            <w:r>
              <w:rPr>
                <w:b w:val="0"/>
                <w:sz w:val="17"/>
              </w:rPr>
              <w:t>Réponse journalière courte</w:t>
            </w:r>
          </w:p>
        </w:tc>
        <w:tc>
          <w:tcPr>
            <w:tcW w:type="dxa" w:w="3408"/>
            <w:vAlign w:val="center"/>
          </w:tcPr>
          <w:p>
            <w:r>
              <w:rPr>
                <w:sz w:val="17"/>
              </w:rPr>
            </w:r>
            <w:r>
              <w:rPr>
                <w:b w:val="0"/>
                <w:sz w:val="17"/>
              </w:rPr>
              <w:t>3 h (R = 0,85)</w:t>
            </w:r>
          </w:p>
        </w:tc>
        <w:tc>
          <w:tcPr>
            <w:tcW w:type="dxa" w:w="3408"/>
            <w:vAlign w:val="center"/>
          </w:tcPr>
          <w:p>
            <w:r>
              <w:rPr>
                <w:sz w:val="17"/>
              </w:rPr>
            </w:r>
            <w:r>
              <w:rPr>
                <w:b w:val="0"/>
                <w:sz w:val="17"/>
              </w:rPr>
              <w:t>Déphasage du cycle jour/nuit après retrait de la tendance</w:t>
            </w:r>
          </w:p>
        </w:tc>
      </w:tr>
      <w:tr>
        <w:tc>
          <w:tcPr>
            <w:tcW w:type="dxa" w:w="3408"/>
            <w:vAlign w:val="center"/>
          </w:tcPr>
          <w:p>
            <w:r>
              <w:rPr>
                <w:sz w:val="17"/>
              </w:rPr>
            </w:r>
            <w:r>
              <w:rPr>
                <w:b w:val="0"/>
                <w:sz w:val="17"/>
              </w:rPr>
              <w:t>Constante de temps RC équivalente</w:t>
            </w:r>
          </w:p>
        </w:tc>
        <w:tc>
          <w:tcPr>
            <w:tcW w:type="dxa" w:w="3408"/>
            <w:vAlign w:val="center"/>
          </w:tcPr>
          <w:p>
            <w:r>
              <w:rPr>
                <w:sz w:val="17"/>
              </w:rPr>
            </w:r>
            <w:r>
              <w:rPr>
                <w:b w:val="0"/>
                <w:sz w:val="17"/>
              </w:rPr>
              <w:t>330 h, soit 13,7 jours</w:t>
            </w:r>
          </w:p>
        </w:tc>
        <w:tc>
          <w:tcPr>
            <w:tcW w:type="dxa" w:w="3408"/>
            <w:vAlign w:val="center"/>
          </w:tcPr>
          <w:p>
            <w:r>
              <w:rPr>
                <w:sz w:val="17"/>
              </w:rPr>
            </w:r>
            <w:r>
              <w:rPr>
                <w:b w:val="0"/>
                <w:sz w:val="17"/>
              </w:rPr>
              <w:t>Inertie moyenne identifiée</w:t>
            </w:r>
          </w:p>
        </w:tc>
      </w:tr>
      <w:tr>
        <w:tc>
          <w:tcPr>
            <w:tcW w:type="dxa" w:w="3408"/>
            <w:vAlign w:val="center"/>
          </w:tcPr>
          <w:p>
            <w:r>
              <w:rPr>
                <w:sz w:val="17"/>
              </w:rPr>
            </w:r>
            <w:r>
              <w:rPr>
                <w:b w:val="0"/>
                <w:sz w:val="17"/>
              </w:rPr>
              <w:t>RMSE du modèle RC équivalent</w:t>
            </w:r>
          </w:p>
        </w:tc>
        <w:tc>
          <w:tcPr>
            <w:tcW w:type="dxa" w:w="3408"/>
            <w:vAlign w:val="center"/>
          </w:tcPr>
          <w:p>
            <w:r>
              <w:rPr>
                <w:sz w:val="17"/>
              </w:rPr>
            </w:r>
            <w:r>
              <w:rPr>
                <w:b w:val="0"/>
                <w:sz w:val="17"/>
              </w:rPr>
              <w:t>1,32 °C</w:t>
            </w:r>
          </w:p>
        </w:tc>
        <w:tc>
          <w:tcPr>
            <w:tcW w:type="dxa" w:w="3408"/>
            <w:vAlign w:val="center"/>
          </w:tcPr>
          <w:p>
            <w:r>
              <w:rPr>
                <w:sz w:val="17"/>
              </w:rPr>
            </w:r>
            <w:r>
              <w:rPr>
                <w:b w:val="0"/>
                <w:sz w:val="17"/>
              </w:rPr>
              <w:t>Erreur quadratique moyenne sur les mesures horaires</w:t>
            </w:r>
          </w:p>
        </w:tc>
      </w:tr>
      <w:tr>
        <w:tc>
          <w:tcPr>
            <w:tcW w:type="dxa" w:w="3408"/>
            <w:vAlign w:val="center"/>
          </w:tcPr>
          <w:p>
            <w:r>
              <w:rPr>
                <w:sz w:val="17"/>
              </w:rPr>
            </w:r>
            <w:r>
              <w:rPr>
                <w:b w:val="0"/>
                <w:sz w:val="17"/>
              </w:rPr>
              <w:t>R² du modèle RC équivalent</w:t>
            </w:r>
          </w:p>
        </w:tc>
        <w:tc>
          <w:tcPr>
            <w:tcW w:type="dxa" w:w="3408"/>
            <w:vAlign w:val="center"/>
          </w:tcPr>
          <w:p>
            <w:r>
              <w:rPr>
                <w:sz w:val="17"/>
              </w:rPr>
            </w:r>
            <w:r>
              <w:rPr>
                <w:b w:val="0"/>
                <w:sz w:val="17"/>
              </w:rPr>
              <w:t>0,81</w:t>
            </w:r>
          </w:p>
        </w:tc>
        <w:tc>
          <w:tcPr>
            <w:tcW w:type="dxa" w:w="3408"/>
            <w:vAlign w:val="center"/>
          </w:tcPr>
          <w:p>
            <w:r>
              <w:rPr>
                <w:sz w:val="17"/>
              </w:rPr>
            </w:r>
            <w:r>
              <w:rPr>
                <w:b w:val="0"/>
                <w:sz w:val="17"/>
              </w:rPr>
              <w:t>Part de variance reproduite par le modèle</w:t>
            </w:r>
          </w:p>
        </w:tc>
      </w:tr>
    </w:tbl>
    <w:p/>
    <w:p>
      <w:pPr>
        <w:pStyle w:val="Heading1"/>
      </w:pPr>
      <w:r>
        <w:rPr>
          <w:rFonts w:ascii="Aptos" w:hAnsi="Aptos"/>
        </w:rPr>
        <w:t>4.1 Objet et niveau de modèle</w:t>
      </w:r>
    </w:p>
    <w:p>
      <w:r>
        <w:rPr>
          <w:rFonts w:ascii="Aptos" w:hAnsi="Aptos"/>
        </w:rPr>
        <w:t>L'objectif de cette partie est d'établir un modèle thermique dynamique moyen de la résidence à partir des mesures disponibles. Le modèle doit servir aux étapes ultérieures : projection sans rafraîchissement, scénarios climatiques 2050, consignes différenciées 26 °C séjour / 24 °C chambres, et comparaison de capacités de production froid de 2 MW, 2,5 MW et 3 MW.</w:t>
      </w:r>
    </w:p>
    <w:p>
      <w:r>
        <w:rPr>
          <w:rFonts w:ascii="Aptos" w:hAnsi="Aptos"/>
        </w:rPr>
        <w:t>La démarche retenue est volontairement transparente : chaque valeur est classée comme mesurée, calculée, identifiée ou supposée. Cette séparation évite de présenter comme une certitude physique une valeur qui résulte en réalité d'une hypothèse de conversion.</w:t>
      </w:r>
    </w:p>
    <w:p>
      <w:pPr>
        <w:pStyle w:val="Heading1"/>
      </w:pPr>
      <w:r>
        <w:rPr>
          <w:rFonts w:ascii="Aptos" w:hAnsi="Aptos"/>
        </w:rPr>
        <w:t>4.2 Données disponibles et période retenue</w:t>
      </w:r>
    </w:p>
    <w:p>
      <w:r>
        <w:rPr>
          <w:rFonts w:ascii="Aptos" w:hAnsi="Aptos"/>
        </w:rPr>
        <w:t>Le fichier CSV contient 1 464 lignes horaires entre le 1er mai et le 30 juin 2026. Comme le chauffage collectif est officiellement arrêté le 22 mai, la calibration ne retient que les 960 lignes horaires du 22 mai au 30 juin 2026. Cette restriction est indispensable : avant le 22 mai, une partie de la température intérieure peut encore être influencée par le chauffage collectif.</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sz w:val="17"/>
              </w:rPr>
            </w:r>
            <w:r>
              <w:rPr>
                <w:b/>
                <w:sz w:val="17"/>
              </w:rPr>
              <w:t>Variable CSV</w:t>
            </w:r>
          </w:p>
        </w:tc>
        <w:tc>
          <w:tcPr>
            <w:tcW w:type="dxa" w:w="2556"/>
            <w:vAlign w:val="center"/>
            <w:shd w:fill="D9EAF7"/>
          </w:tcPr>
          <w:p>
            <w:r>
              <w:rPr>
                <w:sz w:val="17"/>
              </w:rPr>
            </w:r>
            <w:r>
              <w:rPr>
                <w:b/>
                <w:sz w:val="17"/>
              </w:rPr>
              <w:t>Nom utilisé</w:t>
            </w:r>
          </w:p>
        </w:tc>
        <w:tc>
          <w:tcPr>
            <w:tcW w:type="dxa" w:w="2556"/>
            <w:vAlign w:val="center"/>
            <w:shd w:fill="D9EAF7"/>
          </w:tcPr>
          <w:p>
            <w:r>
              <w:rPr>
                <w:sz w:val="17"/>
              </w:rPr>
            </w:r>
            <w:r>
              <w:rPr>
                <w:b/>
                <w:sz w:val="17"/>
              </w:rPr>
              <w:t>Rôle dans le modèle</w:t>
            </w:r>
          </w:p>
        </w:tc>
        <w:tc>
          <w:tcPr>
            <w:tcW w:type="dxa" w:w="2556"/>
            <w:vAlign w:val="center"/>
            <w:shd w:fill="D9EAF7"/>
          </w:tcPr>
          <w:p>
            <w:r>
              <w:rPr>
                <w:sz w:val="17"/>
              </w:rPr>
            </w:r>
            <w:r>
              <w:rPr>
                <w:b/>
                <w:sz w:val="17"/>
              </w:rPr>
              <w:t>Origine</w:t>
            </w:r>
          </w:p>
        </w:tc>
      </w:tr>
      <w:tr>
        <w:tc>
          <w:tcPr>
            <w:tcW w:type="dxa" w:w="2556"/>
            <w:vAlign w:val="center"/>
          </w:tcPr>
          <w:p>
            <w:r>
              <w:rPr>
                <w:sz w:val="17"/>
              </w:rPr>
            </w:r>
            <w:r>
              <w:rPr>
                <w:b w:val="0"/>
                <w:sz w:val="17"/>
              </w:rPr>
              <w:t>Date_Heure</w:t>
            </w:r>
          </w:p>
        </w:tc>
        <w:tc>
          <w:tcPr>
            <w:tcW w:type="dxa" w:w="2556"/>
            <w:vAlign w:val="center"/>
          </w:tcPr>
          <w:p>
            <w:r>
              <w:rPr>
                <w:sz w:val="17"/>
              </w:rPr>
            </w:r>
            <w:r>
              <w:rPr>
                <w:b w:val="0"/>
                <w:sz w:val="17"/>
              </w:rPr>
              <w:t>temps</w:t>
            </w:r>
          </w:p>
        </w:tc>
        <w:tc>
          <w:tcPr>
            <w:tcW w:type="dxa" w:w="2556"/>
            <w:vAlign w:val="center"/>
          </w:tcPr>
          <w:p>
            <w:r>
              <w:rPr>
                <w:sz w:val="17"/>
              </w:rPr>
            </w:r>
            <w:r>
              <w:rPr>
                <w:b w:val="0"/>
                <w:sz w:val="17"/>
              </w:rPr>
              <w:t>Index horaire et pas de temps</w:t>
            </w:r>
          </w:p>
        </w:tc>
        <w:tc>
          <w:tcPr>
            <w:tcW w:type="dxa" w:w="2556"/>
            <w:vAlign w:val="center"/>
          </w:tcPr>
          <w:p>
            <w:r>
              <w:rPr>
                <w:sz w:val="17"/>
              </w:rPr>
            </w:r>
            <w:r>
              <w:rPr>
                <w:b w:val="0"/>
                <w:sz w:val="17"/>
              </w:rPr>
              <w:t>CSV</w:t>
            </w:r>
          </w:p>
        </w:tc>
      </w:tr>
      <w:tr>
        <w:tc>
          <w:tcPr>
            <w:tcW w:type="dxa" w:w="2556"/>
            <w:vAlign w:val="center"/>
          </w:tcPr>
          <w:p>
            <w:r>
              <w:rPr>
                <w:sz w:val="17"/>
              </w:rPr>
            </w:r>
            <w:r>
              <w:rPr>
                <w:b w:val="0"/>
                <w:sz w:val="17"/>
              </w:rPr>
              <w:t>weather_air_temperature</w:t>
            </w:r>
          </w:p>
        </w:tc>
        <w:tc>
          <w:tcPr>
            <w:tcW w:type="dxa" w:w="2556"/>
            <w:vAlign w:val="center"/>
          </w:tcPr>
          <w:p>
            <w:r>
              <w:rPr>
                <w:sz w:val="17"/>
              </w:rPr>
            </w:r>
            <w:r>
              <w:rPr>
                <w:b w:val="0"/>
                <w:sz w:val="17"/>
              </w:rPr>
              <w:t>Text</w:t>
            </w:r>
          </w:p>
        </w:tc>
        <w:tc>
          <w:tcPr>
            <w:tcW w:type="dxa" w:w="2556"/>
            <w:vAlign w:val="center"/>
          </w:tcPr>
          <w:p>
            <w:r>
              <w:rPr>
                <w:sz w:val="17"/>
              </w:rPr>
            </w:r>
            <w:r>
              <w:rPr>
                <w:b w:val="0"/>
                <w:sz w:val="17"/>
              </w:rPr>
              <w:t>Entrée climatique : température extérieure</w:t>
            </w:r>
          </w:p>
        </w:tc>
        <w:tc>
          <w:tcPr>
            <w:tcW w:type="dxa" w:w="2556"/>
            <w:vAlign w:val="center"/>
          </w:tcPr>
          <w:p>
            <w:r>
              <w:rPr>
                <w:sz w:val="17"/>
              </w:rPr>
            </w:r>
            <w:r>
              <w:rPr>
                <w:b w:val="0"/>
                <w:sz w:val="17"/>
              </w:rPr>
              <w:t>CSV</w:t>
            </w:r>
          </w:p>
        </w:tc>
      </w:tr>
      <w:tr>
        <w:tc>
          <w:tcPr>
            <w:tcW w:type="dxa" w:w="2556"/>
            <w:vAlign w:val="center"/>
          </w:tcPr>
          <w:p>
            <w:r>
              <w:rPr>
                <w:sz w:val="17"/>
              </w:rPr>
            </w:r>
            <w:r>
              <w:rPr>
                <w:b w:val="0"/>
                <w:sz w:val="17"/>
              </w:rPr>
              <w:t>REFERENCE EFFICAP - Circuit AB</w:t>
            </w:r>
          </w:p>
        </w:tc>
        <w:tc>
          <w:tcPr>
            <w:tcW w:type="dxa" w:w="2556"/>
            <w:vAlign w:val="center"/>
          </w:tcPr>
          <w:p>
            <w:r>
              <w:rPr>
                <w:sz w:val="17"/>
              </w:rPr>
            </w:r>
            <w:r>
              <w:rPr>
                <w:b w:val="0"/>
                <w:sz w:val="17"/>
              </w:rPr>
              <w:t>Tint_AB</w:t>
            </w:r>
          </w:p>
        </w:tc>
        <w:tc>
          <w:tcPr>
            <w:tcW w:type="dxa" w:w="2556"/>
            <w:vAlign w:val="center"/>
          </w:tcPr>
          <w:p>
            <w:r>
              <w:rPr>
                <w:sz w:val="17"/>
              </w:rPr>
            </w:r>
            <w:r>
              <w:rPr>
                <w:b w:val="0"/>
                <w:sz w:val="17"/>
              </w:rPr>
              <w:t>Température intérieure circuit AB</w:t>
            </w:r>
          </w:p>
        </w:tc>
        <w:tc>
          <w:tcPr>
            <w:tcW w:type="dxa" w:w="2556"/>
            <w:vAlign w:val="center"/>
          </w:tcPr>
          <w:p>
            <w:r>
              <w:rPr>
                <w:sz w:val="17"/>
              </w:rPr>
            </w:r>
            <w:r>
              <w:rPr>
                <w:b w:val="0"/>
                <w:sz w:val="17"/>
              </w:rPr>
              <w:t>CSV</w:t>
            </w:r>
          </w:p>
        </w:tc>
      </w:tr>
      <w:tr>
        <w:tc>
          <w:tcPr>
            <w:tcW w:type="dxa" w:w="2556"/>
            <w:vAlign w:val="center"/>
          </w:tcPr>
          <w:p>
            <w:r>
              <w:rPr>
                <w:sz w:val="17"/>
              </w:rPr>
            </w:r>
            <w:r>
              <w:rPr>
                <w:b w:val="0"/>
                <w:sz w:val="17"/>
              </w:rPr>
              <w:t>REFERENCE EFFICAP - Circuit CD</w:t>
            </w:r>
          </w:p>
        </w:tc>
        <w:tc>
          <w:tcPr>
            <w:tcW w:type="dxa" w:w="2556"/>
            <w:vAlign w:val="center"/>
          </w:tcPr>
          <w:p>
            <w:r>
              <w:rPr>
                <w:sz w:val="17"/>
              </w:rPr>
            </w:r>
            <w:r>
              <w:rPr>
                <w:b w:val="0"/>
                <w:sz w:val="17"/>
              </w:rPr>
              <w:t>Tint_CD</w:t>
            </w:r>
          </w:p>
        </w:tc>
        <w:tc>
          <w:tcPr>
            <w:tcW w:type="dxa" w:w="2556"/>
            <w:vAlign w:val="center"/>
          </w:tcPr>
          <w:p>
            <w:r>
              <w:rPr>
                <w:sz w:val="17"/>
              </w:rPr>
            </w:r>
            <w:r>
              <w:rPr>
                <w:b w:val="0"/>
                <w:sz w:val="17"/>
              </w:rPr>
              <w:t>Température intérieure circuit CD</w:t>
            </w:r>
          </w:p>
        </w:tc>
        <w:tc>
          <w:tcPr>
            <w:tcW w:type="dxa" w:w="2556"/>
            <w:vAlign w:val="center"/>
          </w:tcPr>
          <w:p>
            <w:r>
              <w:rPr>
                <w:sz w:val="17"/>
              </w:rPr>
            </w:r>
            <w:r>
              <w:rPr>
                <w:b w:val="0"/>
                <w:sz w:val="17"/>
              </w:rPr>
              <w:t>CSV</w:t>
            </w:r>
          </w:p>
        </w:tc>
      </w:tr>
      <w:tr>
        <w:tc>
          <w:tcPr>
            <w:tcW w:type="dxa" w:w="2556"/>
            <w:vAlign w:val="center"/>
          </w:tcPr>
          <w:p>
            <w:r>
              <w:rPr>
                <w:sz w:val="17"/>
              </w:rPr>
            </w:r>
            <w:r>
              <w:rPr>
                <w:b w:val="0"/>
                <w:sz w:val="17"/>
              </w:rPr>
              <w:t>weather_direct_normal_radiation</w:t>
            </w:r>
          </w:p>
        </w:tc>
        <w:tc>
          <w:tcPr>
            <w:tcW w:type="dxa" w:w="2556"/>
            <w:vAlign w:val="center"/>
          </w:tcPr>
          <w:p>
            <w:r>
              <w:rPr>
                <w:sz w:val="17"/>
              </w:rPr>
            </w:r>
            <w:r>
              <w:rPr>
                <w:b w:val="0"/>
                <w:sz w:val="17"/>
              </w:rPr>
              <w:t>Rad</w:t>
            </w:r>
          </w:p>
        </w:tc>
        <w:tc>
          <w:tcPr>
            <w:tcW w:type="dxa" w:w="2556"/>
            <w:vAlign w:val="center"/>
          </w:tcPr>
          <w:p>
            <w:r>
              <w:rPr>
                <w:sz w:val="17"/>
              </w:rPr>
            </w:r>
            <w:r>
              <w:rPr>
                <w:b w:val="0"/>
                <w:sz w:val="17"/>
              </w:rPr>
              <w:t>Proxy des apports solaires</w:t>
            </w:r>
          </w:p>
        </w:tc>
        <w:tc>
          <w:tcPr>
            <w:tcW w:type="dxa" w:w="2556"/>
            <w:vAlign w:val="center"/>
          </w:tcPr>
          <w:p>
            <w:r>
              <w:rPr>
                <w:sz w:val="17"/>
              </w:rPr>
            </w:r>
            <w:r>
              <w:rPr>
                <w:b w:val="0"/>
                <w:sz w:val="17"/>
              </w:rPr>
              <w:t>CSV</w:t>
            </w:r>
          </w:p>
        </w:tc>
      </w:tr>
      <w:tr>
        <w:tc>
          <w:tcPr>
            <w:tcW w:type="dxa" w:w="2556"/>
            <w:vAlign w:val="center"/>
          </w:tcPr>
          <w:p>
            <w:r>
              <w:rPr>
                <w:sz w:val="17"/>
              </w:rPr>
            </w:r>
            <w:r>
              <w:rPr>
                <w:b w:val="0"/>
                <w:sz w:val="17"/>
              </w:rPr>
              <w:t>weather_precipitation</w:t>
            </w:r>
          </w:p>
        </w:tc>
        <w:tc>
          <w:tcPr>
            <w:tcW w:type="dxa" w:w="2556"/>
            <w:vAlign w:val="center"/>
          </w:tcPr>
          <w:p>
            <w:r>
              <w:rPr>
                <w:sz w:val="17"/>
              </w:rPr>
            </w:r>
            <w:r>
              <w:rPr>
                <w:b w:val="0"/>
                <w:sz w:val="17"/>
              </w:rPr>
              <w:t>Pluie</w:t>
            </w:r>
          </w:p>
        </w:tc>
        <w:tc>
          <w:tcPr>
            <w:tcW w:type="dxa" w:w="2556"/>
            <w:vAlign w:val="center"/>
          </w:tcPr>
          <w:p>
            <w:r>
              <w:rPr>
                <w:sz w:val="17"/>
              </w:rPr>
            </w:r>
            <w:r>
              <w:rPr>
                <w:b w:val="0"/>
                <w:sz w:val="17"/>
              </w:rPr>
              <w:t>Contrôle secondaire, humidification/refroidissement éventuel</w:t>
            </w:r>
          </w:p>
        </w:tc>
        <w:tc>
          <w:tcPr>
            <w:tcW w:type="dxa" w:w="2556"/>
            <w:vAlign w:val="center"/>
          </w:tcPr>
          <w:p>
            <w:r>
              <w:rPr>
                <w:sz w:val="17"/>
              </w:rPr>
            </w:r>
            <w:r>
              <w:rPr>
                <w:b w:val="0"/>
                <w:sz w:val="17"/>
              </w:rPr>
              <w:t>CSV</w:t>
            </w:r>
          </w:p>
        </w:tc>
      </w:tr>
    </w:tbl>
    <w:p/>
    <w:p>
      <w:pPr>
        <w:jc w:val="center"/>
      </w:pPr>
      <w:r>
        <w:rPr>
          <w:rFonts w:ascii="Aptos" w:hAnsi="Aptos"/>
        </w:rPr>
        <w:drawing>
          <wp:inline xmlns:a="http://schemas.openxmlformats.org/drawingml/2006/main" xmlns:pic="http://schemas.openxmlformats.org/drawingml/2006/picture">
            <wp:extent cx="5852160" cy="2660073"/>
            <wp:docPr id="1" name="Picture 1"/>
            <wp:cNvGraphicFramePr>
              <a:graphicFrameLocks noChangeAspect="1"/>
            </wp:cNvGraphicFramePr>
            <a:graphic>
              <a:graphicData uri="http://schemas.openxmlformats.org/drawingml/2006/picture">
                <pic:pic>
                  <pic:nvPicPr>
                    <pic:cNvPr id="0" name="01_mesures_temperature.png"/>
                    <pic:cNvPicPr/>
                  </pic:nvPicPr>
                  <pic:blipFill>
                    <a:blip r:embed="rId19"/>
                    <a:stretch>
                      <a:fillRect/>
                    </a:stretch>
                  </pic:blipFill>
                  <pic:spPr>
                    <a:xfrm>
                      <a:off x="0" y="0"/>
                      <a:ext cx="5852160" cy="2660073"/>
                    </a:xfrm>
                    <a:prstGeom prst="rect"/>
                  </pic:spPr>
                </pic:pic>
              </a:graphicData>
            </a:graphic>
          </wp:inline>
        </w:drawing>
      </w:r>
    </w:p>
    <w:p>
      <w:pPr>
        <w:jc w:val="center"/>
      </w:pPr>
      <w:r>
        <w:rPr>
          <w:rFonts w:ascii="Aptos" w:hAnsi="Aptos"/>
          <w:i/>
          <w:color w:val="505050"/>
          <w:sz w:val="18"/>
        </w:rPr>
        <w:t>Figure 1 - Mesures horaires de température retenues après arrêt du chauffage collectif.</w:t>
      </w:r>
    </w:p>
    <w:p>
      <w:pPr>
        <w:jc w:val="center"/>
      </w:pPr>
      <w:r>
        <w:rPr>
          <w:rFonts w:ascii="Aptos" w:hAnsi="Aptos"/>
        </w:rPr>
        <w:drawing>
          <wp:inline xmlns:a="http://schemas.openxmlformats.org/drawingml/2006/main" xmlns:pic="http://schemas.openxmlformats.org/drawingml/2006/picture">
            <wp:extent cx="5852160" cy="2416481"/>
            <wp:docPr id="2" name="Picture 2"/>
            <wp:cNvGraphicFramePr>
              <a:graphicFrameLocks noChangeAspect="1"/>
            </wp:cNvGraphicFramePr>
            <a:graphic>
              <a:graphicData uri="http://schemas.openxmlformats.org/drawingml/2006/picture">
                <pic:pic>
                  <pic:nvPicPr>
                    <pic:cNvPr id="0" name="02_rayonnement_pluie.png"/>
                    <pic:cNvPicPr/>
                  </pic:nvPicPr>
                  <pic:blipFill>
                    <a:blip r:embed="rId11"/>
                    <a:stretch>
                      <a:fillRect/>
                    </a:stretch>
                  </pic:blipFill>
                  <pic:spPr>
                    <a:xfrm>
                      <a:off x="0" y="0"/>
                      <a:ext cx="5852160" cy="2416481"/>
                    </a:xfrm>
                    <a:prstGeom prst="rect"/>
                  </pic:spPr>
                </pic:pic>
              </a:graphicData>
            </a:graphic>
          </wp:inline>
        </w:drawing>
      </w:r>
    </w:p>
    <w:p>
      <w:pPr>
        <w:jc w:val="center"/>
      </w:pPr>
      <w:r>
        <w:rPr>
          <w:rFonts w:ascii="Aptos" w:hAnsi="Aptos"/>
          <w:i/>
          <w:color w:val="505050"/>
          <w:sz w:val="18"/>
        </w:rPr>
        <w:t>Figure 2 - Rayonnement direct normal et précipitations utilisés comme variables climatiques.</w:t>
      </w:r>
    </w:p>
    <w:p>
      <w:pPr>
        <w:pStyle w:val="Heading1"/>
      </w:pPr>
      <w:r>
        <w:rPr>
          <w:rFonts w:ascii="Aptos" w:hAnsi="Aptos"/>
        </w:rPr>
        <w:t>4.3 Statistiques descriptives issues du CSV</w:t>
      </w:r>
    </w:p>
    <w:p>
      <w:r>
        <w:rPr>
          <w:rFonts w:ascii="Aptos" w:hAnsi="Aptos"/>
        </w:rPr>
        <w:t>Le tableau suivant synthétise les grandeurs mesurées sur la période retenue. Les températures intérieures AB et CD sont très proches, ce qui justifie l'utilisation d'une moyenne AB/CD pour représenter le comportement thermique global de la résidence.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D9EAF7"/>
          </w:tcPr>
          <w:p>
            <w:r>
              <w:rPr>
                <w:sz w:val="17"/>
              </w:rPr>
            </w:r>
            <w:r>
              <w:rPr>
                <w:b/>
                <w:sz w:val="17"/>
              </w:rPr>
              <w:t>Grandeur</w:t>
            </w:r>
          </w:p>
        </w:tc>
        <w:tc>
          <w:tcPr>
            <w:tcW w:type="dxa" w:w="1704"/>
            <w:vAlign w:val="center"/>
            <w:shd w:fill="D9EAF7"/>
          </w:tcPr>
          <w:p>
            <w:r>
              <w:rPr>
                <w:sz w:val="17"/>
              </w:rPr>
            </w:r>
            <w:r>
              <w:rPr>
                <w:b/>
                <w:sz w:val="17"/>
              </w:rPr>
              <w:t>Moyenne</w:t>
            </w:r>
          </w:p>
        </w:tc>
        <w:tc>
          <w:tcPr>
            <w:tcW w:type="dxa" w:w="1704"/>
            <w:vAlign w:val="center"/>
            <w:shd w:fill="D9EAF7"/>
          </w:tcPr>
          <w:p>
            <w:r>
              <w:rPr>
                <w:sz w:val="17"/>
              </w:rPr>
            </w:r>
            <w:r>
              <w:rPr>
                <w:b/>
                <w:sz w:val="17"/>
              </w:rPr>
              <w:t>Médiane</w:t>
            </w:r>
          </w:p>
        </w:tc>
        <w:tc>
          <w:tcPr>
            <w:tcW w:type="dxa" w:w="1704"/>
            <w:vAlign w:val="center"/>
            <w:shd w:fill="D9EAF7"/>
          </w:tcPr>
          <w:p>
            <w:r>
              <w:rPr>
                <w:sz w:val="17"/>
              </w:rPr>
            </w:r>
            <w:r>
              <w:rPr>
                <w:b/>
                <w:sz w:val="17"/>
              </w:rPr>
              <w:t>Minimum</w:t>
            </w:r>
          </w:p>
        </w:tc>
        <w:tc>
          <w:tcPr>
            <w:tcW w:type="dxa" w:w="1704"/>
            <w:vAlign w:val="center"/>
            <w:shd w:fill="D9EAF7"/>
          </w:tcPr>
          <w:p>
            <w:r>
              <w:rPr>
                <w:sz w:val="17"/>
              </w:rPr>
            </w:r>
            <w:r>
              <w:rPr>
                <w:b/>
                <w:sz w:val="17"/>
              </w:rPr>
              <w:t>Maximum</w:t>
            </w:r>
          </w:p>
        </w:tc>
        <w:tc>
          <w:tcPr>
            <w:tcW w:type="dxa" w:w="1704"/>
            <w:vAlign w:val="center"/>
            <w:shd w:fill="D9EAF7"/>
          </w:tcPr>
          <w:p>
            <w:r>
              <w:rPr>
                <w:sz w:val="17"/>
              </w:rPr>
            </w:r>
            <w:r>
              <w:rPr>
                <w:b/>
                <w:sz w:val="17"/>
              </w:rPr>
              <w:t>P95</w:t>
            </w:r>
          </w:p>
        </w:tc>
      </w:tr>
      <w:tr>
        <w:tc>
          <w:tcPr>
            <w:tcW w:type="dxa" w:w="1704"/>
            <w:vAlign w:val="center"/>
          </w:tcPr>
          <w:p>
            <w:r>
              <w:rPr>
                <w:sz w:val="17"/>
              </w:rPr>
            </w:r>
            <w:r>
              <w:rPr>
                <w:b w:val="0"/>
                <w:sz w:val="17"/>
              </w:rPr>
              <w:t>Température extérieure</w:t>
            </w:r>
          </w:p>
        </w:tc>
        <w:tc>
          <w:tcPr>
            <w:tcW w:type="dxa" w:w="1704"/>
            <w:vAlign w:val="center"/>
          </w:tcPr>
          <w:p>
            <w:r>
              <w:rPr>
                <w:sz w:val="17"/>
              </w:rPr>
            </w:r>
            <w:r>
              <w:rPr>
                <w:b w:val="0"/>
                <w:sz w:val="17"/>
              </w:rPr>
              <w:t>23,11 °C</w:t>
            </w:r>
          </w:p>
        </w:tc>
        <w:tc>
          <w:tcPr>
            <w:tcW w:type="dxa" w:w="1704"/>
            <w:vAlign w:val="center"/>
          </w:tcPr>
          <w:p>
            <w:r>
              <w:rPr>
                <w:sz w:val="17"/>
              </w:rPr>
            </w:r>
            <w:r>
              <w:rPr>
                <w:b w:val="0"/>
                <w:sz w:val="17"/>
              </w:rPr>
              <w:t>22,05 °C</w:t>
            </w:r>
          </w:p>
        </w:tc>
        <w:tc>
          <w:tcPr>
            <w:tcW w:type="dxa" w:w="1704"/>
            <w:vAlign w:val="center"/>
          </w:tcPr>
          <w:p>
            <w:r>
              <w:rPr>
                <w:sz w:val="17"/>
              </w:rPr>
            </w:r>
            <w:r>
              <w:rPr>
                <w:b w:val="0"/>
                <w:sz w:val="17"/>
              </w:rPr>
              <w:t>9,30 °C</w:t>
            </w:r>
          </w:p>
        </w:tc>
        <w:tc>
          <w:tcPr>
            <w:tcW w:type="dxa" w:w="1704"/>
            <w:vAlign w:val="center"/>
          </w:tcPr>
          <w:p>
            <w:r>
              <w:rPr>
                <w:sz w:val="17"/>
              </w:rPr>
            </w:r>
            <w:r>
              <w:rPr>
                <w:b w:val="0"/>
                <w:sz w:val="17"/>
              </w:rPr>
              <w:t>41,40 °C</w:t>
            </w:r>
          </w:p>
        </w:tc>
        <w:tc>
          <w:tcPr>
            <w:tcW w:type="dxa" w:w="1704"/>
            <w:vAlign w:val="center"/>
          </w:tcPr>
          <w:p>
            <w:r>
              <w:rPr>
                <w:sz w:val="17"/>
              </w:rPr>
            </w:r>
            <w:r>
              <w:rPr>
                <w:b w:val="0"/>
                <w:sz w:val="17"/>
              </w:rPr>
              <w:t>36,70 °C</w:t>
            </w:r>
          </w:p>
        </w:tc>
      </w:tr>
      <w:tr>
        <w:tc>
          <w:tcPr>
            <w:tcW w:type="dxa" w:w="1704"/>
            <w:vAlign w:val="center"/>
          </w:tcPr>
          <w:p>
            <w:r>
              <w:rPr>
                <w:sz w:val="17"/>
              </w:rPr>
            </w:r>
            <w:r>
              <w:rPr>
                <w:b w:val="0"/>
                <w:sz w:val="17"/>
              </w:rPr>
              <w:t>Circuit AB</w:t>
            </w:r>
          </w:p>
        </w:tc>
        <w:tc>
          <w:tcPr>
            <w:tcW w:type="dxa" w:w="1704"/>
            <w:vAlign w:val="center"/>
          </w:tcPr>
          <w:p>
            <w:r>
              <w:rPr>
                <w:sz w:val="17"/>
              </w:rPr>
            </w:r>
            <w:r>
              <w:rPr>
                <w:b w:val="0"/>
                <w:sz w:val="17"/>
              </w:rPr>
              <w:t>26,40 °C</w:t>
            </w:r>
          </w:p>
        </w:tc>
        <w:tc>
          <w:tcPr>
            <w:tcW w:type="dxa" w:w="1704"/>
            <w:vAlign w:val="center"/>
          </w:tcPr>
          <w:p>
            <w:r>
              <w:rPr>
                <w:sz w:val="17"/>
              </w:rPr>
            </w:r>
            <w:r>
              <w:rPr>
                <w:b w:val="0"/>
                <w:sz w:val="17"/>
              </w:rPr>
              <w:t>26,40 °C</w:t>
            </w:r>
          </w:p>
        </w:tc>
        <w:tc>
          <w:tcPr>
            <w:tcW w:type="dxa" w:w="1704"/>
            <w:vAlign w:val="center"/>
          </w:tcPr>
          <w:p>
            <w:r>
              <w:rPr>
                <w:sz w:val="17"/>
              </w:rPr>
            </w:r>
            <w:r>
              <w:rPr>
                <w:b w:val="0"/>
                <w:sz w:val="17"/>
              </w:rPr>
              <w:t>21,70 °C</w:t>
            </w:r>
          </w:p>
        </w:tc>
        <w:tc>
          <w:tcPr>
            <w:tcW w:type="dxa" w:w="1704"/>
            <w:vAlign w:val="center"/>
          </w:tcPr>
          <w:p>
            <w:r>
              <w:rPr>
                <w:sz w:val="17"/>
              </w:rPr>
            </w:r>
            <w:r>
              <w:rPr>
                <w:b w:val="0"/>
                <w:sz w:val="17"/>
              </w:rPr>
              <w:t>33,20 °C</w:t>
            </w:r>
          </w:p>
        </w:tc>
        <w:tc>
          <w:tcPr>
            <w:tcW w:type="dxa" w:w="1704"/>
            <w:vAlign w:val="center"/>
          </w:tcPr>
          <w:p>
            <w:r>
              <w:rPr>
                <w:sz w:val="17"/>
              </w:rPr>
            </w:r>
            <w:r>
              <w:rPr>
                <w:b w:val="0"/>
                <w:sz w:val="17"/>
              </w:rPr>
              <w:t>32,00 °C</w:t>
            </w:r>
          </w:p>
        </w:tc>
      </w:tr>
      <w:tr>
        <w:tc>
          <w:tcPr>
            <w:tcW w:type="dxa" w:w="1704"/>
            <w:vAlign w:val="center"/>
          </w:tcPr>
          <w:p>
            <w:r>
              <w:rPr>
                <w:sz w:val="17"/>
              </w:rPr>
            </w:r>
            <w:r>
              <w:rPr>
                <w:b w:val="0"/>
                <w:sz w:val="17"/>
              </w:rPr>
              <w:t>Circuit CD</w:t>
            </w:r>
          </w:p>
        </w:tc>
        <w:tc>
          <w:tcPr>
            <w:tcW w:type="dxa" w:w="1704"/>
            <w:vAlign w:val="center"/>
          </w:tcPr>
          <w:p>
            <w:r>
              <w:rPr>
                <w:sz w:val="17"/>
              </w:rPr>
            </w:r>
            <w:r>
              <w:rPr>
                <w:b w:val="0"/>
                <w:sz w:val="17"/>
              </w:rPr>
              <w:t>26,03 °C</w:t>
            </w:r>
          </w:p>
        </w:tc>
        <w:tc>
          <w:tcPr>
            <w:tcW w:type="dxa" w:w="1704"/>
            <w:vAlign w:val="center"/>
          </w:tcPr>
          <w:p>
            <w:r>
              <w:rPr>
                <w:sz w:val="17"/>
              </w:rPr>
            </w:r>
            <w:r>
              <w:rPr>
                <w:b w:val="0"/>
                <w:sz w:val="17"/>
              </w:rPr>
              <w:t>25,80 °C</w:t>
            </w:r>
          </w:p>
        </w:tc>
        <w:tc>
          <w:tcPr>
            <w:tcW w:type="dxa" w:w="1704"/>
            <w:vAlign w:val="center"/>
          </w:tcPr>
          <w:p>
            <w:r>
              <w:rPr>
                <w:sz w:val="17"/>
              </w:rPr>
            </w:r>
            <w:r>
              <w:rPr>
                <w:b w:val="0"/>
                <w:sz w:val="17"/>
              </w:rPr>
              <w:t>21,60 °C</w:t>
            </w:r>
          </w:p>
        </w:tc>
        <w:tc>
          <w:tcPr>
            <w:tcW w:type="dxa" w:w="1704"/>
            <w:vAlign w:val="center"/>
          </w:tcPr>
          <w:p>
            <w:r>
              <w:rPr>
                <w:sz w:val="17"/>
              </w:rPr>
            </w:r>
            <w:r>
              <w:rPr>
                <w:b w:val="0"/>
                <w:sz w:val="17"/>
              </w:rPr>
              <w:t>32,50 °C</w:t>
            </w:r>
          </w:p>
        </w:tc>
        <w:tc>
          <w:tcPr>
            <w:tcW w:type="dxa" w:w="1704"/>
            <w:vAlign w:val="center"/>
          </w:tcPr>
          <w:p>
            <w:r>
              <w:rPr>
                <w:sz w:val="17"/>
              </w:rPr>
            </w:r>
            <w:r>
              <w:rPr>
                <w:b w:val="0"/>
                <w:sz w:val="17"/>
              </w:rPr>
              <w:t>31,40 °C</w:t>
            </w:r>
          </w:p>
        </w:tc>
      </w:tr>
      <w:tr>
        <w:tc>
          <w:tcPr>
            <w:tcW w:type="dxa" w:w="1704"/>
            <w:vAlign w:val="center"/>
          </w:tcPr>
          <w:p>
            <w:r>
              <w:rPr>
                <w:sz w:val="17"/>
              </w:rPr>
            </w:r>
            <w:r>
              <w:rPr>
                <w:b w:val="0"/>
                <w:sz w:val="17"/>
              </w:rPr>
              <w:t>Moyenne AB/CD</w:t>
            </w:r>
          </w:p>
        </w:tc>
        <w:tc>
          <w:tcPr>
            <w:tcW w:type="dxa" w:w="1704"/>
            <w:vAlign w:val="center"/>
          </w:tcPr>
          <w:p>
            <w:r>
              <w:rPr>
                <w:sz w:val="17"/>
              </w:rPr>
            </w:r>
            <w:r>
              <w:rPr>
                <w:b w:val="0"/>
                <w:sz w:val="17"/>
              </w:rPr>
              <w:t>26,21 °C</w:t>
            </w:r>
          </w:p>
        </w:tc>
        <w:tc>
          <w:tcPr>
            <w:tcW w:type="dxa" w:w="1704"/>
            <w:vAlign w:val="center"/>
          </w:tcPr>
          <w:p>
            <w:r>
              <w:rPr>
                <w:sz w:val="17"/>
              </w:rPr>
            </w:r>
            <w:r>
              <w:rPr>
                <w:b w:val="0"/>
                <w:sz w:val="17"/>
              </w:rPr>
              <w:t>26,10 °C</w:t>
            </w:r>
          </w:p>
        </w:tc>
        <w:tc>
          <w:tcPr>
            <w:tcW w:type="dxa" w:w="1704"/>
            <w:vAlign w:val="center"/>
          </w:tcPr>
          <w:p>
            <w:r>
              <w:rPr>
                <w:sz w:val="17"/>
              </w:rPr>
            </w:r>
            <w:r>
              <w:rPr>
                <w:b w:val="0"/>
                <w:sz w:val="17"/>
              </w:rPr>
              <w:t>21,65 °C</w:t>
            </w:r>
          </w:p>
        </w:tc>
        <w:tc>
          <w:tcPr>
            <w:tcW w:type="dxa" w:w="1704"/>
            <w:vAlign w:val="center"/>
          </w:tcPr>
          <w:p>
            <w:r>
              <w:rPr>
                <w:sz w:val="17"/>
              </w:rPr>
            </w:r>
            <w:r>
              <w:rPr>
                <w:b w:val="0"/>
                <w:sz w:val="17"/>
              </w:rPr>
              <w:t>32,70 °C</w:t>
            </w:r>
          </w:p>
        </w:tc>
        <w:tc>
          <w:tcPr>
            <w:tcW w:type="dxa" w:w="1704"/>
            <w:vAlign w:val="center"/>
          </w:tcPr>
          <w:p>
            <w:r>
              <w:rPr>
                <w:sz w:val="17"/>
              </w:rPr>
            </w:r>
            <w:r>
              <w:rPr>
                <w:b w:val="0"/>
                <w:sz w:val="17"/>
              </w:rPr>
              <w:t>31,70 °C</w:t>
            </w:r>
          </w:p>
        </w:tc>
      </w:tr>
      <w:tr>
        <w:tc>
          <w:tcPr>
            <w:tcW w:type="dxa" w:w="1704"/>
            <w:vAlign w:val="center"/>
          </w:tcPr>
          <w:p>
            <w:r>
              <w:rPr>
                <w:sz w:val="17"/>
              </w:rPr>
            </w:r>
            <w:r>
              <w:rPr>
                <w:b w:val="0"/>
                <w:sz w:val="17"/>
              </w:rPr>
              <w:t>Rayonnement direct</w:t>
            </w:r>
          </w:p>
        </w:tc>
        <w:tc>
          <w:tcPr>
            <w:tcW w:type="dxa" w:w="1704"/>
            <w:vAlign w:val="center"/>
          </w:tcPr>
          <w:p>
            <w:r>
              <w:rPr>
                <w:sz w:val="17"/>
              </w:rPr>
            </w:r>
            <w:r>
              <w:rPr>
                <w:b w:val="0"/>
                <w:sz w:val="17"/>
              </w:rPr>
              <w:t>296,28 W/m²</w:t>
            </w:r>
          </w:p>
        </w:tc>
        <w:tc>
          <w:tcPr>
            <w:tcW w:type="dxa" w:w="1704"/>
            <w:vAlign w:val="center"/>
          </w:tcPr>
          <w:p>
            <w:r>
              <w:rPr>
                <w:sz w:val="17"/>
              </w:rPr>
            </w:r>
            <w:r>
              <w:rPr>
                <w:b w:val="0"/>
                <w:sz w:val="17"/>
              </w:rPr>
              <w:t>54,50 W/m²</w:t>
            </w:r>
          </w:p>
        </w:tc>
        <w:tc>
          <w:tcPr>
            <w:tcW w:type="dxa" w:w="1704"/>
            <w:vAlign w:val="center"/>
          </w:tcPr>
          <w:p>
            <w:r>
              <w:rPr>
                <w:sz w:val="17"/>
              </w:rPr>
            </w:r>
            <w:r>
              <w:rPr>
                <w:b w:val="0"/>
                <w:sz w:val="17"/>
              </w:rPr>
              <w:t>0,00 W/m²</w:t>
            </w:r>
          </w:p>
        </w:tc>
        <w:tc>
          <w:tcPr>
            <w:tcW w:type="dxa" w:w="1704"/>
            <w:vAlign w:val="center"/>
          </w:tcPr>
          <w:p>
            <w:r>
              <w:rPr>
                <w:sz w:val="17"/>
              </w:rPr>
            </w:r>
            <w:r>
              <w:rPr>
                <w:b w:val="0"/>
                <w:sz w:val="17"/>
              </w:rPr>
              <w:t>890,90 W/m²</w:t>
            </w:r>
          </w:p>
        </w:tc>
        <w:tc>
          <w:tcPr>
            <w:tcW w:type="dxa" w:w="1704"/>
            <w:vAlign w:val="center"/>
          </w:tcPr>
          <w:p>
            <w:r>
              <w:rPr>
                <w:sz w:val="17"/>
              </w:rPr>
            </w:r>
            <w:r>
              <w:rPr>
                <w:b w:val="0"/>
                <w:sz w:val="17"/>
              </w:rPr>
              <w:t>848,01 W/m²</w:t>
            </w:r>
          </w:p>
        </w:tc>
      </w:tr>
      <w:tr>
        <w:tc>
          <w:tcPr>
            <w:tcW w:type="dxa" w:w="1704"/>
            <w:vAlign w:val="center"/>
          </w:tcPr>
          <w:p>
            <w:r>
              <w:rPr>
                <w:sz w:val="17"/>
              </w:rPr>
            </w:r>
            <w:r>
              <w:rPr>
                <w:b w:val="0"/>
                <w:sz w:val="17"/>
              </w:rPr>
              <w:t>Précipitations</w:t>
            </w:r>
          </w:p>
        </w:tc>
        <w:tc>
          <w:tcPr>
            <w:tcW w:type="dxa" w:w="1704"/>
            <w:vAlign w:val="center"/>
          </w:tcPr>
          <w:p>
            <w:r>
              <w:rPr>
                <w:sz w:val="17"/>
              </w:rPr>
            </w:r>
            <w:r>
              <w:rPr>
                <w:b w:val="0"/>
                <w:sz w:val="17"/>
              </w:rPr>
              <w:t>0,03 mm/h</w:t>
            </w:r>
          </w:p>
        </w:tc>
        <w:tc>
          <w:tcPr>
            <w:tcW w:type="dxa" w:w="1704"/>
            <w:vAlign w:val="center"/>
          </w:tcPr>
          <w:p>
            <w:r>
              <w:rPr>
                <w:sz w:val="17"/>
              </w:rPr>
            </w:r>
            <w:r>
              <w:rPr>
                <w:b w:val="0"/>
                <w:sz w:val="17"/>
              </w:rPr>
              <w:t>0,00 mm/h</w:t>
            </w:r>
          </w:p>
        </w:tc>
        <w:tc>
          <w:tcPr>
            <w:tcW w:type="dxa" w:w="1704"/>
            <w:vAlign w:val="center"/>
          </w:tcPr>
          <w:p>
            <w:r>
              <w:rPr>
                <w:sz w:val="17"/>
              </w:rPr>
            </w:r>
            <w:r>
              <w:rPr>
                <w:b w:val="0"/>
                <w:sz w:val="17"/>
              </w:rPr>
              <w:t>0,00 mm/h</w:t>
            </w:r>
          </w:p>
        </w:tc>
        <w:tc>
          <w:tcPr>
            <w:tcW w:type="dxa" w:w="1704"/>
            <w:vAlign w:val="center"/>
          </w:tcPr>
          <w:p>
            <w:r>
              <w:rPr>
                <w:sz w:val="17"/>
              </w:rPr>
            </w:r>
            <w:r>
              <w:rPr>
                <w:b w:val="0"/>
                <w:sz w:val="17"/>
              </w:rPr>
              <w:t>2,90 mm/h</w:t>
            </w:r>
          </w:p>
        </w:tc>
        <w:tc>
          <w:tcPr>
            <w:tcW w:type="dxa" w:w="1704"/>
            <w:vAlign w:val="center"/>
          </w:tcPr>
          <w:p>
            <w:r>
              <w:rPr>
                <w:sz w:val="17"/>
              </w:rPr>
            </w:r>
            <w:r>
              <w:rPr>
                <w:b w:val="0"/>
                <w:sz w:val="17"/>
              </w:rPr>
              <w:t>0,20 mm/h</w:t>
            </w:r>
          </w:p>
        </w:tc>
      </w:tr>
    </w:tbl>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sz w:val="17"/>
              </w:rPr>
            </w:r>
            <w:r>
              <w:rPr>
                <w:b/>
                <w:sz w:val="17"/>
              </w:rPr>
              <w:t>Seuil intérieur moyen AB/CD</w:t>
            </w:r>
          </w:p>
        </w:tc>
        <w:tc>
          <w:tcPr>
            <w:tcW w:type="dxa" w:w="2556"/>
            <w:vAlign w:val="center"/>
            <w:shd w:fill="D9EAF7"/>
          </w:tcPr>
          <w:p>
            <w:r>
              <w:rPr>
                <w:sz w:val="17"/>
              </w:rPr>
            </w:r>
            <w:r>
              <w:rPr>
                <w:b/>
                <w:sz w:val="17"/>
              </w:rPr>
              <w:t>Heures de dépassement</w:t>
            </w:r>
          </w:p>
        </w:tc>
        <w:tc>
          <w:tcPr>
            <w:tcW w:type="dxa" w:w="2556"/>
            <w:vAlign w:val="center"/>
            <w:shd w:fill="D9EAF7"/>
          </w:tcPr>
          <w:p>
            <w:r>
              <w:rPr>
                <w:sz w:val="17"/>
              </w:rPr>
            </w:r>
            <w:r>
              <w:rPr>
                <w:b/>
                <w:sz w:val="17"/>
              </w:rPr>
              <w:t>Part de la période</w:t>
            </w:r>
          </w:p>
        </w:tc>
        <w:tc>
          <w:tcPr>
            <w:tcW w:type="dxa" w:w="2556"/>
            <w:vAlign w:val="center"/>
            <w:shd w:fill="D9EAF7"/>
          </w:tcPr>
          <w:p>
            <w:r>
              <w:rPr>
                <w:sz w:val="17"/>
              </w:rPr>
            </w:r>
            <w:r>
              <w:rPr>
                <w:b/>
                <w:sz w:val="17"/>
              </w:rPr>
              <w:t>Degrés-heures cumulés</w:t>
            </w:r>
          </w:p>
        </w:tc>
      </w:tr>
      <w:tr>
        <w:tc>
          <w:tcPr>
            <w:tcW w:type="dxa" w:w="2556"/>
            <w:vAlign w:val="center"/>
          </w:tcPr>
          <w:p>
            <w:r>
              <w:rPr>
                <w:sz w:val="17"/>
              </w:rPr>
            </w:r>
            <w:r>
              <w:rPr>
                <w:b w:val="0"/>
                <w:sz w:val="17"/>
              </w:rPr>
              <w:t>&gt;24 °C</w:t>
            </w:r>
          </w:p>
        </w:tc>
        <w:tc>
          <w:tcPr>
            <w:tcW w:type="dxa" w:w="2556"/>
            <w:vAlign w:val="center"/>
          </w:tcPr>
          <w:p>
            <w:r>
              <w:rPr>
                <w:sz w:val="17"/>
              </w:rPr>
            </w:r>
            <w:r>
              <w:rPr>
                <w:b w:val="0"/>
                <w:sz w:val="17"/>
              </w:rPr>
              <w:t>657 h</w:t>
            </w:r>
          </w:p>
        </w:tc>
        <w:tc>
          <w:tcPr>
            <w:tcW w:type="dxa" w:w="2556"/>
            <w:vAlign w:val="center"/>
          </w:tcPr>
          <w:p>
            <w:r>
              <w:rPr>
                <w:sz w:val="17"/>
              </w:rPr>
            </w:r>
            <w:r>
              <w:rPr>
                <w:b w:val="0"/>
                <w:sz w:val="17"/>
              </w:rPr>
              <w:t>68,4 %</w:t>
            </w:r>
          </w:p>
        </w:tc>
        <w:tc>
          <w:tcPr>
            <w:tcW w:type="dxa" w:w="2556"/>
            <w:vAlign w:val="center"/>
          </w:tcPr>
          <w:p>
            <w:r>
              <w:rPr>
                <w:sz w:val="17"/>
              </w:rPr>
            </w:r>
            <w:r>
              <w:rPr>
                <w:b w:val="0"/>
                <w:sz w:val="17"/>
              </w:rPr>
              <w:t>2477 °C.h</w:t>
            </w:r>
          </w:p>
        </w:tc>
      </w:tr>
      <w:tr>
        <w:tc>
          <w:tcPr>
            <w:tcW w:type="dxa" w:w="2556"/>
            <w:vAlign w:val="center"/>
          </w:tcPr>
          <w:p>
            <w:r>
              <w:rPr>
                <w:sz w:val="17"/>
              </w:rPr>
            </w:r>
            <w:r>
              <w:rPr>
                <w:b w:val="0"/>
                <w:sz w:val="17"/>
              </w:rPr>
              <w:t>&gt;26 °C</w:t>
            </w:r>
          </w:p>
        </w:tc>
        <w:tc>
          <w:tcPr>
            <w:tcW w:type="dxa" w:w="2556"/>
            <w:vAlign w:val="center"/>
          </w:tcPr>
          <w:p>
            <w:r>
              <w:rPr>
                <w:sz w:val="17"/>
              </w:rPr>
            </w:r>
            <w:r>
              <w:rPr>
                <w:b w:val="0"/>
                <w:sz w:val="17"/>
              </w:rPr>
              <w:t>483 h</w:t>
            </w:r>
          </w:p>
        </w:tc>
        <w:tc>
          <w:tcPr>
            <w:tcW w:type="dxa" w:w="2556"/>
            <w:vAlign w:val="center"/>
          </w:tcPr>
          <w:p>
            <w:r>
              <w:rPr>
                <w:sz w:val="17"/>
              </w:rPr>
            </w:r>
            <w:r>
              <w:rPr>
                <w:b w:val="0"/>
                <w:sz w:val="17"/>
              </w:rPr>
              <w:t>50,3 %</w:t>
            </w:r>
          </w:p>
        </w:tc>
        <w:tc>
          <w:tcPr>
            <w:tcW w:type="dxa" w:w="2556"/>
            <w:vAlign w:val="center"/>
          </w:tcPr>
          <w:p>
            <w:r>
              <w:rPr>
                <w:sz w:val="17"/>
              </w:rPr>
            </w:r>
            <w:r>
              <w:rPr>
                <w:b w:val="0"/>
                <w:sz w:val="17"/>
              </w:rPr>
              <w:t>1349 °C.h</w:t>
            </w:r>
          </w:p>
        </w:tc>
      </w:tr>
      <w:tr>
        <w:tc>
          <w:tcPr>
            <w:tcW w:type="dxa" w:w="2556"/>
            <w:vAlign w:val="center"/>
          </w:tcPr>
          <w:p>
            <w:r>
              <w:rPr>
                <w:sz w:val="17"/>
              </w:rPr>
            </w:r>
            <w:r>
              <w:rPr>
                <w:b w:val="0"/>
                <w:sz w:val="17"/>
              </w:rPr>
              <w:t>&gt;28 °C</w:t>
            </w:r>
          </w:p>
        </w:tc>
        <w:tc>
          <w:tcPr>
            <w:tcW w:type="dxa" w:w="2556"/>
            <w:vAlign w:val="center"/>
          </w:tcPr>
          <w:p>
            <w:r>
              <w:rPr>
                <w:sz w:val="17"/>
              </w:rPr>
            </w:r>
            <w:r>
              <w:rPr>
                <w:b w:val="0"/>
                <w:sz w:val="17"/>
              </w:rPr>
              <w:t>276 h</w:t>
            </w:r>
          </w:p>
        </w:tc>
        <w:tc>
          <w:tcPr>
            <w:tcW w:type="dxa" w:w="2556"/>
            <w:vAlign w:val="center"/>
          </w:tcPr>
          <w:p>
            <w:r>
              <w:rPr>
                <w:sz w:val="17"/>
              </w:rPr>
            </w:r>
            <w:r>
              <w:rPr>
                <w:b w:val="0"/>
                <w:sz w:val="17"/>
              </w:rPr>
              <w:t>28,7 %</w:t>
            </w:r>
          </w:p>
        </w:tc>
        <w:tc>
          <w:tcPr>
            <w:tcW w:type="dxa" w:w="2556"/>
            <w:vAlign w:val="center"/>
          </w:tcPr>
          <w:p>
            <w:r>
              <w:rPr>
                <w:sz w:val="17"/>
              </w:rPr>
            </w:r>
            <w:r>
              <w:rPr>
                <w:b w:val="0"/>
                <w:sz w:val="17"/>
              </w:rPr>
              <w:t>564 °C.h</w:t>
            </w:r>
          </w:p>
        </w:tc>
      </w:tr>
      <w:tr>
        <w:tc>
          <w:tcPr>
            <w:tcW w:type="dxa" w:w="2556"/>
            <w:vAlign w:val="center"/>
          </w:tcPr>
          <w:p>
            <w:r>
              <w:rPr>
                <w:sz w:val="17"/>
              </w:rPr>
            </w:r>
            <w:r>
              <w:rPr>
                <w:b w:val="0"/>
                <w:sz w:val="17"/>
              </w:rPr>
              <w:t>&gt;30 °C</w:t>
            </w:r>
          </w:p>
        </w:tc>
        <w:tc>
          <w:tcPr>
            <w:tcW w:type="dxa" w:w="2556"/>
            <w:vAlign w:val="center"/>
          </w:tcPr>
          <w:p>
            <w:r>
              <w:rPr>
                <w:sz w:val="17"/>
              </w:rPr>
            </w:r>
            <w:r>
              <w:rPr>
                <w:b w:val="0"/>
                <w:sz w:val="17"/>
              </w:rPr>
              <w:t>136 h</w:t>
            </w:r>
          </w:p>
        </w:tc>
        <w:tc>
          <w:tcPr>
            <w:tcW w:type="dxa" w:w="2556"/>
            <w:vAlign w:val="center"/>
          </w:tcPr>
          <w:p>
            <w:r>
              <w:rPr>
                <w:sz w:val="17"/>
              </w:rPr>
            </w:r>
            <w:r>
              <w:rPr>
                <w:b w:val="0"/>
                <w:sz w:val="17"/>
              </w:rPr>
              <w:t>14,2 %</w:t>
            </w:r>
          </w:p>
        </w:tc>
        <w:tc>
          <w:tcPr>
            <w:tcW w:type="dxa" w:w="2556"/>
            <w:vAlign w:val="center"/>
          </w:tcPr>
          <w:p>
            <w:r>
              <w:rPr>
                <w:sz w:val="17"/>
              </w:rPr>
            </w:r>
            <w:r>
              <w:rPr>
                <w:b w:val="0"/>
                <w:sz w:val="17"/>
              </w:rPr>
              <w:t>176 °C.h</w:t>
            </w:r>
          </w:p>
        </w:tc>
      </w:tr>
      <w:tr>
        <w:tc>
          <w:tcPr>
            <w:tcW w:type="dxa" w:w="2556"/>
            <w:vAlign w:val="center"/>
          </w:tcPr>
          <w:p>
            <w:r>
              <w:rPr>
                <w:sz w:val="17"/>
              </w:rPr>
            </w:r>
            <w:r>
              <w:rPr>
                <w:b w:val="0"/>
                <w:sz w:val="17"/>
              </w:rPr>
              <w:t>&gt;32 °C</w:t>
            </w:r>
          </w:p>
        </w:tc>
        <w:tc>
          <w:tcPr>
            <w:tcW w:type="dxa" w:w="2556"/>
            <w:vAlign w:val="center"/>
          </w:tcPr>
          <w:p>
            <w:r>
              <w:rPr>
                <w:sz w:val="17"/>
              </w:rPr>
            </w:r>
            <w:r>
              <w:rPr>
                <w:b w:val="0"/>
                <w:sz w:val="17"/>
              </w:rPr>
              <w:t>33 h</w:t>
            </w:r>
          </w:p>
        </w:tc>
        <w:tc>
          <w:tcPr>
            <w:tcW w:type="dxa" w:w="2556"/>
            <w:vAlign w:val="center"/>
          </w:tcPr>
          <w:p>
            <w:r>
              <w:rPr>
                <w:sz w:val="17"/>
              </w:rPr>
            </w:r>
            <w:r>
              <w:rPr>
                <w:b w:val="0"/>
                <w:sz w:val="17"/>
              </w:rPr>
              <w:t>3,4 %</w:t>
            </w:r>
          </w:p>
        </w:tc>
        <w:tc>
          <w:tcPr>
            <w:tcW w:type="dxa" w:w="2556"/>
            <w:vAlign w:val="center"/>
          </w:tcPr>
          <w:p>
            <w:r>
              <w:rPr>
                <w:sz w:val="17"/>
              </w:rPr>
            </w:r>
            <w:r>
              <w:rPr>
                <w:b w:val="0"/>
                <w:sz w:val="17"/>
              </w:rPr>
              <w:t>13 °C.h</w:t>
            </w:r>
          </w:p>
        </w:tc>
      </w:tr>
    </w:tbl>
    <w:p/>
    <w:p>
      <w:r>
        <w:rPr>
          <w:rFonts w:ascii="Aptos" w:hAnsi="Aptos"/>
        </w:rPr>
        <w:t>Lecture : même sans chauffage collectif, la moyenne AB/CD dépasse 26 °C pendant environ la moitié de la période. Le seuil de 30 °C est dépassé pendant plusieurs jours cumulés, ce qui montre que le problème ne se limite pas à quelques pics extérieurs isolés.</w:t>
      </w:r>
    </w:p>
    <w:p>
      <w:pPr>
        <w:pStyle w:val="Heading1"/>
      </w:pPr>
      <w:r>
        <w:rPr>
          <w:rFonts w:ascii="Aptos" w:hAnsi="Aptos"/>
        </w:rPr>
        <w:t>4.4 Hypothèses et valeurs retenues</w:t>
      </w:r>
    </w:p>
    <w:p>
      <w:r>
        <w:rPr>
          <w:rFonts w:ascii="Aptos" w:hAnsi="Aptos"/>
        </w:rPr>
        <w:t>La table ci-dessous est volontairement structurée selon l'origine des valeurs. Les paramètres 'mesurés' proviennent directement du CSV ou des données de résidence. Les paramètres 'identifiés' proviennent d'une régression sur les mesures. Les paramètres 'supposés' seront utilisés pour convertir les coefficients apparents en puissance et pour les étapes de dimensionnement.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sz w:val="17"/>
              </w:rPr>
            </w:r>
            <w:r>
              <w:rPr>
                <w:b/>
                <w:sz w:val="17"/>
              </w:rPr>
              <w:t>Paramètre</w:t>
            </w:r>
          </w:p>
        </w:tc>
        <w:tc>
          <w:tcPr>
            <w:tcW w:type="dxa" w:w="2556"/>
            <w:vAlign w:val="center"/>
            <w:shd w:fill="D9EAF7"/>
          </w:tcPr>
          <w:p>
            <w:r>
              <w:rPr>
                <w:sz w:val="17"/>
              </w:rPr>
            </w:r>
            <w:r>
              <w:rPr>
                <w:b/>
                <w:sz w:val="17"/>
              </w:rPr>
              <w:t>Valeur retenue</w:t>
            </w:r>
          </w:p>
        </w:tc>
        <w:tc>
          <w:tcPr>
            <w:tcW w:type="dxa" w:w="2556"/>
            <w:vAlign w:val="center"/>
            <w:shd w:fill="D9EAF7"/>
          </w:tcPr>
          <w:p>
            <w:r>
              <w:rPr>
                <w:sz w:val="17"/>
              </w:rPr>
            </w:r>
            <w:r>
              <w:rPr>
                <w:b/>
                <w:sz w:val="17"/>
              </w:rPr>
              <w:t>Origine</w:t>
            </w:r>
          </w:p>
        </w:tc>
        <w:tc>
          <w:tcPr>
            <w:tcW w:type="dxa" w:w="2556"/>
            <w:vAlign w:val="center"/>
            <w:shd w:fill="D9EAF7"/>
          </w:tcPr>
          <w:p>
            <w:r>
              <w:rPr>
                <w:sz w:val="17"/>
              </w:rPr>
            </w:r>
            <w:r>
              <w:rPr>
                <w:b/>
                <w:sz w:val="17"/>
              </w:rPr>
              <w:t>Incertitude / remarque</w:t>
            </w:r>
          </w:p>
        </w:tc>
      </w:tr>
      <w:tr>
        <w:tc>
          <w:tcPr>
            <w:tcW w:type="dxa" w:w="2556"/>
            <w:vAlign w:val="center"/>
          </w:tcPr>
          <w:p>
            <w:r>
              <w:rPr>
                <w:sz w:val="17"/>
              </w:rPr>
            </w:r>
            <w:r>
              <w:rPr>
                <w:b w:val="0"/>
                <w:sz w:val="17"/>
              </w:rPr>
              <w:t>Nombre de logements</w:t>
            </w:r>
          </w:p>
        </w:tc>
        <w:tc>
          <w:tcPr>
            <w:tcW w:type="dxa" w:w="2556"/>
            <w:vAlign w:val="center"/>
          </w:tcPr>
          <w:p>
            <w:r>
              <w:rPr>
                <w:sz w:val="17"/>
              </w:rPr>
            </w:r>
            <w:r>
              <w:rPr>
                <w:b w:val="0"/>
                <w:sz w:val="17"/>
              </w:rPr>
              <w:t>440</w:t>
            </w:r>
          </w:p>
        </w:tc>
        <w:tc>
          <w:tcPr>
            <w:tcW w:type="dxa" w:w="2556"/>
            <w:vAlign w:val="center"/>
          </w:tcPr>
          <w:p>
            <w:r>
              <w:rPr>
                <w:sz w:val="17"/>
              </w:rPr>
            </w:r>
            <w:r>
              <w:rPr>
                <w:b w:val="0"/>
                <w:sz w:val="17"/>
              </w:rPr>
              <w:t>Donnée résidence</w:t>
            </w:r>
          </w:p>
        </w:tc>
        <w:tc>
          <w:tcPr>
            <w:tcW w:type="dxa" w:w="2556"/>
            <w:vAlign w:val="center"/>
          </w:tcPr>
          <w:p>
            <w:r>
              <w:rPr>
                <w:sz w:val="17"/>
              </w:rPr>
            </w:r>
            <w:r>
              <w:rPr>
                <w:b w:val="0"/>
                <w:sz w:val="17"/>
              </w:rPr>
              <w:t>Faible</w:t>
            </w:r>
          </w:p>
        </w:tc>
      </w:tr>
      <w:tr>
        <w:tc>
          <w:tcPr>
            <w:tcW w:type="dxa" w:w="2556"/>
            <w:vAlign w:val="center"/>
          </w:tcPr>
          <w:p>
            <w:r>
              <w:rPr>
                <w:sz w:val="17"/>
              </w:rPr>
            </w:r>
            <w:r>
              <w:rPr>
                <w:b w:val="0"/>
                <w:sz w:val="17"/>
              </w:rPr>
              <w:t>Surface moyenne par logement</w:t>
            </w:r>
          </w:p>
        </w:tc>
        <w:tc>
          <w:tcPr>
            <w:tcW w:type="dxa" w:w="2556"/>
            <w:vAlign w:val="center"/>
          </w:tcPr>
          <w:p>
            <w:r>
              <w:rPr>
                <w:sz w:val="17"/>
              </w:rPr>
            </w:r>
            <w:r>
              <w:rPr>
                <w:b w:val="0"/>
                <w:sz w:val="17"/>
              </w:rPr>
              <w:t>80 m²</w:t>
            </w:r>
          </w:p>
        </w:tc>
        <w:tc>
          <w:tcPr>
            <w:tcW w:type="dxa" w:w="2556"/>
            <w:vAlign w:val="center"/>
          </w:tcPr>
          <w:p>
            <w:r>
              <w:rPr>
                <w:sz w:val="17"/>
              </w:rPr>
            </w:r>
            <w:r>
              <w:rPr>
                <w:b w:val="0"/>
                <w:sz w:val="17"/>
              </w:rPr>
              <w:t>Donnée résidence</w:t>
            </w:r>
          </w:p>
        </w:tc>
        <w:tc>
          <w:tcPr>
            <w:tcW w:type="dxa" w:w="2556"/>
            <w:vAlign w:val="center"/>
          </w:tcPr>
          <w:p>
            <w:r>
              <w:rPr>
                <w:sz w:val="17"/>
              </w:rPr>
            </w:r>
            <w:r>
              <w:rPr>
                <w:b w:val="0"/>
                <w:sz w:val="17"/>
              </w:rPr>
              <w:t>Moyenne : à confirmer par plans</w:t>
            </w:r>
          </w:p>
        </w:tc>
      </w:tr>
      <w:tr>
        <w:tc>
          <w:tcPr>
            <w:tcW w:type="dxa" w:w="2556"/>
            <w:vAlign w:val="center"/>
          </w:tcPr>
          <w:p>
            <w:r>
              <w:rPr>
                <w:sz w:val="17"/>
              </w:rPr>
            </w:r>
            <w:r>
              <w:rPr>
                <w:b w:val="0"/>
                <w:sz w:val="17"/>
              </w:rPr>
              <w:t>Surface totale représentative</w:t>
            </w:r>
          </w:p>
        </w:tc>
        <w:tc>
          <w:tcPr>
            <w:tcW w:type="dxa" w:w="2556"/>
            <w:vAlign w:val="center"/>
          </w:tcPr>
          <w:p>
            <w:r>
              <w:rPr>
                <w:sz w:val="17"/>
              </w:rPr>
            </w:r>
            <w:r>
              <w:rPr>
                <w:b w:val="0"/>
                <w:sz w:val="17"/>
              </w:rPr>
              <w:t>35 200 m²</w:t>
            </w:r>
          </w:p>
        </w:tc>
        <w:tc>
          <w:tcPr>
            <w:tcW w:type="dxa" w:w="2556"/>
            <w:vAlign w:val="center"/>
          </w:tcPr>
          <w:p>
            <w:r>
              <w:rPr>
                <w:sz w:val="17"/>
              </w:rPr>
            </w:r>
            <w:r>
              <w:rPr>
                <w:b w:val="0"/>
                <w:sz w:val="17"/>
              </w:rPr>
              <w:t>Calcul 440 × 80</w:t>
            </w:r>
          </w:p>
        </w:tc>
        <w:tc>
          <w:tcPr>
            <w:tcW w:type="dxa" w:w="2556"/>
            <w:vAlign w:val="center"/>
          </w:tcPr>
          <w:p>
            <w:r>
              <w:rPr>
                <w:sz w:val="17"/>
              </w:rPr>
            </w:r>
            <w:r>
              <w:rPr>
                <w:b w:val="0"/>
                <w:sz w:val="17"/>
              </w:rPr>
              <w:t>Dépend de la surface réelle habitable</w:t>
            </w:r>
          </w:p>
        </w:tc>
      </w:tr>
      <w:tr>
        <w:tc>
          <w:tcPr>
            <w:tcW w:type="dxa" w:w="2556"/>
            <w:vAlign w:val="center"/>
          </w:tcPr>
          <w:p>
            <w:r>
              <w:rPr>
                <w:sz w:val="17"/>
              </w:rPr>
            </w:r>
            <w:r>
              <w:rPr>
                <w:b w:val="0"/>
                <w:sz w:val="17"/>
              </w:rPr>
              <w:t>Période de calibration</w:t>
            </w:r>
          </w:p>
        </w:tc>
        <w:tc>
          <w:tcPr>
            <w:tcW w:type="dxa" w:w="2556"/>
            <w:vAlign w:val="center"/>
          </w:tcPr>
          <w:p>
            <w:r>
              <w:rPr>
                <w:sz w:val="17"/>
              </w:rPr>
            </w:r>
            <w:r>
              <w:rPr>
                <w:b w:val="0"/>
                <w:sz w:val="17"/>
              </w:rPr>
              <w:t>960 heures</w:t>
            </w:r>
          </w:p>
        </w:tc>
        <w:tc>
          <w:tcPr>
            <w:tcW w:type="dxa" w:w="2556"/>
            <w:vAlign w:val="center"/>
          </w:tcPr>
          <w:p>
            <w:r>
              <w:rPr>
                <w:sz w:val="17"/>
              </w:rPr>
            </w:r>
            <w:r>
              <w:rPr>
                <w:b w:val="0"/>
                <w:sz w:val="17"/>
              </w:rPr>
              <w:t>CSV après 22/05/2026</w:t>
            </w:r>
          </w:p>
        </w:tc>
        <w:tc>
          <w:tcPr>
            <w:tcW w:type="dxa" w:w="2556"/>
            <w:vAlign w:val="center"/>
          </w:tcPr>
          <w:p>
            <w:r>
              <w:rPr>
                <w:sz w:val="17"/>
              </w:rPr>
            </w:r>
            <w:r>
              <w:rPr>
                <w:b w:val="0"/>
                <w:sz w:val="17"/>
              </w:rPr>
              <w:t>Faible</w:t>
            </w:r>
          </w:p>
        </w:tc>
      </w:tr>
      <w:tr>
        <w:tc>
          <w:tcPr>
            <w:tcW w:type="dxa" w:w="2556"/>
            <w:vAlign w:val="center"/>
          </w:tcPr>
          <w:p>
            <w:r>
              <w:rPr>
                <w:sz w:val="17"/>
              </w:rPr>
            </w:r>
            <w:r>
              <w:rPr>
                <w:b w:val="0"/>
                <w:sz w:val="17"/>
              </w:rPr>
              <w:t>Température extérieure</w:t>
            </w:r>
          </w:p>
        </w:tc>
        <w:tc>
          <w:tcPr>
            <w:tcW w:type="dxa" w:w="2556"/>
            <w:vAlign w:val="center"/>
          </w:tcPr>
          <w:p>
            <w:r>
              <w:rPr>
                <w:sz w:val="17"/>
              </w:rPr>
            </w:r>
            <w:r>
              <w:rPr>
                <w:b w:val="0"/>
                <w:sz w:val="17"/>
              </w:rPr>
              <w:t>Série horaire mesurée</w:t>
            </w:r>
          </w:p>
        </w:tc>
        <w:tc>
          <w:tcPr>
            <w:tcW w:type="dxa" w:w="2556"/>
            <w:vAlign w:val="center"/>
          </w:tcPr>
          <w:p>
            <w:r>
              <w:rPr>
                <w:sz w:val="17"/>
              </w:rPr>
            </w:r>
            <w:r>
              <w:rPr>
                <w:b w:val="0"/>
                <w:sz w:val="17"/>
              </w:rPr>
              <w:t>CSV</w:t>
            </w:r>
          </w:p>
        </w:tc>
        <w:tc>
          <w:tcPr>
            <w:tcW w:type="dxa" w:w="2556"/>
            <w:vAlign w:val="center"/>
          </w:tcPr>
          <w:p>
            <w:r>
              <w:rPr>
                <w:sz w:val="17"/>
              </w:rPr>
            </w:r>
            <w:r>
              <w:rPr>
                <w:b w:val="0"/>
                <w:sz w:val="17"/>
              </w:rPr>
              <w:t>Faible à moyenne selon position capteur</w:t>
            </w:r>
          </w:p>
        </w:tc>
      </w:tr>
      <w:tr>
        <w:tc>
          <w:tcPr>
            <w:tcW w:type="dxa" w:w="2556"/>
            <w:vAlign w:val="center"/>
          </w:tcPr>
          <w:p>
            <w:r>
              <w:rPr>
                <w:sz w:val="17"/>
              </w:rPr>
            </w:r>
            <w:r>
              <w:rPr>
                <w:b w:val="0"/>
                <w:sz w:val="17"/>
              </w:rPr>
              <w:t>Température intérieure</w:t>
            </w:r>
          </w:p>
        </w:tc>
        <w:tc>
          <w:tcPr>
            <w:tcW w:type="dxa" w:w="2556"/>
            <w:vAlign w:val="center"/>
          </w:tcPr>
          <w:p>
            <w:r>
              <w:rPr>
                <w:sz w:val="17"/>
              </w:rPr>
            </w:r>
            <w:r>
              <w:rPr>
                <w:b w:val="0"/>
                <w:sz w:val="17"/>
              </w:rPr>
              <w:t>Moyenne AB/CD</w:t>
            </w:r>
          </w:p>
        </w:tc>
        <w:tc>
          <w:tcPr>
            <w:tcW w:type="dxa" w:w="2556"/>
            <w:vAlign w:val="center"/>
          </w:tcPr>
          <w:p>
            <w:r>
              <w:rPr>
                <w:sz w:val="17"/>
              </w:rPr>
            </w:r>
            <w:r>
              <w:rPr>
                <w:b w:val="0"/>
                <w:sz w:val="17"/>
              </w:rPr>
              <w:t>CSV</w:t>
            </w:r>
          </w:p>
        </w:tc>
        <w:tc>
          <w:tcPr>
            <w:tcW w:type="dxa" w:w="2556"/>
            <w:vAlign w:val="center"/>
          </w:tcPr>
          <w:p>
            <w:r>
              <w:rPr>
                <w:sz w:val="17"/>
              </w:rPr>
            </w:r>
            <w:r>
              <w:rPr>
                <w:b w:val="0"/>
                <w:sz w:val="17"/>
              </w:rPr>
              <w:t>Moyenne de circuits, pas logement par logement</w:t>
            </w:r>
          </w:p>
        </w:tc>
      </w:tr>
      <w:tr>
        <w:tc>
          <w:tcPr>
            <w:tcW w:type="dxa" w:w="2556"/>
            <w:vAlign w:val="center"/>
          </w:tcPr>
          <w:p>
            <w:r>
              <w:rPr>
                <w:sz w:val="17"/>
              </w:rPr>
            </w:r>
            <w:r>
              <w:rPr>
                <w:b w:val="0"/>
                <w:sz w:val="17"/>
              </w:rPr>
              <w:t>Rayonnement solaire</w:t>
            </w:r>
          </w:p>
        </w:tc>
        <w:tc>
          <w:tcPr>
            <w:tcW w:type="dxa" w:w="2556"/>
            <w:vAlign w:val="center"/>
          </w:tcPr>
          <w:p>
            <w:r>
              <w:rPr>
                <w:sz w:val="17"/>
              </w:rPr>
            </w:r>
            <w:r>
              <w:rPr>
                <w:b w:val="0"/>
                <w:sz w:val="17"/>
              </w:rPr>
              <w:t>Série horaire mesurée</w:t>
            </w:r>
          </w:p>
        </w:tc>
        <w:tc>
          <w:tcPr>
            <w:tcW w:type="dxa" w:w="2556"/>
            <w:vAlign w:val="center"/>
          </w:tcPr>
          <w:p>
            <w:r>
              <w:rPr>
                <w:sz w:val="17"/>
              </w:rPr>
            </w:r>
            <w:r>
              <w:rPr>
                <w:b w:val="0"/>
                <w:sz w:val="17"/>
              </w:rPr>
              <w:t>CSV</w:t>
            </w:r>
          </w:p>
        </w:tc>
        <w:tc>
          <w:tcPr>
            <w:tcW w:type="dxa" w:w="2556"/>
            <w:vAlign w:val="center"/>
          </w:tcPr>
          <w:p>
            <w:r>
              <w:rPr>
                <w:sz w:val="17"/>
              </w:rPr>
            </w:r>
            <w:r>
              <w:rPr>
                <w:b w:val="0"/>
                <w:sz w:val="17"/>
              </w:rPr>
              <w:t>Proxy : pas de conversion façade par façade</w:t>
            </w:r>
          </w:p>
        </w:tc>
      </w:tr>
      <w:tr>
        <w:tc>
          <w:tcPr>
            <w:tcW w:type="dxa" w:w="2556"/>
            <w:vAlign w:val="center"/>
          </w:tcPr>
          <w:p>
            <w:r>
              <w:rPr>
                <w:sz w:val="17"/>
              </w:rPr>
            </w:r>
            <w:r>
              <w:rPr>
                <w:b w:val="0"/>
                <w:sz w:val="17"/>
              </w:rPr>
              <w:t>Modèle physique de référence</w:t>
            </w:r>
          </w:p>
        </w:tc>
        <w:tc>
          <w:tcPr>
            <w:tcW w:type="dxa" w:w="2556"/>
            <w:vAlign w:val="center"/>
          </w:tcPr>
          <w:p>
            <w:r>
              <w:rPr>
                <w:sz w:val="17"/>
              </w:rPr>
            </w:r>
            <w:r>
              <w:rPr>
                <w:b w:val="0"/>
                <w:sz w:val="17"/>
              </w:rPr>
              <w:t>2R2C conceptuel</w:t>
            </w:r>
          </w:p>
        </w:tc>
        <w:tc>
          <w:tcPr>
            <w:tcW w:type="dxa" w:w="2556"/>
            <w:vAlign w:val="center"/>
          </w:tcPr>
          <w:p>
            <w:r>
              <w:rPr>
                <w:sz w:val="17"/>
              </w:rPr>
            </w:r>
            <w:r>
              <w:rPr>
                <w:b w:val="0"/>
                <w:sz w:val="17"/>
              </w:rPr>
              <w:t>Choix ingénierie</w:t>
            </w:r>
          </w:p>
        </w:tc>
        <w:tc>
          <w:tcPr>
            <w:tcW w:type="dxa" w:w="2556"/>
            <w:vAlign w:val="center"/>
          </w:tcPr>
          <w:p>
            <w:r>
              <w:rPr>
                <w:sz w:val="17"/>
              </w:rPr>
            </w:r>
            <w:r>
              <w:rPr>
                <w:b w:val="0"/>
                <w:sz w:val="17"/>
              </w:rPr>
              <w:t>Non identifiable complètement avec une seule sortie moyenne</w:t>
            </w:r>
          </w:p>
        </w:tc>
      </w:tr>
      <w:tr>
        <w:tc>
          <w:tcPr>
            <w:tcW w:type="dxa" w:w="2556"/>
            <w:vAlign w:val="center"/>
          </w:tcPr>
          <w:p>
            <w:r>
              <w:rPr>
                <w:sz w:val="17"/>
              </w:rPr>
            </w:r>
            <w:r>
              <w:rPr>
                <w:b w:val="0"/>
                <w:sz w:val="17"/>
              </w:rPr>
              <w:t>Modèle calibré robuste</w:t>
            </w:r>
          </w:p>
        </w:tc>
        <w:tc>
          <w:tcPr>
            <w:tcW w:type="dxa" w:w="2556"/>
            <w:vAlign w:val="center"/>
          </w:tcPr>
          <w:p>
            <w:r>
              <w:rPr>
                <w:sz w:val="17"/>
              </w:rPr>
            </w:r>
            <w:r>
              <w:rPr>
                <w:b w:val="0"/>
                <w:sz w:val="17"/>
              </w:rPr>
              <w:t>RC équivalent avec solaire</w:t>
            </w:r>
          </w:p>
        </w:tc>
        <w:tc>
          <w:tcPr>
            <w:tcW w:type="dxa" w:w="2556"/>
            <w:vAlign w:val="center"/>
          </w:tcPr>
          <w:p>
            <w:r>
              <w:rPr>
                <w:sz w:val="17"/>
              </w:rPr>
            </w:r>
            <w:r>
              <w:rPr>
                <w:b w:val="0"/>
                <w:sz w:val="17"/>
              </w:rPr>
              <w:t>Identification CSV</w:t>
            </w:r>
          </w:p>
        </w:tc>
        <w:tc>
          <w:tcPr>
            <w:tcW w:type="dxa" w:w="2556"/>
            <w:vAlign w:val="center"/>
          </w:tcPr>
          <w:p>
            <w:r>
              <w:rPr>
                <w:sz w:val="17"/>
              </w:rPr>
            </w:r>
            <w:r>
              <w:rPr>
                <w:b w:val="0"/>
                <w:sz w:val="17"/>
              </w:rPr>
              <w:t>Utilisé pour les projections globales</w:t>
            </w:r>
          </w:p>
        </w:tc>
      </w:tr>
      <w:tr>
        <w:tc>
          <w:tcPr>
            <w:tcW w:type="dxa" w:w="2556"/>
            <w:vAlign w:val="center"/>
          </w:tcPr>
          <w:p>
            <w:r>
              <w:rPr>
                <w:sz w:val="17"/>
              </w:rPr>
            </w:r>
            <w:r>
              <w:rPr>
                <w:b w:val="0"/>
                <w:sz w:val="17"/>
              </w:rPr>
              <w:t>Capacité thermique surfacique de référence</w:t>
            </w:r>
          </w:p>
        </w:tc>
        <w:tc>
          <w:tcPr>
            <w:tcW w:type="dxa" w:w="2556"/>
            <w:vAlign w:val="center"/>
          </w:tcPr>
          <w:p>
            <w:r>
              <w:rPr>
                <w:sz w:val="17"/>
              </w:rPr>
            </w:r>
            <w:r>
              <w:rPr>
                <w:b w:val="0"/>
                <w:sz w:val="17"/>
              </w:rPr>
              <w:t>120 Wh/m².K</w:t>
            </w:r>
          </w:p>
        </w:tc>
        <w:tc>
          <w:tcPr>
            <w:tcW w:type="dxa" w:w="2556"/>
            <w:vAlign w:val="center"/>
          </w:tcPr>
          <w:p>
            <w:r>
              <w:rPr>
                <w:sz w:val="17"/>
              </w:rPr>
            </w:r>
            <w:r>
              <w:rPr>
                <w:b w:val="0"/>
                <w:sz w:val="17"/>
              </w:rPr>
              <w:t>Hypothèse bâtiment béton lourd</w:t>
            </w:r>
          </w:p>
        </w:tc>
        <w:tc>
          <w:tcPr>
            <w:tcW w:type="dxa" w:w="2556"/>
            <w:vAlign w:val="center"/>
          </w:tcPr>
          <w:p>
            <w:r>
              <w:rPr>
                <w:sz w:val="17"/>
              </w:rPr>
            </w:r>
            <w:r>
              <w:rPr>
                <w:b w:val="0"/>
                <w:sz w:val="17"/>
              </w:rPr>
              <w:t>Sensibilité 80 à 165 Wh/m².K</w:t>
            </w:r>
          </w:p>
        </w:tc>
      </w:tr>
      <w:tr>
        <w:tc>
          <w:tcPr>
            <w:tcW w:type="dxa" w:w="2556"/>
            <w:vAlign w:val="center"/>
          </w:tcPr>
          <w:p>
            <w:r>
              <w:rPr>
                <w:sz w:val="17"/>
              </w:rPr>
            </w:r>
            <w:r>
              <w:rPr>
                <w:b w:val="0"/>
                <w:sz w:val="17"/>
              </w:rPr>
              <w:t>Répartition vitrage future</w:t>
            </w:r>
          </w:p>
        </w:tc>
        <w:tc>
          <w:tcPr>
            <w:tcW w:type="dxa" w:w="2556"/>
            <w:vAlign w:val="center"/>
          </w:tcPr>
          <w:p>
            <w:r>
              <w:rPr>
                <w:sz w:val="17"/>
              </w:rPr>
            </w:r>
            <w:r>
              <w:rPr>
                <w:b w:val="0"/>
                <w:sz w:val="17"/>
              </w:rPr>
              <w:t>60 % simple / 40 % double vitrage</w:t>
            </w:r>
          </w:p>
        </w:tc>
        <w:tc>
          <w:tcPr>
            <w:tcW w:type="dxa" w:w="2556"/>
            <w:vAlign w:val="center"/>
          </w:tcPr>
          <w:p>
            <w:r>
              <w:rPr>
                <w:sz w:val="17"/>
              </w:rPr>
            </w:r>
            <w:r>
              <w:rPr>
                <w:b w:val="0"/>
                <w:sz w:val="17"/>
              </w:rPr>
              <w:t>Hypothèse scénario</w:t>
            </w:r>
          </w:p>
        </w:tc>
        <w:tc>
          <w:tcPr>
            <w:tcW w:type="dxa" w:w="2556"/>
            <w:vAlign w:val="center"/>
          </w:tcPr>
          <w:p>
            <w:r>
              <w:rPr>
                <w:sz w:val="17"/>
              </w:rPr>
            </w:r>
            <w:r>
              <w:rPr>
                <w:b w:val="0"/>
                <w:sz w:val="17"/>
              </w:rPr>
              <w:t>Non utilisée dans la calibration de cette partie</w:t>
            </w:r>
          </w:p>
        </w:tc>
      </w:tr>
      <w:tr>
        <w:tc>
          <w:tcPr>
            <w:tcW w:type="dxa" w:w="2556"/>
            <w:vAlign w:val="center"/>
          </w:tcPr>
          <w:p>
            <w:r>
              <w:rPr>
                <w:sz w:val="17"/>
              </w:rPr>
            </w:r>
            <w:r>
              <w:rPr>
                <w:b w:val="0"/>
                <w:sz w:val="17"/>
              </w:rPr>
              <w:t>Consignes futures</w:t>
            </w:r>
          </w:p>
        </w:tc>
        <w:tc>
          <w:tcPr>
            <w:tcW w:type="dxa" w:w="2556"/>
            <w:vAlign w:val="center"/>
          </w:tcPr>
          <w:p>
            <w:r>
              <w:rPr>
                <w:sz w:val="17"/>
              </w:rPr>
            </w:r>
            <w:r>
              <w:rPr>
                <w:b w:val="0"/>
                <w:sz w:val="17"/>
              </w:rPr>
              <w:t>26 °C séjour / 24 °C chambres</w:t>
            </w:r>
          </w:p>
        </w:tc>
        <w:tc>
          <w:tcPr>
            <w:tcW w:type="dxa" w:w="2556"/>
            <w:vAlign w:val="center"/>
          </w:tcPr>
          <w:p>
            <w:r>
              <w:rPr>
                <w:sz w:val="17"/>
              </w:rPr>
            </w:r>
            <w:r>
              <w:rPr>
                <w:b w:val="0"/>
                <w:sz w:val="17"/>
              </w:rPr>
              <w:t>Hypothèse scénario</w:t>
            </w:r>
          </w:p>
        </w:tc>
        <w:tc>
          <w:tcPr>
            <w:tcW w:type="dxa" w:w="2556"/>
            <w:vAlign w:val="center"/>
          </w:tcPr>
          <w:p>
            <w:r>
              <w:rPr>
                <w:sz w:val="17"/>
              </w:rPr>
            </w:r>
            <w:r>
              <w:rPr>
                <w:b w:val="0"/>
                <w:sz w:val="17"/>
              </w:rPr>
              <w:t>Non utilisée dans la calibration de cette partie</w:t>
            </w:r>
          </w:p>
        </w:tc>
      </w:tr>
    </w:tbl>
    <w:p/>
    <w:p>
      <w:pPr>
        <w:pStyle w:val="Heading1"/>
      </w:pPr>
      <w:r>
        <w:rPr>
          <w:rFonts w:ascii="Aptos" w:hAnsi="Aptos"/>
        </w:rPr>
        <w:t>4.5 Pourquoi un modèle RC dynamique ?</w:t>
      </w:r>
    </w:p>
    <w:p>
      <w:r>
        <w:rPr>
          <w:rFonts w:ascii="Aptos" w:hAnsi="Aptos"/>
        </w:rPr>
        <w:t>Un simple bilan statique ne suffit pas à décrire la résidence. Les mesures montrent une montée lente, un refroidissement nocturne limité et une mémoire thermique sur plusieurs jours. Ces effets sont caractéristiques d'un bâtiment lourd, où les dalles et voiles béton stockent une partie importante des apports solaires et internes avant de les restituer.</w:t>
      </w:r>
    </w:p>
    <w:p>
      <w:pPr>
        <w:jc w:val="center"/>
      </w:pPr>
      <w:r>
        <w:rPr>
          <w:rFonts w:ascii="Aptos" w:hAnsi="Aptos"/>
        </w:rPr>
        <w:drawing>
          <wp:inline xmlns:a="http://schemas.openxmlformats.org/drawingml/2006/main" xmlns:pic="http://schemas.openxmlformats.org/drawingml/2006/picture">
            <wp:extent cx="5852160" cy="2432268"/>
            <wp:docPr id="3" name="Picture 3"/>
            <wp:cNvGraphicFramePr>
              <a:graphicFrameLocks noChangeAspect="1"/>
            </wp:cNvGraphicFramePr>
            <a:graphic>
              <a:graphicData uri="http://schemas.openxmlformats.org/drawingml/2006/picture">
                <pic:pic>
                  <pic:nvPicPr>
                    <pic:cNvPr id="0" name="09_schema_rc.png"/>
                    <pic:cNvPicPr/>
                  </pic:nvPicPr>
                  <pic:blipFill>
                    <a:blip r:embed="rId12"/>
                    <a:stretch>
                      <a:fillRect/>
                    </a:stretch>
                  </pic:blipFill>
                  <pic:spPr>
                    <a:xfrm>
                      <a:off x="0" y="0"/>
                      <a:ext cx="5852160" cy="2432268"/>
                    </a:xfrm>
                    <a:prstGeom prst="rect"/>
                  </pic:spPr>
                </pic:pic>
              </a:graphicData>
            </a:graphic>
          </wp:inline>
        </w:drawing>
      </w:r>
    </w:p>
    <w:p>
      <w:pPr>
        <w:jc w:val="center"/>
      </w:pPr>
      <w:r>
        <w:rPr>
          <w:rFonts w:ascii="Aptos" w:hAnsi="Aptos"/>
          <w:i/>
          <w:color w:val="505050"/>
          <w:sz w:val="18"/>
        </w:rPr>
        <w:t>Figure 3 - Modèle conceptuel 2R2C : extérieur, masse thermique et air intérieur.</w:t>
      </w:r>
    </w:p>
    <w:p>
      <w:r>
        <w:rPr>
          <w:rFonts w:ascii="Aptos" w:hAnsi="Aptos"/>
        </w:rPr>
        <w:t>Dans un modèle complet 2R2C, la masse du bâtiment et l'air intérieur sont deux états distincts. Toutefois, le CSV ne mesure pas directement la température de la masse béton : il ne fournit qu'une température intérieure moyenne. Pour éviter une identification artificielle ou sur-paramétrée, la calibration numérique exploitable est donc réalisée sous forme d'un modèle RC équivalent avec terme solaire. Le modèle 2R2C reste la représentation physique conceptuelle ; le modèle RC équivalent est la forme identifiable de manière robuste avec les données disponibles.</w:t>
      </w:r>
    </w:p>
    <w:p>
      <w:pPr>
        <w:pStyle w:val="Heading1"/>
      </w:pPr>
      <w:r>
        <w:rPr>
          <w:rFonts w:ascii="Aptos" w:hAnsi="Aptos"/>
        </w:rPr>
        <w:t>4.6 Équations du modèle</w:t>
      </w:r>
    </w:p>
    <w:p>
      <w:r>
        <w:rPr>
          <w:rFonts w:ascii="Aptos" w:hAnsi="Aptos"/>
        </w:rPr>
        <w:t>Le modèle conceptuel 2R2C s'écrit sous la forme suivante :</w:t>
      </w:r>
    </w:p>
    <w:p>
      <w:pPr>
        <w:jc w:val="center"/>
      </w:pPr>
      <w:r>
        <w:rPr>
          <w:rFonts w:ascii="Aptos" w:hAnsi="Aptos"/>
          <w:b/>
        </w:rPr>
        <w:t>C_m · dT_m/dt = (T_ext - T_m)/R1 - (T_m - T_air)/R2 + Q_solaire</w:t>
      </w:r>
    </w:p>
    <w:p>
      <w:pPr>
        <w:jc w:val="center"/>
      </w:pPr>
      <w:r>
        <w:rPr>
          <w:rFonts w:ascii="Aptos" w:hAnsi="Aptos"/>
          <w:b/>
        </w:rPr>
        <w:t>C_air · dT_air/dt = (T_m - T_air)/R2 + Q_internes - Q_froid</w:t>
      </w:r>
    </w:p>
    <w:p>
      <w:r>
        <w:rPr>
          <w:rFonts w:ascii="Aptos" w:hAnsi="Aptos"/>
        </w:rPr>
        <w:t>Pendant la calibration, Q_froid = 0 car aucune production de froid collective n'est présente. La conversion exacte entre les coefficients du modèle et des puissances absolues nécessite une hypothèse de capacité thermique effective. C'est pourquoi les puissances sont présentées avec une sensibilité sur la capacité surfacique.</w:t>
      </w:r>
    </w:p>
    <w:p>
      <w:r>
        <w:rPr>
          <w:rFonts w:ascii="Aptos" w:hAnsi="Aptos"/>
        </w:rPr>
        <w:t>La forme discrète identifiée sur le CSV est la suivante, avec un pas de temps horaire :</w:t>
      </w:r>
    </w:p>
    <w:p>
      <w:pPr>
        <w:jc w:val="center"/>
      </w:pPr>
      <w:r>
        <w:rPr>
          <w:rFonts w:ascii="Aptos" w:hAnsi="Aptos"/>
          <w:b/>
        </w:rPr>
        <w:t>T_int(t+1) = T_int(t) + a · [T_ext(t) - T_int(t)] + b · Rad(t) + c</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sz w:val="17"/>
              </w:rPr>
            </w:r>
            <w:r>
              <w:rPr>
                <w:b/>
                <w:sz w:val="17"/>
              </w:rPr>
              <w:t>Coefficient identifié</w:t>
            </w:r>
          </w:p>
        </w:tc>
        <w:tc>
          <w:tcPr>
            <w:tcW w:type="dxa" w:w="2556"/>
            <w:vAlign w:val="center"/>
            <w:shd w:fill="D9EAF7"/>
          </w:tcPr>
          <w:p>
            <w:r>
              <w:rPr>
                <w:sz w:val="17"/>
              </w:rPr>
            </w:r>
            <w:r>
              <w:rPr>
                <w:b/>
                <w:sz w:val="17"/>
              </w:rPr>
              <w:t>Valeur</w:t>
            </w:r>
          </w:p>
        </w:tc>
        <w:tc>
          <w:tcPr>
            <w:tcW w:type="dxa" w:w="2556"/>
            <w:vAlign w:val="center"/>
            <w:shd w:fill="D9EAF7"/>
          </w:tcPr>
          <w:p>
            <w:r>
              <w:rPr>
                <w:sz w:val="17"/>
              </w:rPr>
            </w:r>
            <w:r>
              <w:rPr>
                <w:b/>
                <w:sz w:val="17"/>
              </w:rPr>
              <w:t>Unité</w:t>
            </w:r>
          </w:p>
        </w:tc>
        <w:tc>
          <w:tcPr>
            <w:tcW w:type="dxa" w:w="2556"/>
            <w:vAlign w:val="center"/>
            <w:shd w:fill="D9EAF7"/>
          </w:tcPr>
          <w:p>
            <w:r>
              <w:rPr>
                <w:sz w:val="17"/>
              </w:rPr>
            </w:r>
            <w:r>
              <w:rPr>
                <w:b/>
                <w:sz w:val="17"/>
              </w:rPr>
              <w:t>Interprétation</w:t>
            </w:r>
          </w:p>
        </w:tc>
      </w:tr>
      <w:tr>
        <w:tc>
          <w:tcPr>
            <w:tcW w:type="dxa" w:w="2556"/>
            <w:vAlign w:val="center"/>
          </w:tcPr>
          <w:p>
            <w:r>
              <w:rPr>
                <w:sz w:val="17"/>
              </w:rPr>
            </w:r>
            <w:r>
              <w:rPr>
                <w:b w:val="0"/>
                <w:sz w:val="17"/>
              </w:rPr>
              <w:t>a</w:t>
            </w:r>
          </w:p>
        </w:tc>
        <w:tc>
          <w:tcPr>
            <w:tcW w:type="dxa" w:w="2556"/>
            <w:vAlign w:val="center"/>
          </w:tcPr>
          <w:p>
            <w:r>
              <w:rPr>
                <w:sz w:val="17"/>
              </w:rPr>
            </w:r>
            <w:r>
              <w:rPr>
                <w:b w:val="0"/>
                <w:sz w:val="17"/>
              </w:rPr>
              <w:t>0,003035</w:t>
            </w:r>
          </w:p>
        </w:tc>
        <w:tc>
          <w:tcPr>
            <w:tcW w:type="dxa" w:w="2556"/>
            <w:vAlign w:val="center"/>
          </w:tcPr>
          <w:p>
            <w:r>
              <w:rPr>
                <w:sz w:val="17"/>
              </w:rPr>
            </w:r>
            <w:r>
              <w:rPr>
                <w:b w:val="0"/>
                <w:sz w:val="17"/>
              </w:rPr>
              <w:t>h⁻¹</w:t>
            </w:r>
          </w:p>
        </w:tc>
        <w:tc>
          <w:tcPr>
            <w:tcW w:type="dxa" w:w="2556"/>
            <w:vAlign w:val="center"/>
          </w:tcPr>
          <w:p>
            <w:r>
              <w:rPr>
                <w:sz w:val="17"/>
              </w:rPr>
            </w:r>
            <w:r>
              <w:rPr>
                <w:b w:val="0"/>
                <w:sz w:val="17"/>
              </w:rPr>
              <w:t>Couplage thermique apparent intérieur/extérieur</w:t>
            </w:r>
          </w:p>
        </w:tc>
      </w:tr>
      <w:tr>
        <w:tc>
          <w:tcPr>
            <w:tcW w:type="dxa" w:w="2556"/>
            <w:vAlign w:val="center"/>
          </w:tcPr>
          <w:p>
            <w:r>
              <w:rPr>
                <w:sz w:val="17"/>
              </w:rPr>
            </w:r>
            <w:r>
              <w:rPr>
                <w:b w:val="0"/>
                <w:sz w:val="17"/>
              </w:rPr>
              <w:t>b</w:t>
            </w:r>
          </w:p>
        </w:tc>
        <w:tc>
          <w:tcPr>
            <w:tcW w:type="dxa" w:w="2556"/>
            <w:vAlign w:val="center"/>
          </w:tcPr>
          <w:p>
            <w:r>
              <w:rPr>
                <w:sz w:val="17"/>
              </w:rPr>
            </w:r>
            <w:r>
              <w:rPr>
                <w:b w:val="0"/>
                <w:sz w:val="17"/>
              </w:rPr>
              <w:t>0,00012597</w:t>
            </w:r>
          </w:p>
        </w:tc>
        <w:tc>
          <w:tcPr>
            <w:tcW w:type="dxa" w:w="2556"/>
            <w:vAlign w:val="center"/>
          </w:tcPr>
          <w:p>
            <w:r>
              <w:rPr>
                <w:sz w:val="17"/>
              </w:rPr>
            </w:r>
            <w:r>
              <w:rPr>
                <w:b w:val="0"/>
                <w:sz w:val="17"/>
              </w:rPr>
              <w:t>K par (W/m².h)</w:t>
            </w:r>
          </w:p>
        </w:tc>
        <w:tc>
          <w:tcPr>
            <w:tcW w:type="dxa" w:w="2556"/>
            <w:vAlign w:val="center"/>
          </w:tcPr>
          <w:p>
            <w:r>
              <w:rPr>
                <w:sz w:val="17"/>
              </w:rPr>
            </w:r>
            <w:r>
              <w:rPr>
                <w:b w:val="0"/>
                <w:sz w:val="17"/>
              </w:rPr>
              <w:t>Sensibilité apparente au rayonnement direct normal</w:t>
            </w:r>
          </w:p>
        </w:tc>
      </w:tr>
      <w:tr>
        <w:tc>
          <w:tcPr>
            <w:tcW w:type="dxa" w:w="2556"/>
            <w:vAlign w:val="center"/>
          </w:tcPr>
          <w:p>
            <w:r>
              <w:rPr>
                <w:sz w:val="17"/>
              </w:rPr>
            </w:r>
            <w:r>
              <w:rPr>
                <w:b w:val="0"/>
                <w:sz w:val="17"/>
              </w:rPr>
              <w:t>c</w:t>
            </w:r>
          </w:p>
        </w:tc>
        <w:tc>
          <w:tcPr>
            <w:tcW w:type="dxa" w:w="2556"/>
            <w:vAlign w:val="center"/>
          </w:tcPr>
          <w:p>
            <w:r>
              <w:rPr>
                <w:sz w:val="17"/>
              </w:rPr>
            </w:r>
            <w:r>
              <w:rPr>
                <w:b w:val="0"/>
                <w:sz w:val="17"/>
              </w:rPr>
              <w:t>-0,01829</w:t>
            </w:r>
          </w:p>
        </w:tc>
        <w:tc>
          <w:tcPr>
            <w:tcW w:type="dxa" w:w="2556"/>
            <w:vAlign w:val="center"/>
          </w:tcPr>
          <w:p>
            <w:r>
              <w:rPr>
                <w:sz w:val="17"/>
              </w:rPr>
            </w:r>
            <w:r>
              <w:rPr>
                <w:b w:val="0"/>
                <w:sz w:val="17"/>
              </w:rPr>
              <w:t>K/h</w:t>
            </w:r>
          </w:p>
        </w:tc>
        <w:tc>
          <w:tcPr>
            <w:tcW w:type="dxa" w:w="2556"/>
            <w:vAlign w:val="center"/>
          </w:tcPr>
          <w:p>
            <w:r>
              <w:rPr>
                <w:sz w:val="17"/>
              </w:rPr>
            </w:r>
            <w:r>
              <w:rPr>
                <w:b w:val="0"/>
                <w:sz w:val="17"/>
              </w:rPr>
              <w:t>Terme résiduel : ventilation, apports internes, biais et phénomènes non observés</w:t>
            </w:r>
          </w:p>
        </w:tc>
      </w:tr>
    </w:tbl>
    <w:p/>
    <w:p>
      <w:pPr>
        <w:pStyle w:val="Heading1"/>
      </w:pPr>
      <w:r>
        <w:rPr>
          <w:rFonts w:ascii="Aptos" w:hAnsi="Aptos"/>
        </w:rPr>
        <w:t>4.7 Identification des paramètres sur les 960 heures</w:t>
      </w:r>
    </w:p>
    <w:p>
      <w:r>
        <w:rPr>
          <w:rFonts w:ascii="Aptos" w:hAnsi="Aptos"/>
        </w:rPr>
        <w:t>Les coefficients a, b et c sont identifiés par minimisation de l'erreur entre la température intérieure moyenne mesurée et la température simulée heure par heure. Cette méthode correspond à un ajustement par moindres carrés sur toute la période postérieure à l'arrêt du chauffage.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sz w:val="17"/>
              </w:rPr>
            </w:r>
            <w:r>
              <w:rPr>
                <w:b/>
                <w:sz w:val="17"/>
              </w:rPr>
              <w:t>Indicateur de validation</w:t>
            </w:r>
          </w:p>
        </w:tc>
        <w:tc>
          <w:tcPr>
            <w:tcW w:type="dxa" w:w="3408"/>
            <w:vAlign w:val="center"/>
            <w:shd w:fill="D9EAF7"/>
          </w:tcPr>
          <w:p>
            <w:r>
              <w:rPr>
                <w:sz w:val="17"/>
              </w:rPr>
            </w:r>
            <w:r>
              <w:rPr>
                <w:b/>
                <w:sz w:val="17"/>
              </w:rPr>
              <w:t>Valeur obtenue</w:t>
            </w:r>
          </w:p>
        </w:tc>
        <w:tc>
          <w:tcPr>
            <w:tcW w:type="dxa" w:w="3408"/>
            <w:vAlign w:val="center"/>
            <w:shd w:fill="D9EAF7"/>
          </w:tcPr>
          <w:p>
            <w:r>
              <w:rPr>
                <w:sz w:val="17"/>
              </w:rPr>
            </w:r>
            <w:r>
              <w:rPr>
                <w:b/>
                <w:sz w:val="17"/>
              </w:rPr>
              <w:t>Commentaire</w:t>
            </w:r>
          </w:p>
        </w:tc>
      </w:tr>
      <w:tr>
        <w:tc>
          <w:tcPr>
            <w:tcW w:type="dxa" w:w="3408"/>
            <w:vAlign w:val="center"/>
          </w:tcPr>
          <w:p>
            <w:r>
              <w:rPr>
                <w:sz w:val="17"/>
              </w:rPr>
            </w:r>
            <w:r>
              <w:rPr>
                <w:b w:val="0"/>
                <w:sz w:val="17"/>
              </w:rPr>
              <w:t>RMSE</w:t>
            </w:r>
          </w:p>
        </w:tc>
        <w:tc>
          <w:tcPr>
            <w:tcW w:type="dxa" w:w="3408"/>
            <w:vAlign w:val="center"/>
          </w:tcPr>
          <w:p>
            <w:r>
              <w:rPr>
                <w:sz w:val="17"/>
              </w:rPr>
            </w:r>
            <w:r>
              <w:rPr>
                <w:b w:val="0"/>
                <w:sz w:val="17"/>
              </w:rPr>
              <w:t>1,32 °C</w:t>
            </w:r>
          </w:p>
        </w:tc>
        <w:tc>
          <w:tcPr>
            <w:tcW w:type="dxa" w:w="3408"/>
            <w:vAlign w:val="center"/>
          </w:tcPr>
          <w:p>
            <w:r>
              <w:rPr>
                <w:sz w:val="17"/>
              </w:rPr>
            </w:r>
            <w:r>
              <w:rPr>
                <w:b w:val="0"/>
                <w:sz w:val="17"/>
              </w:rPr>
              <w:t>Erreur quadratique moyenne</w:t>
            </w:r>
          </w:p>
        </w:tc>
      </w:tr>
      <w:tr>
        <w:tc>
          <w:tcPr>
            <w:tcW w:type="dxa" w:w="3408"/>
            <w:vAlign w:val="center"/>
          </w:tcPr>
          <w:p>
            <w:r>
              <w:rPr>
                <w:sz w:val="17"/>
              </w:rPr>
            </w:r>
            <w:r>
              <w:rPr>
                <w:b w:val="0"/>
                <w:sz w:val="17"/>
              </w:rPr>
              <w:t>MAE</w:t>
            </w:r>
          </w:p>
        </w:tc>
        <w:tc>
          <w:tcPr>
            <w:tcW w:type="dxa" w:w="3408"/>
            <w:vAlign w:val="center"/>
          </w:tcPr>
          <w:p>
            <w:r>
              <w:rPr>
                <w:sz w:val="17"/>
              </w:rPr>
            </w:r>
            <w:r>
              <w:rPr>
                <w:b w:val="0"/>
                <w:sz w:val="17"/>
              </w:rPr>
              <w:t>1,07 °C</w:t>
            </w:r>
          </w:p>
        </w:tc>
        <w:tc>
          <w:tcPr>
            <w:tcW w:type="dxa" w:w="3408"/>
            <w:vAlign w:val="center"/>
          </w:tcPr>
          <w:p>
            <w:r>
              <w:rPr>
                <w:sz w:val="17"/>
              </w:rPr>
            </w:r>
            <w:r>
              <w:rPr>
                <w:b w:val="0"/>
                <w:sz w:val="17"/>
              </w:rPr>
              <w:t>Erreur absolue moyenne</w:t>
            </w:r>
          </w:p>
        </w:tc>
      </w:tr>
      <w:tr>
        <w:tc>
          <w:tcPr>
            <w:tcW w:type="dxa" w:w="3408"/>
            <w:vAlign w:val="center"/>
          </w:tcPr>
          <w:p>
            <w:r>
              <w:rPr>
                <w:sz w:val="17"/>
              </w:rPr>
            </w:r>
            <w:r>
              <w:rPr>
                <w:b w:val="0"/>
                <w:sz w:val="17"/>
              </w:rPr>
              <w:t>Biais moyen</w:t>
            </w:r>
          </w:p>
        </w:tc>
        <w:tc>
          <w:tcPr>
            <w:tcW w:type="dxa" w:w="3408"/>
            <w:vAlign w:val="center"/>
          </w:tcPr>
          <w:p>
            <w:r>
              <w:rPr>
                <w:sz w:val="17"/>
              </w:rPr>
            </w:r>
            <w:r>
              <w:rPr>
                <w:b w:val="0"/>
                <w:sz w:val="17"/>
              </w:rPr>
              <w:t>-0,08 °C</w:t>
            </w:r>
          </w:p>
        </w:tc>
        <w:tc>
          <w:tcPr>
            <w:tcW w:type="dxa" w:w="3408"/>
            <w:vAlign w:val="center"/>
          </w:tcPr>
          <w:p>
            <w:r>
              <w:rPr>
                <w:sz w:val="17"/>
              </w:rPr>
            </w:r>
            <w:r>
              <w:rPr>
                <w:b w:val="0"/>
                <w:sz w:val="17"/>
              </w:rPr>
              <w:t>Erreur moyenne modèle - mesure</w:t>
            </w:r>
          </w:p>
        </w:tc>
      </w:tr>
      <w:tr>
        <w:tc>
          <w:tcPr>
            <w:tcW w:type="dxa" w:w="3408"/>
            <w:vAlign w:val="center"/>
          </w:tcPr>
          <w:p>
            <w:r>
              <w:rPr>
                <w:sz w:val="17"/>
              </w:rPr>
            </w:r>
            <w:r>
              <w:rPr>
                <w:b w:val="0"/>
                <w:sz w:val="17"/>
              </w:rPr>
              <w:t>R²</w:t>
            </w:r>
          </w:p>
        </w:tc>
        <w:tc>
          <w:tcPr>
            <w:tcW w:type="dxa" w:w="3408"/>
            <w:vAlign w:val="center"/>
          </w:tcPr>
          <w:p>
            <w:r>
              <w:rPr>
                <w:sz w:val="17"/>
              </w:rPr>
            </w:r>
            <w:r>
              <w:rPr>
                <w:b w:val="0"/>
                <w:sz w:val="17"/>
              </w:rPr>
              <w:t>0,81</w:t>
            </w:r>
          </w:p>
        </w:tc>
        <w:tc>
          <w:tcPr>
            <w:tcW w:type="dxa" w:w="3408"/>
            <w:vAlign w:val="center"/>
          </w:tcPr>
          <w:p>
            <w:r>
              <w:rPr>
                <w:sz w:val="17"/>
              </w:rPr>
            </w:r>
            <w:r>
              <w:rPr>
                <w:b w:val="0"/>
                <w:sz w:val="17"/>
              </w:rPr>
              <w:t>Part de variance expliquée par le modèle</w:t>
            </w:r>
          </w:p>
        </w:tc>
      </w:tr>
      <w:tr>
        <w:tc>
          <w:tcPr>
            <w:tcW w:type="dxa" w:w="3408"/>
            <w:vAlign w:val="center"/>
          </w:tcPr>
          <w:p>
            <w:r>
              <w:rPr>
                <w:sz w:val="17"/>
              </w:rPr>
            </w:r>
            <w:r>
              <w:rPr>
                <w:b w:val="0"/>
                <w:sz w:val="17"/>
              </w:rPr>
              <w:t>Constante de temps équivalente</w:t>
            </w:r>
          </w:p>
        </w:tc>
        <w:tc>
          <w:tcPr>
            <w:tcW w:type="dxa" w:w="3408"/>
            <w:vAlign w:val="center"/>
          </w:tcPr>
          <w:p>
            <w:r>
              <w:rPr>
                <w:sz w:val="17"/>
              </w:rPr>
            </w:r>
            <w:r>
              <w:rPr>
                <w:b w:val="0"/>
                <w:sz w:val="17"/>
              </w:rPr>
              <w:t>330 h / 13,7 jours</w:t>
            </w:r>
          </w:p>
        </w:tc>
        <w:tc>
          <w:tcPr>
            <w:tcW w:type="dxa" w:w="3408"/>
            <w:vAlign w:val="center"/>
          </w:tcPr>
          <w:p>
            <w:r>
              <w:rPr>
                <w:sz w:val="17"/>
              </w:rPr>
            </w:r>
            <w:r>
              <w:rPr>
                <w:b w:val="0"/>
                <w:sz w:val="17"/>
              </w:rPr>
              <w:t>tau = 1/a pour le modèle RC équivalent</w:t>
            </w:r>
          </w:p>
        </w:tc>
      </w:tr>
    </w:tbl>
    <w:p/>
    <w:p>
      <w:pPr>
        <w:jc w:val="center"/>
      </w:pPr>
      <w:r>
        <w:rPr>
          <w:rFonts w:ascii="Aptos" w:hAnsi="Aptos"/>
        </w:rPr>
        <w:drawing>
          <wp:inline xmlns:a="http://schemas.openxmlformats.org/drawingml/2006/main" xmlns:pic="http://schemas.openxmlformats.org/drawingml/2006/picture">
            <wp:extent cx="5852160" cy="2603897"/>
            <wp:docPr id="4" name="Picture 4"/>
            <wp:cNvGraphicFramePr>
              <a:graphicFrameLocks noChangeAspect="1"/>
            </wp:cNvGraphicFramePr>
            <a:graphic>
              <a:graphicData uri="http://schemas.openxmlformats.org/drawingml/2006/picture">
                <pic:pic>
                  <pic:nvPicPr>
                    <pic:cNvPr id="0" name="04_modele_vs_mesure.png"/>
                    <pic:cNvPicPr/>
                  </pic:nvPicPr>
                  <pic:blipFill>
                    <a:blip r:embed="rId13"/>
                    <a:stretch>
                      <a:fillRect/>
                    </a:stretch>
                  </pic:blipFill>
                  <pic:spPr>
                    <a:xfrm>
                      <a:off x="0" y="0"/>
                      <a:ext cx="5852160" cy="2603897"/>
                    </a:xfrm>
                    <a:prstGeom prst="rect"/>
                  </pic:spPr>
                </pic:pic>
              </a:graphicData>
            </a:graphic>
          </wp:inline>
        </w:drawing>
      </w:r>
    </w:p>
    <w:p>
      <w:pPr>
        <w:jc w:val="center"/>
      </w:pPr>
      <w:r>
        <w:rPr>
          <w:rFonts w:ascii="Aptos" w:hAnsi="Aptos"/>
          <w:i/>
          <w:color w:val="505050"/>
          <w:sz w:val="18"/>
        </w:rPr>
        <w:t>Figure 4 - Température intérieure mesurée et température simulée par le modèle RC équivalent.</w:t>
      </w:r>
    </w:p>
    <w:p>
      <w:pPr>
        <w:jc w:val="center"/>
      </w:pPr>
      <w:r>
        <w:rPr>
          <w:rFonts w:ascii="Aptos" w:hAnsi="Aptos"/>
        </w:rPr>
        <w:drawing>
          <wp:inline xmlns:a="http://schemas.openxmlformats.org/drawingml/2006/main" xmlns:pic="http://schemas.openxmlformats.org/drawingml/2006/picture">
            <wp:extent cx="5852160" cy="2185468"/>
            <wp:docPr id="5" name="Picture 5"/>
            <wp:cNvGraphicFramePr>
              <a:graphicFrameLocks noChangeAspect="1"/>
            </wp:cNvGraphicFramePr>
            <a:graphic>
              <a:graphicData uri="http://schemas.openxmlformats.org/drawingml/2006/picture">
                <pic:pic>
                  <pic:nvPicPr>
                    <pic:cNvPr id="0" name="05_erreur_temporelle.png"/>
                    <pic:cNvPicPr/>
                  </pic:nvPicPr>
                  <pic:blipFill>
                    <a:blip r:embed="rId14"/>
                    <a:stretch>
                      <a:fillRect/>
                    </a:stretch>
                  </pic:blipFill>
                  <pic:spPr>
                    <a:xfrm>
                      <a:off x="0" y="0"/>
                      <a:ext cx="5852160" cy="2185468"/>
                    </a:xfrm>
                    <a:prstGeom prst="rect"/>
                  </pic:spPr>
                </pic:pic>
              </a:graphicData>
            </a:graphic>
          </wp:inline>
        </w:drawing>
      </w:r>
    </w:p>
    <w:p>
      <w:pPr>
        <w:jc w:val="center"/>
      </w:pPr>
      <w:r>
        <w:rPr>
          <w:rFonts w:ascii="Aptos" w:hAnsi="Aptos"/>
          <w:i/>
          <w:color w:val="505050"/>
          <w:sz w:val="18"/>
        </w:rPr>
        <w:t>Figure 5 - Erreur horaire du modèle sur la période de calibration.</w:t>
      </w:r>
    </w:p>
    <w:p>
      <w:pPr>
        <w:jc w:val="center"/>
      </w:pPr>
      <w:r>
        <w:rPr>
          <w:rFonts w:ascii="Aptos" w:hAnsi="Aptos"/>
        </w:rPr>
        <w:drawing>
          <wp:inline xmlns:a="http://schemas.openxmlformats.org/drawingml/2006/main" xmlns:pic="http://schemas.openxmlformats.org/drawingml/2006/picture">
            <wp:extent cx="5852160" cy="3456593"/>
            <wp:docPr id="6" name="Picture 6"/>
            <wp:cNvGraphicFramePr>
              <a:graphicFrameLocks noChangeAspect="1"/>
            </wp:cNvGraphicFramePr>
            <a:graphic>
              <a:graphicData uri="http://schemas.openxmlformats.org/drawingml/2006/picture">
                <pic:pic>
                  <pic:nvPicPr>
                    <pic:cNvPr id="0" name="06_histogramme_erreurs.png"/>
                    <pic:cNvPicPr/>
                  </pic:nvPicPr>
                  <pic:blipFill>
                    <a:blip r:embed="rId15"/>
                    <a:stretch>
                      <a:fillRect/>
                    </a:stretch>
                  </pic:blipFill>
                  <pic:spPr>
                    <a:xfrm>
                      <a:off x="0" y="0"/>
                      <a:ext cx="5852160" cy="3456593"/>
                    </a:xfrm>
                    <a:prstGeom prst="rect"/>
                  </pic:spPr>
                </pic:pic>
              </a:graphicData>
            </a:graphic>
          </wp:inline>
        </w:drawing>
      </w:r>
    </w:p>
    <w:p>
      <w:pPr>
        <w:jc w:val="center"/>
      </w:pPr>
      <w:r>
        <w:rPr>
          <w:rFonts w:ascii="Aptos" w:hAnsi="Aptos"/>
          <w:i/>
          <w:color w:val="505050"/>
          <w:sz w:val="18"/>
        </w:rPr>
        <w:t>Figure 6 - Histogramme des erreurs de simulation.</w:t>
      </w:r>
    </w:p>
    <w:p>
      <w:r>
        <w:rPr>
          <w:rFonts w:ascii="Aptos" w:hAnsi="Aptos"/>
        </w:rPr>
        <w:t>Le modèle reproduit correctement l'évolution globale et les séquences de montée en température, mais il ne capture pas tous les effets locaux : ouverture des fenêtres, occupation réelle, orientation des logements, derniers étages, simple vitrage ou apports internes variables. Ces écarts sont attendus pour un modèle moyen de résidence.</w:t>
      </w:r>
    </w:p>
    <w:p>
      <w:pPr>
        <w:pStyle w:val="Heading1"/>
      </w:pPr>
      <w:r>
        <w:rPr>
          <w:rFonts w:ascii="Aptos" w:hAnsi="Aptos"/>
        </w:rPr>
        <w:t>4.8 Déphasage, inertie et refroidissement nocturne</w:t>
      </w:r>
    </w:p>
    <w:p>
      <w:r>
        <w:rPr>
          <w:rFonts w:ascii="Aptos" w:hAnsi="Aptos"/>
        </w:rPr>
        <w:t>La corrélation entre l'extérieur et l'intérieur donne deux lectures complémentaires. La corrélation brute est maximale avec un décalage d'environ 51 heures, ce qui traduit l'effet de mémoire thermique pendant les séquences chaudes. Après retrait du cycle moyen sur 24 heures, la réponse journalière est maximale avec un décalage d'environ 3 heures, avec une seconde zone de corrélation autour de 27 à 28 heures liée à la répétition du cycle solaire quotidien.</w:t>
      </w:r>
    </w:p>
    <w:p>
      <w:pPr>
        <w:jc w:val="center"/>
      </w:pPr>
      <w:r>
        <w:rPr>
          <w:rFonts w:ascii="Aptos" w:hAnsi="Aptos"/>
        </w:rPr>
        <w:drawing>
          <wp:inline xmlns:a="http://schemas.openxmlformats.org/drawingml/2006/main" xmlns:pic="http://schemas.openxmlformats.org/drawingml/2006/picture">
            <wp:extent cx="5852160" cy="2880389"/>
            <wp:docPr id="7" name="Picture 7"/>
            <wp:cNvGraphicFramePr>
              <a:graphicFrameLocks noChangeAspect="1"/>
            </wp:cNvGraphicFramePr>
            <a:graphic>
              <a:graphicData uri="http://schemas.openxmlformats.org/drawingml/2006/picture">
                <pic:pic>
                  <pic:nvPicPr>
                    <pic:cNvPr id="0" name="03_dephasage_correlation.png"/>
                    <pic:cNvPicPr/>
                  </pic:nvPicPr>
                  <pic:blipFill>
                    <a:blip r:embed="rId16"/>
                    <a:stretch>
                      <a:fillRect/>
                    </a:stretch>
                  </pic:blipFill>
                  <pic:spPr>
                    <a:xfrm>
                      <a:off x="0" y="0"/>
                      <a:ext cx="5852160" cy="2880389"/>
                    </a:xfrm>
                    <a:prstGeom prst="rect"/>
                  </pic:spPr>
                </pic:pic>
              </a:graphicData>
            </a:graphic>
          </wp:inline>
        </w:drawing>
      </w:r>
    </w:p>
    <w:p>
      <w:pPr>
        <w:jc w:val="center"/>
      </w:pPr>
      <w:r>
        <w:rPr>
          <w:rFonts w:ascii="Aptos" w:hAnsi="Aptos"/>
          <w:i/>
          <w:color w:val="505050"/>
          <w:sz w:val="18"/>
        </w:rPr>
        <w:t>Figure 7 - Corrélation extérieure/intérieure selon le décalage horaire.</w:t>
      </w:r>
    </w:p>
    <w:p>
      <w:pPr>
        <w:jc w:val="center"/>
      </w:pPr>
      <w:r>
        <w:rPr>
          <w:rFonts w:ascii="Aptos" w:hAnsi="Aptos"/>
        </w:rPr>
        <w:drawing>
          <wp:inline xmlns:a="http://schemas.openxmlformats.org/drawingml/2006/main" xmlns:pic="http://schemas.openxmlformats.org/drawingml/2006/picture">
            <wp:extent cx="5852160" cy="4837271"/>
            <wp:docPr id="8" name="Picture 8"/>
            <wp:cNvGraphicFramePr>
              <a:graphicFrameLocks noChangeAspect="1"/>
            </wp:cNvGraphicFramePr>
            <a:graphic>
              <a:graphicData uri="http://schemas.openxmlformats.org/drawingml/2006/picture">
                <pic:pic>
                  <pic:nvPicPr>
                    <pic:cNvPr id="0" name="08_scatter_text_lag.png"/>
                    <pic:cNvPicPr/>
                  </pic:nvPicPr>
                  <pic:blipFill>
                    <a:blip r:embed="rId17"/>
                    <a:stretch>
                      <a:fillRect/>
                    </a:stretch>
                  </pic:blipFill>
                  <pic:spPr>
                    <a:xfrm>
                      <a:off x="0" y="0"/>
                      <a:ext cx="5852160" cy="4837271"/>
                    </a:xfrm>
                    <a:prstGeom prst="rect"/>
                  </pic:spPr>
                </pic:pic>
              </a:graphicData>
            </a:graphic>
          </wp:inline>
        </w:drawing>
      </w:r>
    </w:p>
    <w:p>
      <w:pPr>
        <w:jc w:val="center"/>
      </w:pPr>
      <w:r>
        <w:rPr>
          <w:rFonts w:ascii="Aptos" w:hAnsi="Aptos"/>
          <w:i/>
          <w:color w:val="505050"/>
          <w:sz w:val="18"/>
        </w:rPr>
        <w:t>Figure 8 - Relation entre température extérieure décalée et température intérieure moyenne.</w:t>
      </w:r>
    </w:p>
    <w:p>
      <w:r>
        <w:rPr>
          <w:rFonts w:ascii="Aptos" w:hAnsi="Aptos"/>
        </w:rPr>
        <w:t>Le refroidissement nocturne confirme cette inertie. Entre 20 h et 6 h, la température extérieure baisse en moyenne de 8,4 °C, alors que la température intérieure moyenne ne baisse que de 0,6 °C. Le bâtiment ne récupère donc qu'une faible partie de la fraîcheur extérieure disponible.</w:t>
      </w:r>
    </w:p>
    <w:p>
      <w:pPr>
        <w:jc w:val="center"/>
      </w:pPr>
      <w:r>
        <w:rPr>
          <w:rFonts w:ascii="Aptos" w:hAnsi="Aptos"/>
        </w:rPr>
        <w:drawing>
          <wp:inline xmlns:a="http://schemas.openxmlformats.org/drawingml/2006/main" xmlns:pic="http://schemas.openxmlformats.org/drawingml/2006/picture">
            <wp:extent cx="5852160" cy="2408553"/>
            <wp:docPr id="9" name="Picture 9"/>
            <wp:cNvGraphicFramePr>
              <a:graphicFrameLocks noChangeAspect="1"/>
            </wp:cNvGraphicFramePr>
            <a:graphic>
              <a:graphicData uri="http://schemas.openxmlformats.org/drawingml/2006/picture">
                <pic:pic>
                  <pic:nvPicPr>
                    <pic:cNvPr id="0" name="07_refroidissement_nocturne.png"/>
                    <pic:cNvPicPr/>
                  </pic:nvPicPr>
                  <pic:blipFill>
                    <a:blip r:embed="rId18"/>
                    <a:stretch>
                      <a:fillRect/>
                    </a:stretch>
                  </pic:blipFill>
                  <pic:spPr>
                    <a:xfrm>
                      <a:off x="0" y="0"/>
                      <a:ext cx="5852160" cy="2408553"/>
                    </a:xfrm>
                    <a:prstGeom prst="rect"/>
                  </pic:spPr>
                </pic:pic>
              </a:graphicData>
            </a:graphic>
          </wp:inline>
        </w:drawing>
      </w:r>
    </w:p>
    <w:p>
      <w:pPr>
        <w:jc w:val="center"/>
      </w:pPr>
      <w:r>
        <w:rPr>
          <w:rFonts w:ascii="Aptos" w:hAnsi="Aptos"/>
          <w:i/>
          <w:color w:val="505050"/>
          <w:sz w:val="18"/>
        </w:rPr>
        <w:t>Figure 9 - Refroidissement nocturne extérieur disponible et baisse intérieure réellement observée.</w:t>
      </w:r>
    </w:p>
    <w:p>
      <w:pPr>
        <w:pStyle w:val="Heading1"/>
      </w:pPr>
      <w:r>
        <w:rPr>
          <w:rFonts w:ascii="Aptos" w:hAnsi="Aptos"/>
        </w:rPr>
        <w:t>4.9 Passage des coefficients apparents vers des grandeurs physiques</w:t>
      </w:r>
    </w:p>
    <w:p>
      <w:r>
        <w:rPr>
          <w:rFonts w:ascii="Aptos" w:hAnsi="Aptos"/>
        </w:rPr>
        <w:t>Les températures seules ne permettent pas d'identifier de façon unique une capacité thermique absolue et un coefficient UA absolu. En revanche, elles identifient très bien le rapport UA/C, c'est-à-dire la constante dynamique. Pour convertir ce rapport en kW/K et en MWh/K, une capacité thermique surfacique effective doit être retenue.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Pr>
                <w:sz w:val="17"/>
              </w:rPr>
            </w:r>
            <w:r>
              <w:rPr>
                <w:b/>
                <w:sz w:val="17"/>
              </w:rPr>
              <w:t>Capacité surfacique effective</w:t>
            </w:r>
          </w:p>
        </w:tc>
        <w:tc>
          <w:tcPr>
            <w:tcW w:type="dxa" w:w="2045"/>
            <w:vAlign w:val="center"/>
            <w:shd w:fill="D9EAF7"/>
          </w:tcPr>
          <w:p>
            <w:r>
              <w:rPr>
                <w:sz w:val="17"/>
              </w:rPr>
            </w:r>
            <w:r>
              <w:rPr>
                <w:b/>
                <w:sz w:val="17"/>
              </w:rPr>
              <w:t>Capacité totale C</w:t>
            </w:r>
          </w:p>
        </w:tc>
        <w:tc>
          <w:tcPr>
            <w:tcW w:type="dxa" w:w="2045"/>
            <w:vAlign w:val="center"/>
            <w:shd w:fill="D9EAF7"/>
          </w:tcPr>
          <w:p>
            <w:r>
              <w:rPr>
                <w:sz w:val="17"/>
              </w:rPr>
            </w:r>
            <w:r>
              <w:rPr>
                <w:b/>
                <w:sz w:val="17"/>
              </w:rPr>
              <w:t>UA apparent</w:t>
            </w:r>
          </w:p>
        </w:tc>
        <w:tc>
          <w:tcPr>
            <w:tcW w:type="dxa" w:w="2045"/>
            <w:vAlign w:val="center"/>
            <w:shd w:fill="D9EAF7"/>
          </w:tcPr>
          <w:p>
            <w:r>
              <w:rPr>
                <w:sz w:val="17"/>
              </w:rPr>
            </w:r>
            <w:r>
              <w:rPr>
                <w:b/>
                <w:sz w:val="17"/>
              </w:rPr>
              <w:t>Sensibilité solaire</w:t>
            </w:r>
          </w:p>
        </w:tc>
        <w:tc>
          <w:tcPr>
            <w:tcW w:type="dxa" w:w="2045"/>
            <w:vAlign w:val="center"/>
            <w:shd w:fill="D9EAF7"/>
          </w:tcPr>
          <w:p>
            <w:r>
              <w:rPr>
                <w:sz w:val="17"/>
              </w:rPr>
            </w:r>
            <w:r>
              <w:rPr>
                <w:b/>
                <w:sz w:val="17"/>
              </w:rPr>
              <w:t>Terme résiduel équivalent</w:t>
            </w:r>
          </w:p>
        </w:tc>
      </w:tr>
      <w:tr>
        <w:tc>
          <w:tcPr>
            <w:tcW w:type="dxa" w:w="2045"/>
            <w:vAlign w:val="center"/>
          </w:tcPr>
          <w:p>
            <w:r>
              <w:rPr>
                <w:sz w:val="17"/>
              </w:rPr>
            </w:r>
            <w:r>
              <w:rPr>
                <w:b w:val="0"/>
                <w:sz w:val="17"/>
              </w:rPr>
              <w:t>80 Wh/m².K</w:t>
            </w:r>
          </w:p>
        </w:tc>
        <w:tc>
          <w:tcPr>
            <w:tcW w:type="dxa" w:w="2045"/>
            <w:vAlign w:val="center"/>
          </w:tcPr>
          <w:p>
            <w:r>
              <w:rPr>
                <w:sz w:val="17"/>
              </w:rPr>
            </w:r>
            <w:r>
              <w:rPr>
                <w:b w:val="0"/>
                <w:sz w:val="17"/>
              </w:rPr>
              <w:t>2,82 MWh/K</w:t>
            </w:r>
          </w:p>
        </w:tc>
        <w:tc>
          <w:tcPr>
            <w:tcW w:type="dxa" w:w="2045"/>
            <w:vAlign w:val="center"/>
          </w:tcPr>
          <w:p>
            <w:r>
              <w:rPr>
                <w:sz w:val="17"/>
              </w:rPr>
            </w:r>
            <w:r>
              <w:rPr>
                <w:b w:val="0"/>
                <w:sz w:val="17"/>
              </w:rPr>
              <w:t>8,5 kW/K</w:t>
            </w:r>
          </w:p>
        </w:tc>
        <w:tc>
          <w:tcPr>
            <w:tcW w:type="dxa" w:w="2045"/>
            <w:vAlign w:val="center"/>
          </w:tcPr>
          <w:p>
            <w:r>
              <w:rPr>
                <w:sz w:val="17"/>
              </w:rPr>
            </w:r>
            <w:r>
              <w:rPr>
                <w:b w:val="0"/>
                <w:sz w:val="17"/>
              </w:rPr>
              <w:t>0,355 kW par W/m²</w:t>
            </w:r>
          </w:p>
        </w:tc>
        <w:tc>
          <w:tcPr>
            <w:tcW w:type="dxa" w:w="2045"/>
            <w:vAlign w:val="center"/>
          </w:tcPr>
          <w:p>
            <w:r>
              <w:rPr>
                <w:sz w:val="17"/>
              </w:rPr>
            </w:r>
            <w:r>
              <w:rPr>
                <w:b w:val="0"/>
                <w:sz w:val="17"/>
              </w:rPr>
              <w:t>-52 kW</w:t>
            </w:r>
          </w:p>
        </w:tc>
      </w:tr>
      <w:tr>
        <w:tc>
          <w:tcPr>
            <w:tcW w:type="dxa" w:w="2045"/>
            <w:vAlign w:val="center"/>
          </w:tcPr>
          <w:p>
            <w:r>
              <w:rPr>
                <w:sz w:val="17"/>
              </w:rPr>
            </w:r>
            <w:r>
              <w:rPr>
                <w:b w:val="0"/>
                <w:sz w:val="17"/>
              </w:rPr>
              <w:t>120 Wh/m².K</w:t>
            </w:r>
          </w:p>
        </w:tc>
        <w:tc>
          <w:tcPr>
            <w:tcW w:type="dxa" w:w="2045"/>
            <w:vAlign w:val="center"/>
          </w:tcPr>
          <w:p>
            <w:r>
              <w:rPr>
                <w:sz w:val="17"/>
              </w:rPr>
            </w:r>
            <w:r>
              <w:rPr>
                <w:b w:val="0"/>
                <w:sz w:val="17"/>
              </w:rPr>
              <w:t>4,22 MWh/K</w:t>
            </w:r>
          </w:p>
        </w:tc>
        <w:tc>
          <w:tcPr>
            <w:tcW w:type="dxa" w:w="2045"/>
            <w:vAlign w:val="center"/>
          </w:tcPr>
          <w:p>
            <w:r>
              <w:rPr>
                <w:sz w:val="17"/>
              </w:rPr>
            </w:r>
            <w:r>
              <w:rPr>
                <w:b w:val="0"/>
                <w:sz w:val="17"/>
              </w:rPr>
              <w:t>12,8 kW/K</w:t>
            </w:r>
          </w:p>
        </w:tc>
        <w:tc>
          <w:tcPr>
            <w:tcW w:type="dxa" w:w="2045"/>
            <w:vAlign w:val="center"/>
          </w:tcPr>
          <w:p>
            <w:r>
              <w:rPr>
                <w:sz w:val="17"/>
              </w:rPr>
            </w:r>
            <w:r>
              <w:rPr>
                <w:b w:val="0"/>
                <w:sz w:val="17"/>
              </w:rPr>
              <w:t>0,532 kW par W/m²</w:t>
            </w:r>
          </w:p>
        </w:tc>
        <w:tc>
          <w:tcPr>
            <w:tcW w:type="dxa" w:w="2045"/>
            <w:vAlign w:val="center"/>
          </w:tcPr>
          <w:p>
            <w:r>
              <w:rPr>
                <w:sz w:val="17"/>
              </w:rPr>
            </w:r>
            <w:r>
              <w:rPr>
                <w:b w:val="0"/>
                <w:sz w:val="17"/>
              </w:rPr>
              <w:t>-77 kW</w:t>
            </w:r>
          </w:p>
        </w:tc>
      </w:tr>
      <w:tr>
        <w:tc>
          <w:tcPr>
            <w:tcW w:type="dxa" w:w="2045"/>
            <w:vAlign w:val="center"/>
          </w:tcPr>
          <w:p>
            <w:r>
              <w:rPr>
                <w:sz w:val="17"/>
              </w:rPr>
            </w:r>
            <w:r>
              <w:rPr>
                <w:b w:val="0"/>
                <w:sz w:val="17"/>
              </w:rPr>
              <w:t>165 Wh/m².K</w:t>
            </w:r>
          </w:p>
        </w:tc>
        <w:tc>
          <w:tcPr>
            <w:tcW w:type="dxa" w:w="2045"/>
            <w:vAlign w:val="center"/>
          </w:tcPr>
          <w:p>
            <w:r>
              <w:rPr>
                <w:sz w:val="17"/>
              </w:rPr>
            </w:r>
            <w:r>
              <w:rPr>
                <w:b w:val="0"/>
                <w:sz w:val="17"/>
              </w:rPr>
              <w:t>5,81 MWh/K</w:t>
            </w:r>
          </w:p>
        </w:tc>
        <w:tc>
          <w:tcPr>
            <w:tcW w:type="dxa" w:w="2045"/>
            <w:vAlign w:val="center"/>
          </w:tcPr>
          <w:p>
            <w:r>
              <w:rPr>
                <w:sz w:val="17"/>
              </w:rPr>
            </w:r>
            <w:r>
              <w:rPr>
                <w:b w:val="0"/>
                <w:sz w:val="17"/>
              </w:rPr>
              <w:t>17,6 kW/K</w:t>
            </w:r>
          </w:p>
        </w:tc>
        <w:tc>
          <w:tcPr>
            <w:tcW w:type="dxa" w:w="2045"/>
            <w:vAlign w:val="center"/>
          </w:tcPr>
          <w:p>
            <w:r>
              <w:rPr>
                <w:sz w:val="17"/>
              </w:rPr>
            </w:r>
            <w:r>
              <w:rPr>
                <w:b w:val="0"/>
                <w:sz w:val="17"/>
              </w:rPr>
              <w:t>0,732 kW par W/m²</w:t>
            </w:r>
          </w:p>
        </w:tc>
        <w:tc>
          <w:tcPr>
            <w:tcW w:type="dxa" w:w="2045"/>
            <w:vAlign w:val="center"/>
          </w:tcPr>
          <w:p>
            <w:r>
              <w:rPr>
                <w:sz w:val="17"/>
              </w:rPr>
            </w:r>
            <w:r>
              <w:rPr>
                <w:b w:val="0"/>
                <w:sz w:val="17"/>
              </w:rPr>
              <w:t>-106 kW</w:t>
            </w:r>
          </w:p>
        </w:tc>
      </w:tr>
    </w:tbl>
    <w:p/>
    <w:p>
      <w:r>
        <w:rPr>
          <w:rFonts w:ascii="Aptos" w:hAnsi="Aptos"/>
        </w:rPr>
        <w:t>La valeur de référence retenue pour les simulations ultérieures est 120 Wh/m².K, correspondant à une capacité thermique totale apparente de 4,22 MWh/K. Avec cette hypothèse, le coefficient global apparent vaut environ 12,8 kW/K. La plage 80 à 165 Wh/m².K sera conservée dans les analyses de sensibilité.</w:t>
      </w:r>
    </w:p>
    <w:p>
      <w:pPr>
        <w:pStyle w:val="Heading1"/>
      </w:pPr>
      <w:r>
        <w:rPr>
          <w:rFonts w:ascii="Aptos" w:hAnsi="Aptos"/>
        </w:rPr>
        <w:t>4.10 Domaine de validité et limites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Pr>
                <w:sz w:val="17"/>
              </w:rPr>
            </w:r>
            <w:r>
              <w:rPr>
                <w:b/>
                <w:sz w:val="17"/>
              </w:rPr>
              <w:t>Élément</w:t>
            </w:r>
          </w:p>
        </w:tc>
        <w:tc>
          <w:tcPr>
            <w:tcW w:type="dxa" w:w="3408"/>
            <w:vAlign w:val="center"/>
            <w:shd w:fill="D9EAF7"/>
          </w:tcPr>
          <w:p>
            <w:r>
              <w:rPr>
                <w:sz w:val="17"/>
              </w:rPr>
            </w:r>
            <w:r>
              <w:rPr>
                <w:b/>
                <w:sz w:val="17"/>
              </w:rPr>
              <w:t>Domaine couvert</w:t>
            </w:r>
          </w:p>
        </w:tc>
        <w:tc>
          <w:tcPr>
            <w:tcW w:type="dxa" w:w="3408"/>
            <w:vAlign w:val="center"/>
            <w:shd w:fill="D9EAF7"/>
          </w:tcPr>
          <w:p>
            <w:r>
              <w:rPr>
                <w:sz w:val="17"/>
              </w:rPr>
            </w:r>
            <w:r>
              <w:rPr>
                <w:b/>
                <w:sz w:val="17"/>
              </w:rPr>
              <w:t>Limite associée</w:t>
            </w:r>
          </w:p>
        </w:tc>
      </w:tr>
      <w:tr>
        <w:tc>
          <w:tcPr>
            <w:tcW w:type="dxa" w:w="3408"/>
            <w:vAlign w:val="center"/>
          </w:tcPr>
          <w:p>
            <w:r>
              <w:rPr>
                <w:sz w:val="17"/>
              </w:rPr>
            </w:r>
            <w:r>
              <w:rPr>
                <w:b w:val="0"/>
                <w:sz w:val="17"/>
              </w:rPr>
              <w:t>Période</w:t>
            </w:r>
          </w:p>
        </w:tc>
        <w:tc>
          <w:tcPr>
            <w:tcW w:type="dxa" w:w="3408"/>
            <w:vAlign w:val="center"/>
          </w:tcPr>
          <w:p>
            <w:r>
              <w:rPr>
                <w:sz w:val="17"/>
              </w:rPr>
            </w:r>
            <w:r>
              <w:rPr>
                <w:b w:val="0"/>
                <w:sz w:val="17"/>
              </w:rPr>
              <w:t>22 mai au 30 juin 2026</w:t>
            </w:r>
          </w:p>
        </w:tc>
        <w:tc>
          <w:tcPr>
            <w:tcW w:type="dxa" w:w="3408"/>
            <w:vAlign w:val="center"/>
          </w:tcPr>
          <w:p>
            <w:r>
              <w:rPr>
                <w:sz w:val="17"/>
              </w:rPr>
            </w:r>
            <w:r>
              <w:rPr>
                <w:b w:val="0"/>
                <w:sz w:val="17"/>
              </w:rPr>
              <w:t>Ne couvre pas toute une saison estivale complète</w:t>
            </w:r>
          </w:p>
        </w:tc>
      </w:tr>
      <w:tr>
        <w:tc>
          <w:tcPr>
            <w:tcW w:type="dxa" w:w="3408"/>
            <w:vAlign w:val="center"/>
          </w:tcPr>
          <w:p>
            <w:r>
              <w:rPr>
                <w:sz w:val="17"/>
              </w:rPr>
            </w:r>
            <w:r>
              <w:rPr>
                <w:b w:val="0"/>
                <w:sz w:val="17"/>
              </w:rPr>
              <w:t>Pas de temps</w:t>
            </w:r>
          </w:p>
        </w:tc>
        <w:tc>
          <w:tcPr>
            <w:tcW w:type="dxa" w:w="3408"/>
            <w:vAlign w:val="center"/>
          </w:tcPr>
          <w:p>
            <w:r>
              <w:rPr>
                <w:sz w:val="17"/>
              </w:rPr>
            </w:r>
            <w:r>
              <w:rPr>
                <w:b w:val="0"/>
                <w:sz w:val="17"/>
              </w:rPr>
              <w:t>1 heure</w:t>
            </w:r>
          </w:p>
        </w:tc>
        <w:tc>
          <w:tcPr>
            <w:tcW w:type="dxa" w:w="3408"/>
            <w:vAlign w:val="center"/>
          </w:tcPr>
          <w:p>
            <w:r>
              <w:rPr>
                <w:sz w:val="17"/>
              </w:rPr>
            </w:r>
            <w:r>
              <w:rPr>
                <w:b w:val="0"/>
                <w:sz w:val="17"/>
              </w:rPr>
              <w:t>Ne décrit pas les phénomènes de quelques minutes</w:t>
            </w:r>
          </w:p>
        </w:tc>
      </w:tr>
      <w:tr>
        <w:tc>
          <w:tcPr>
            <w:tcW w:type="dxa" w:w="3408"/>
            <w:vAlign w:val="center"/>
          </w:tcPr>
          <w:p>
            <w:r>
              <w:rPr>
                <w:sz w:val="17"/>
              </w:rPr>
            </w:r>
            <w:r>
              <w:rPr>
                <w:b w:val="0"/>
                <w:sz w:val="17"/>
              </w:rPr>
              <w:t>Grandeur intérieure</w:t>
            </w:r>
          </w:p>
        </w:tc>
        <w:tc>
          <w:tcPr>
            <w:tcW w:type="dxa" w:w="3408"/>
            <w:vAlign w:val="center"/>
          </w:tcPr>
          <w:p>
            <w:r>
              <w:rPr>
                <w:sz w:val="17"/>
              </w:rPr>
            </w:r>
            <w:r>
              <w:rPr>
                <w:b w:val="0"/>
                <w:sz w:val="17"/>
              </w:rPr>
              <w:t>Moyenne AB/CD</w:t>
            </w:r>
          </w:p>
        </w:tc>
        <w:tc>
          <w:tcPr>
            <w:tcW w:type="dxa" w:w="3408"/>
            <w:vAlign w:val="center"/>
          </w:tcPr>
          <w:p>
            <w:r>
              <w:rPr>
                <w:sz w:val="17"/>
              </w:rPr>
            </w:r>
            <w:r>
              <w:rPr>
                <w:b w:val="0"/>
                <w:sz w:val="17"/>
              </w:rPr>
              <w:t>Ne décrit pas chaque logement</w:t>
            </w:r>
          </w:p>
        </w:tc>
      </w:tr>
      <w:tr>
        <w:tc>
          <w:tcPr>
            <w:tcW w:type="dxa" w:w="3408"/>
            <w:vAlign w:val="center"/>
          </w:tcPr>
          <w:p>
            <w:r>
              <w:rPr>
                <w:sz w:val="17"/>
              </w:rPr>
            </w:r>
            <w:r>
              <w:rPr>
                <w:b w:val="0"/>
                <w:sz w:val="17"/>
              </w:rPr>
              <w:t>Rayonnement</w:t>
            </w:r>
          </w:p>
        </w:tc>
        <w:tc>
          <w:tcPr>
            <w:tcW w:type="dxa" w:w="3408"/>
            <w:vAlign w:val="center"/>
          </w:tcPr>
          <w:p>
            <w:r>
              <w:rPr>
                <w:sz w:val="17"/>
              </w:rPr>
            </w:r>
            <w:r>
              <w:rPr>
                <w:b w:val="0"/>
                <w:sz w:val="17"/>
              </w:rPr>
              <w:t>Direct normal</w:t>
            </w:r>
          </w:p>
        </w:tc>
        <w:tc>
          <w:tcPr>
            <w:tcW w:type="dxa" w:w="3408"/>
            <w:vAlign w:val="center"/>
          </w:tcPr>
          <w:p>
            <w:r>
              <w:rPr>
                <w:sz w:val="17"/>
              </w:rPr>
            </w:r>
            <w:r>
              <w:rPr>
                <w:b w:val="0"/>
                <w:sz w:val="17"/>
              </w:rPr>
              <w:t>Pas de projection par façade et orientation</w:t>
            </w:r>
          </w:p>
        </w:tc>
      </w:tr>
      <w:tr>
        <w:tc>
          <w:tcPr>
            <w:tcW w:type="dxa" w:w="3408"/>
            <w:vAlign w:val="center"/>
          </w:tcPr>
          <w:p>
            <w:r>
              <w:rPr>
                <w:sz w:val="17"/>
              </w:rPr>
            </w:r>
            <w:r>
              <w:rPr>
                <w:b w:val="0"/>
                <w:sz w:val="17"/>
              </w:rPr>
              <w:t>Ventilation</w:t>
            </w:r>
          </w:p>
        </w:tc>
        <w:tc>
          <w:tcPr>
            <w:tcW w:type="dxa" w:w="3408"/>
            <w:vAlign w:val="center"/>
          </w:tcPr>
          <w:p>
            <w:r>
              <w:rPr>
                <w:sz w:val="17"/>
              </w:rPr>
            </w:r>
            <w:r>
              <w:rPr>
                <w:b w:val="0"/>
                <w:sz w:val="17"/>
              </w:rPr>
              <w:t>Terme résiduel moyen</w:t>
            </w:r>
          </w:p>
        </w:tc>
        <w:tc>
          <w:tcPr>
            <w:tcW w:type="dxa" w:w="3408"/>
            <w:vAlign w:val="center"/>
          </w:tcPr>
          <w:p>
            <w:r>
              <w:rPr>
                <w:sz w:val="17"/>
              </w:rPr>
            </w:r>
            <w:r>
              <w:rPr>
                <w:b w:val="0"/>
                <w:sz w:val="17"/>
              </w:rPr>
              <w:t>Pas de mesure directe ouverture de fenêtres</w:t>
            </w:r>
          </w:p>
        </w:tc>
      </w:tr>
      <w:tr>
        <w:tc>
          <w:tcPr>
            <w:tcW w:type="dxa" w:w="3408"/>
            <w:vAlign w:val="center"/>
          </w:tcPr>
          <w:p>
            <w:r>
              <w:rPr>
                <w:sz w:val="17"/>
              </w:rPr>
            </w:r>
            <w:r>
              <w:rPr>
                <w:b w:val="0"/>
                <w:sz w:val="17"/>
              </w:rPr>
              <w:t>Vitrage</w:t>
            </w:r>
          </w:p>
        </w:tc>
        <w:tc>
          <w:tcPr>
            <w:tcW w:type="dxa" w:w="3408"/>
            <w:vAlign w:val="center"/>
          </w:tcPr>
          <w:p>
            <w:r>
              <w:rPr>
                <w:sz w:val="17"/>
              </w:rPr>
            </w:r>
            <w:r>
              <w:rPr>
                <w:b w:val="0"/>
                <w:sz w:val="17"/>
              </w:rPr>
              <w:t>Non utilisé en calibration</w:t>
            </w:r>
          </w:p>
        </w:tc>
        <w:tc>
          <w:tcPr>
            <w:tcW w:type="dxa" w:w="3408"/>
            <w:vAlign w:val="center"/>
          </w:tcPr>
          <w:p>
            <w:r>
              <w:rPr>
                <w:sz w:val="17"/>
              </w:rPr>
            </w:r>
            <w:r>
              <w:rPr>
                <w:b w:val="0"/>
                <w:sz w:val="17"/>
              </w:rPr>
              <w:t>Introduit ensuite comme hypothèse de scénario</w:t>
            </w:r>
          </w:p>
        </w:tc>
      </w:tr>
      <w:tr>
        <w:tc>
          <w:tcPr>
            <w:tcW w:type="dxa" w:w="3408"/>
            <w:vAlign w:val="center"/>
          </w:tcPr>
          <w:p>
            <w:r>
              <w:rPr>
                <w:sz w:val="17"/>
              </w:rPr>
            </w:r>
            <w:r>
              <w:rPr>
                <w:b w:val="0"/>
                <w:sz w:val="17"/>
              </w:rPr>
              <w:t>Étage/orientation</w:t>
            </w:r>
          </w:p>
        </w:tc>
        <w:tc>
          <w:tcPr>
            <w:tcW w:type="dxa" w:w="3408"/>
            <w:vAlign w:val="center"/>
          </w:tcPr>
          <w:p>
            <w:r>
              <w:rPr>
                <w:sz w:val="17"/>
              </w:rPr>
            </w:r>
            <w:r>
              <w:rPr>
                <w:b w:val="0"/>
                <w:sz w:val="17"/>
              </w:rPr>
              <w:t>Non distingué</w:t>
            </w:r>
          </w:p>
        </w:tc>
        <w:tc>
          <w:tcPr>
            <w:tcW w:type="dxa" w:w="3408"/>
            <w:vAlign w:val="center"/>
          </w:tcPr>
          <w:p>
            <w:r>
              <w:rPr>
                <w:sz w:val="17"/>
              </w:rPr>
            </w:r>
            <w:r>
              <w:rPr>
                <w:b w:val="0"/>
                <w:sz w:val="17"/>
              </w:rPr>
              <w:t>À traiter par facteurs de sensibilité</w:t>
            </w:r>
          </w:p>
        </w:tc>
      </w:tr>
    </w:tbl>
    <w:p/>
    <w:p>
      <w:r>
        <w:rPr>
          <w:rFonts w:ascii="Aptos" w:hAnsi="Aptos"/>
        </w:rPr>
        <w:t>La limite principale est l'absence de mesures par logement. Le modèle ne doit donc pas être interprété comme la température d'un appartement donné, mais comme une moyenne dynamique de résidence. Les futurs calculs de chambres à 24 °C, de logements simple vitrage et de marges 2/2,5/3 MW devront appliquer des facteurs correctifs explicites.</w:t>
      </w:r>
    </w:p>
    <w:p>
      <w:pPr>
        <w:pStyle w:val="Heading1"/>
      </w:pPr>
      <w:r>
        <w:rPr>
          <w:rFonts w:ascii="Aptos" w:hAnsi="Aptos"/>
        </w:rPr>
        <w:t>Conclusion de la partie 1</w:t>
      </w:r>
    </w:p>
    <w:p>
      <w:r>
        <w:rPr>
          <w:rFonts w:ascii="Aptos" w:hAnsi="Aptos"/>
        </w:rPr>
        <w:t>L'exploitation du CSV permet d'établir une base de calcul robuste. Sur 960 heures après arrêt du chauffage collectif, la résidence présente une température intérieure moyenne de 26,21 °C, soit 3,10 °C au-dessus de l'extérieur. Le modèle RC équivalent calibré identifie une constante de temps d'environ 13,7 jours et un coefficient de couplage apparent a = 0,003035 h⁻¹.</w:t>
      </w:r>
    </w:p>
    <w:p>
      <w:r>
        <w:rPr>
          <w:rFonts w:ascii="Aptos" w:hAnsi="Aptos"/>
        </w:rPr>
        <w:t>Cette inertie explique que le bâtiment reste chaud la nuit et accumule la chaleur pendant les séquences caniculaires. La partie suivante pourra donc s'appuyer sur ce modèle pour simuler les températures sans climatisation, la projection 2050, les consignes différenciées 26 °C séjour / 24 °C chambres, et les marges offertes par 2 MW, 2,5 MW et 3 MW.</w:t>
      </w:r>
    </w:p>
    <w:p>
      <w:r>
        <w:rPr>
          <w:rFonts w:ascii="Aptos" w:hAnsi="Aptos"/>
        </w:rPr>
        <w:br w:type="page"/>
      </w:r>
    </w:p>
    <w:p>
      <w:pPr>
        <w:pStyle w:val="Heading1"/>
      </w:pPr>
      <w:r>
        <w:rPr>
          <w:rFonts w:ascii="Aptos" w:hAnsi="Aptos"/>
        </w:rPr>
        <w:t>Annexe A - Détail de la méthode de calcul</w:t>
      </w:r>
    </w:p>
    <w:p>
      <w:r>
        <w:rPr>
          <w:rFonts w:ascii="Aptos" w:hAnsi="Aptos"/>
        </w:rPr>
        <w:t>1. Lecture du CSV et conversion des colonnes numériques. 2. Exclusion des lignes antérieures au 22 mai 2026. 3. Construction de la température intérieure moyenne AB/CD. 4. Calcul des statistiques, des durées de dépassement et des degrés-heures. 5. Analyse des corrélations croisées avec décalages horaires. 6. Identification du modèle discret par moindres carrés. 7. Conversion des coefficients dynamiques en grandeurs physiques avec une hypothèse de capacité surfacique effective.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Pr>
                <w:sz w:val="17"/>
              </w:rPr>
            </w:r>
            <w:r>
              <w:rPr>
                <w:b/>
                <w:sz w:val="17"/>
              </w:rPr>
              <w:t>Grandeur calculée</w:t>
            </w:r>
          </w:p>
        </w:tc>
        <w:tc>
          <w:tcPr>
            <w:tcW w:type="dxa" w:w="5112"/>
            <w:vAlign w:val="center"/>
            <w:shd w:fill="D9EAF7"/>
          </w:tcPr>
          <w:p>
            <w:r>
              <w:rPr>
                <w:sz w:val="17"/>
              </w:rPr>
            </w:r>
            <w:r>
              <w:rPr>
                <w:b/>
                <w:sz w:val="17"/>
              </w:rPr>
              <w:t>Formule utilisée</w:t>
            </w:r>
          </w:p>
        </w:tc>
      </w:tr>
      <w:tr>
        <w:tc>
          <w:tcPr>
            <w:tcW w:type="dxa" w:w="5112"/>
            <w:vAlign w:val="center"/>
          </w:tcPr>
          <w:p>
            <w:r>
              <w:rPr>
                <w:sz w:val="17"/>
              </w:rPr>
            </w:r>
            <w:r>
              <w:rPr>
                <w:b w:val="0"/>
                <w:sz w:val="17"/>
              </w:rPr>
              <w:t>Température intérieure moyenne</w:t>
            </w:r>
          </w:p>
        </w:tc>
        <w:tc>
          <w:tcPr>
            <w:tcW w:type="dxa" w:w="5112"/>
            <w:vAlign w:val="center"/>
          </w:tcPr>
          <w:p>
            <w:r>
              <w:rPr>
                <w:sz w:val="17"/>
              </w:rPr>
            </w:r>
            <w:r>
              <w:rPr>
                <w:b w:val="0"/>
                <w:sz w:val="17"/>
              </w:rPr>
              <w:t>Tint = (Tint_AB + Tint_CD) / 2</w:t>
            </w:r>
          </w:p>
        </w:tc>
      </w:tr>
      <w:tr>
        <w:tc>
          <w:tcPr>
            <w:tcW w:type="dxa" w:w="5112"/>
            <w:vAlign w:val="center"/>
          </w:tcPr>
          <w:p>
            <w:r>
              <w:rPr>
                <w:sz w:val="17"/>
              </w:rPr>
            </w:r>
            <w:r>
              <w:rPr>
                <w:b w:val="0"/>
                <w:sz w:val="17"/>
              </w:rPr>
              <w:t>Degrés-heures au-dessus d’un seuil S</w:t>
            </w:r>
          </w:p>
        </w:tc>
        <w:tc>
          <w:tcPr>
            <w:tcW w:type="dxa" w:w="5112"/>
            <w:vAlign w:val="center"/>
          </w:tcPr>
          <w:p>
            <w:r>
              <w:rPr>
                <w:sz w:val="17"/>
              </w:rPr>
            </w:r>
            <w:r>
              <w:rPr>
                <w:b w:val="0"/>
                <w:sz w:val="17"/>
              </w:rPr>
              <w:t>Somme max(Tint - S, 0) sur les heures</w:t>
            </w:r>
          </w:p>
        </w:tc>
      </w:tr>
      <w:tr>
        <w:tc>
          <w:tcPr>
            <w:tcW w:type="dxa" w:w="5112"/>
            <w:vAlign w:val="center"/>
          </w:tcPr>
          <w:p>
            <w:r>
              <w:rPr>
                <w:sz w:val="17"/>
              </w:rPr>
            </w:r>
            <w:r>
              <w:rPr>
                <w:b w:val="0"/>
                <w:sz w:val="17"/>
              </w:rPr>
              <w:t>Constante de temps équivalente</w:t>
            </w:r>
          </w:p>
        </w:tc>
        <w:tc>
          <w:tcPr>
            <w:tcW w:type="dxa" w:w="5112"/>
            <w:vAlign w:val="center"/>
          </w:tcPr>
          <w:p>
            <w:r>
              <w:rPr>
                <w:sz w:val="17"/>
              </w:rPr>
            </w:r>
            <w:r>
              <w:rPr>
                <w:b w:val="0"/>
                <w:sz w:val="17"/>
              </w:rPr>
              <w:t>tau = 1 / a</w:t>
            </w:r>
          </w:p>
        </w:tc>
      </w:tr>
      <w:tr>
        <w:tc>
          <w:tcPr>
            <w:tcW w:type="dxa" w:w="5112"/>
            <w:vAlign w:val="center"/>
          </w:tcPr>
          <w:p>
            <w:r>
              <w:rPr>
                <w:sz w:val="17"/>
              </w:rPr>
            </w:r>
            <w:r>
              <w:rPr>
                <w:b w:val="0"/>
                <w:sz w:val="17"/>
              </w:rPr>
              <w:t>Capacité totale</w:t>
            </w:r>
          </w:p>
        </w:tc>
        <w:tc>
          <w:tcPr>
            <w:tcW w:type="dxa" w:w="5112"/>
            <w:vAlign w:val="center"/>
          </w:tcPr>
          <w:p>
            <w:r>
              <w:rPr>
                <w:sz w:val="17"/>
              </w:rPr>
            </w:r>
            <w:r>
              <w:rPr>
                <w:b w:val="0"/>
                <w:sz w:val="17"/>
              </w:rPr>
              <w:t>C = Surface × capacité surfacique</w:t>
            </w:r>
          </w:p>
        </w:tc>
      </w:tr>
      <w:tr>
        <w:tc>
          <w:tcPr>
            <w:tcW w:type="dxa" w:w="5112"/>
            <w:vAlign w:val="center"/>
          </w:tcPr>
          <w:p>
            <w:r>
              <w:rPr>
                <w:sz w:val="17"/>
              </w:rPr>
            </w:r>
            <w:r>
              <w:rPr>
                <w:b w:val="0"/>
                <w:sz w:val="17"/>
              </w:rPr>
              <w:t>UA apparent</w:t>
            </w:r>
          </w:p>
        </w:tc>
        <w:tc>
          <w:tcPr>
            <w:tcW w:type="dxa" w:w="5112"/>
            <w:vAlign w:val="center"/>
          </w:tcPr>
          <w:p>
            <w:r>
              <w:rPr>
                <w:sz w:val="17"/>
              </w:rPr>
            </w:r>
            <w:r>
              <w:rPr>
                <w:b w:val="0"/>
                <w:sz w:val="17"/>
              </w:rPr>
              <w:t>UA = a × C</w:t>
            </w:r>
          </w:p>
        </w:tc>
      </w:tr>
      <w:tr>
        <w:tc>
          <w:tcPr>
            <w:tcW w:type="dxa" w:w="5112"/>
            <w:vAlign w:val="center"/>
          </w:tcPr>
          <w:p>
            <w:r>
              <w:rPr>
                <w:sz w:val="17"/>
              </w:rPr>
            </w:r>
            <w:r>
              <w:rPr>
                <w:b w:val="0"/>
                <w:sz w:val="17"/>
              </w:rPr>
              <w:t>Puissance solaire équivalente</w:t>
            </w:r>
          </w:p>
        </w:tc>
        <w:tc>
          <w:tcPr>
            <w:tcW w:type="dxa" w:w="5112"/>
            <w:vAlign w:val="center"/>
          </w:tcPr>
          <w:p>
            <w:r>
              <w:rPr>
                <w:sz w:val="17"/>
              </w:rPr>
            </w:r>
            <w:r>
              <w:rPr>
                <w:b w:val="0"/>
                <w:sz w:val="17"/>
              </w:rPr>
              <w:t>Psol = b × Rad × C</w:t>
            </w:r>
          </w:p>
        </w:tc>
      </w:tr>
      <w:tr>
        <w:tc>
          <w:tcPr>
            <w:tcW w:type="dxa" w:w="5112"/>
            <w:vAlign w:val="center"/>
          </w:tcPr>
          <w:p>
            <w:r>
              <w:rPr>
                <w:sz w:val="17"/>
              </w:rPr>
            </w:r>
            <w:r>
              <w:rPr>
                <w:b w:val="0"/>
                <w:sz w:val="17"/>
              </w:rPr>
              <w:t>Terme résiduel équivalent</w:t>
            </w:r>
          </w:p>
        </w:tc>
        <w:tc>
          <w:tcPr>
            <w:tcW w:type="dxa" w:w="5112"/>
            <w:vAlign w:val="center"/>
          </w:tcPr>
          <w:p>
            <w:r>
              <w:rPr>
                <w:sz w:val="17"/>
              </w:rPr>
            </w:r>
            <w:r>
              <w:rPr>
                <w:b w:val="0"/>
                <w:sz w:val="17"/>
              </w:rPr>
              <w:t>Pres = c × C</w:t>
            </w:r>
          </w:p>
        </w:tc>
      </w:tr>
    </w:tbl>
    <w:p/>
    <w:p>
      <w:r>
        <w:rPr>
          <w:rFonts w:ascii="Aptos" w:hAnsi="Aptos"/>
        </w:rPr>
        <w:br w:type="page"/>
      </w:r>
    </w:p>
    <w:p>
      <w:pPr>
        <w:pStyle w:val="Heading1"/>
      </w:pPr>
      <w:r>
        <w:rPr>
          <w:rFonts w:ascii="Aptos" w:hAnsi="Aptos"/>
        </w:rPr>
        <w:t>Partie 2 - Simulation dynamique sans rafraîchissement, projection 2050 et premiers calculs de puissance</w:t>
      </w:r>
    </w:p>
    <w:p>
      <w:pPr>
        <w:pStyle w:val="Normal"/>
      </w:pPr>
      <w:r>
        <w:rPr>
          <w:rFonts w:ascii="Aptos" w:hAnsi="Aptos"/>
        </w:rPr>
        <w:t>Note de consolidation : les simulations de cette partie sont conservées. Le scénario climatique central consolidé est +2,3 °C ; les occurrences +2,2 °C sont lues comme cas bas de sensibilité.</w:t>
      </w:r>
    </w:p>
    <w:p>
      <w:pPr>
        <w:pStyle w:val="Title"/>
        <w:jc w:val="center"/>
      </w:pPr>
      <w:r>
        <w:rPr>
          <w:rFonts w:ascii="Aptos" w:hAnsi="Aptos"/>
        </w:rPr>
        <w:t>FRESHCOP - Chapitre 4 - Partie 2</w:t>
      </w:r>
    </w:p>
    <w:p>
      <w:pPr>
        <w:jc w:val="center"/>
      </w:pPr>
      <w:r>
        <w:rPr>
          <w:rFonts w:ascii="Aptos" w:hAnsi="Aptos"/>
          <w:b/>
        </w:rPr>
        <w:t>Simulation dynamique sans rafraîchissement, projection 2050 et premiers calculs de puissance</w:t>
      </w:r>
    </w:p>
    <w:p>
      <w:r>
        <w:rPr>
          <w:rFonts w:ascii="Aptos" w:hAnsi="Aptos"/>
          <w:b/>
        </w:rPr>
        <w:t xml:space="preserve">Périmètre. </w:t>
      </w:r>
      <w:r>
        <w:rPr>
          <w:rFonts w:ascii="Aptos" w:hAnsi="Aptos"/>
        </w:rPr>
        <w:t>Cette partie utilise le modèle RC apparent calibré en Partie 1 pour passer du diagnostic mesuré à la simulation dynamique. Elle ne traite pas encore le choix technique de production ; elle se limite aux températures, aux consignes et aux puissances froid nécessaires.</w:t>
      </w:r>
    </w:p>
    <w:tbl>
      <w:tblPr>
        <w:tblStyle w:val="TableGrid"/>
        <w:tblW w:type="auto" w:w="0"/>
        <w:tblLook w:firstColumn="1" w:firstRow="1" w:lastColumn="0" w:lastRow="0" w:noHBand="0" w:noVBand="1" w:val="04A0"/>
      </w:tblPr>
      <w:tblGrid>
        <w:gridCol w:w="10426"/>
      </w:tblGrid>
      <w:tr>
        <w:tc>
          <w:tcPr>
            <w:tcW w:type="dxa" w:w="10426"/>
            <w:shd w:fill="EAF4E4"/>
          </w:tcPr>
          <w:p>
            <w:r>
              <w:t>Message clé : la projection 2050 sans rafraîchissement aggrave fortement l’inconfort. Le point dimensionnant n’est pas seulement le séjour à 26 °C, mais la capacité à garantir des chambres à 24 °C la nuit, en tenant compte d’un parc de logements supposé à 60 % en simple vitrage et 40 % en double vitrage. Les calculs dynamiques montrent la marge disponible pour 2, 2,5 et 3 MW.</w:t>
            </w:r>
          </w:p>
        </w:tc>
      </w:tr>
    </w:tbl>
    <w:p>
      <w:pPr>
        <w:pStyle w:val="Heading1"/>
      </w:pPr>
      <w:r>
        <w:rPr>
          <w:rFonts w:ascii="Aptos" w:hAnsi="Aptos"/>
        </w:rPr>
        <w:t>4.2.1 Rappel du modèle dynamique utilisé</w:t>
      </w:r>
    </w:p>
    <w:p>
      <w:r>
        <w:rPr>
          <w:rFonts w:ascii="Aptos" w:hAnsi="Aptos"/>
        </w:rPr>
        <w:t>Le modèle utilisé est un modèle RC apparent à pas horaire, calibré sur les mesures réelles après arrêt du chauffage collectif. Il ne représente pas chaque appartement individuellement ; il reproduit le comportement moyen de la résidence, puis des facteurs de sensibilité sont appliqués pour distinguer les zones et le vitrage.</w:t>
      </w:r>
    </w:p>
    <w:p>
      <w:pPr>
        <w:jc w:val="center"/>
      </w:pPr>
      <w:r>
        <w:rPr>
          <w:rFonts w:ascii="Aptos" w:hAnsi="Aptos"/>
          <w:b/>
        </w:rPr>
        <w:t>T_int(t+1) = T_int(t) + a · [T_ext(t) − T_int(t)] + b · Ray(t) + c − Q_froid(t) / C</w:t>
      </w:r>
    </w:p>
    <w:p>
      <w:r>
        <w:rPr>
          <w:rFonts w:ascii="Aptos" w:hAnsi="Aptos"/>
          <w:b/>
        </w:rPr>
        <w:t>Paramètres utilisés pour les simulations de la partie 2</w:t>
      </w:r>
    </w:p>
    <w:tbl>
      <w:tblPr>
        <w:tblStyle w:val="TableGrid"/>
        <w:tblW w:type="auto" w:w="0"/>
        <w:jc w:val="center"/>
        <w:tblLook w:firstColumn="1" w:firstRow="1" w:lastColumn="0" w:lastRow="0" w:noHBand="0" w:noVBand="1" w:val="04A0"/>
      </w:tblPr>
      <w:tblGrid>
        <w:gridCol w:w="3475"/>
        <w:gridCol w:w="3475"/>
        <w:gridCol w:w="3475"/>
      </w:tblGrid>
      <w:tr>
        <w:tc>
          <w:tcPr>
            <w:tcW w:type="dxa" w:w="3475"/>
            <w:vAlign w:val="center"/>
            <w:shd w:fill="D9EAF7"/>
          </w:tcPr>
          <w:p>
            <w:r/>
            <w:r>
              <w:rPr>
                <w:b/>
                <w:sz w:val="17"/>
              </w:rPr>
              <w:t>Grandeur</w:t>
            </w:r>
          </w:p>
        </w:tc>
        <w:tc>
          <w:tcPr>
            <w:tcW w:type="dxa" w:w="3475"/>
            <w:vAlign w:val="center"/>
            <w:shd w:fill="D9EAF7"/>
          </w:tcPr>
          <w:p>
            <w:r/>
            <w:r>
              <w:rPr>
                <w:b/>
                <w:sz w:val="17"/>
              </w:rPr>
              <w:t>Valeur retenue</w:t>
            </w:r>
          </w:p>
        </w:tc>
        <w:tc>
          <w:tcPr>
            <w:tcW w:type="dxa" w:w="3475"/>
            <w:vAlign w:val="center"/>
            <w:shd w:fill="D9EAF7"/>
          </w:tcPr>
          <w:p>
            <w:r/>
            <w:r>
              <w:rPr>
                <w:b/>
                <w:sz w:val="17"/>
              </w:rPr>
              <w:t>Origine</w:t>
            </w:r>
          </w:p>
        </w:tc>
      </w:tr>
      <w:tr>
        <w:tc>
          <w:tcPr>
            <w:tcW w:type="dxa" w:w="3475"/>
            <w:vAlign w:val="center"/>
          </w:tcPr>
          <w:p>
            <w:r/>
            <w:r>
              <w:rPr>
                <w:b w:val="0"/>
                <w:sz w:val="17"/>
              </w:rPr>
              <w:t>Période calibrée</w:t>
            </w:r>
          </w:p>
        </w:tc>
        <w:tc>
          <w:tcPr>
            <w:tcW w:type="dxa" w:w="3475"/>
            <w:vAlign w:val="center"/>
          </w:tcPr>
          <w:p>
            <w:r/>
            <w:r>
              <w:rPr>
                <w:b w:val="0"/>
                <w:sz w:val="17"/>
              </w:rPr>
              <w:t>22/05/2026 00:00 - 30/06/2026 23:00</w:t>
            </w:r>
          </w:p>
        </w:tc>
        <w:tc>
          <w:tcPr>
            <w:tcW w:type="dxa" w:w="3475"/>
            <w:vAlign w:val="center"/>
          </w:tcPr>
          <w:p>
            <w:r/>
            <w:r>
              <w:rPr>
                <w:b w:val="0"/>
                <w:sz w:val="17"/>
              </w:rPr>
              <w:t>CSV</w:t>
            </w:r>
          </w:p>
        </w:tc>
      </w:tr>
      <w:tr>
        <w:tc>
          <w:tcPr>
            <w:tcW w:type="dxa" w:w="3475"/>
            <w:vAlign w:val="center"/>
          </w:tcPr>
          <w:p>
            <w:r/>
            <w:r>
              <w:rPr>
                <w:b w:val="0"/>
                <w:sz w:val="17"/>
              </w:rPr>
              <w:t>Nombre de points</w:t>
            </w:r>
          </w:p>
        </w:tc>
        <w:tc>
          <w:tcPr>
            <w:tcW w:type="dxa" w:w="3475"/>
            <w:vAlign w:val="center"/>
          </w:tcPr>
          <w:p>
            <w:r/>
            <w:r>
              <w:rPr>
                <w:b w:val="0"/>
                <w:sz w:val="17"/>
              </w:rPr>
              <w:t>960 heures</w:t>
            </w:r>
          </w:p>
        </w:tc>
        <w:tc>
          <w:tcPr>
            <w:tcW w:type="dxa" w:w="3475"/>
            <w:vAlign w:val="center"/>
          </w:tcPr>
          <w:p>
            <w:r/>
            <w:r>
              <w:rPr>
                <w:b w:val="0"/>
                <w:sz w:val="17"/>
              </w:rPr>
              <w:t>CSV</w:t>
            </w:r>
          </w:p>
        </w:tc>
      </w:tr>
      <w:tr>
        <w:tc>
          <w:tcPr>
            <w:tcW w:type="dxa" w:w="3475"/>
            <w:vAlign w:val="center"/>
          </w:tcPr>
          <w:p>
            <w:r/>
            <w:r>
              <w:rPr>
                <w:b w:val="0"/>
                <w:sz w:val="17"/>
              </w:rPr>
              <w:t>Température extérieure moyenne</w:t>
            </w:r>
          </w:p>
        </w:tc>
        <w:tc>
          <w:tcPr>
            <w:tcW w:type="dxa" w:w="3475"/>
            <w:vAlign w:val="center"/>
          </w:tcPr>
          <w:p>
            <w:r/>
            <w:r>
              <w:rPr>
                <w:b w:val="0"/>
                <w:sz w:val="17"/>
              </w:rPr>
              <w:t>23.11 °C</w:t>
            </w:r>
          </w:p>
        </w:tc>
        <w:tc>
          <w:tcPr>
            <w:tcW w:type="dxa" w:w="3475"/>
            <w:vAlign w:val="center"/>
          </w:tcPr>
          <w:p>
            <w:r/>
            <w:r>
              <w:rPr>
                <w:b w:val="0"/>
                <w:sz w:val="17"/>
              </w:rPr>
              <w:t>CSV</w:t>
            </w:r>
          </w:p>
        </w:tc>
      </w:tr>
      <w:tr>
        <w:tc>
          <w:tcPr>
            <w:tcW w:type="dxa" w:w="3475"/>
            <w:vAlign w:val="center"/>
          </w:tcPr>
          <w:p>
            <w:r/>
            <w:r>
              <w:rPr>
                <w:b w:val="0"/>
                <w:sz w:val="17"/>
              </w:rPr>
              <w:t>Température intérieure moyenne</w:t>
            </w:r>
          </w:p>
        </w:tc>
        <w:tc>
          <w:tcPr>
            <w:tcW w:type="dxa" w:w="3475"/>
            <w:vAlign w:val="center"/>
          </w:tcPr>
          <w:p>
            <w:r/>
            <w:r>
              <w:rPr>
                <w:b w:val="0"/>
                <w:sz w:val="17"/>
              </w:rPr>
              <w:t>26.21 °C</w:t>
            </w:r>
          </w:p>
        </w:tc>
        <w:tc>
          <w:tcPr>
            <w:tcW w:type="dxa" w:w="3475"/>
            <w:vAlign w:val="center"/>
          </w:tcPr>
          <w:p>
            <w:r/>
            <w:r>
              <w:rPr>
                <w:b w:val="0"/>
                <w:sz w:val="17"/>
              </w:rPr>
              <w:t>CSV AB/CD</w:t>
            </w:r>
          </w:p>
        </w:tc>
      </w:tr>
      <w:tr>
        <w:tc>
          <w:tcPr>
            <w:tcW w:type="dxa" w:w="3475"/>
            <w:vAlign w:val="center"/>
          </w:tcPr>
          <w:p>
            <w:r/>
            <w:r>
              <w:rPr>
                <w:b w:val="0"/>
                <w:sz w:val="17"/>
              </w:rPr>
              <w:t>Écart intérieur / extérieur</w:t>
            </w:r>
          </w:p>
        </w:tc>
        <w:tc>
          <w:tcPr>
            <w:tcW w:type="dxa" w:w="3475"/>
            <w:vAlign w:val="center"/>
          </w:tcPr>
          <w:p>
            <w:r/>
            <w:r>
              <w:rPr>
                <w:b w:val="0"/>
                <w:sz w:val="17"/>
              </w:rPr>
              <w:t>3.10 °C</w:t>
            </w:r>
          </w:p>
        </w:tc>
        <w:tc>
          <w:tcPr>
            <w:tcW w:type="dxa" w:w="3475"/>
            <w:vAlign w:val="center"/>
          </w:tcPr>
          <w:p>
            <w:r/>
            <w:r>
              <w:rPr>
                <w:b w:val="0"/>
                <w:sz w:val="17"/>
              </w:rPr>
              <w:t>Calcul</w:t>
            </w:r>
          </w:p>
        </w:tc>
      </w:tr>
      <w:tr>
        <w:tc>
          <w:tcPr>
            <w:tcW w:type="dxa" w:w="3475"/>
            <w:vAlign w:val="center"/>
          </w:tcPr>
          <w:p>
            <w:r/>
            <w:r>
              <w:rPr>
                <w:b w:val="0"/>
                <w:sz w:val="17"/>
              </w:rPr>
              <w:t>Coefficient a</w:t>
            </w:r>
          </w:p>
        </w:tc>
        <w:tc>
          <w:tcPr>
            <w:tcW w:type="dxa" w:w="3475"/>
            <w:vAlign w:val="center"/>
          </w:tcPr>
          <w:p>
            <w:r/>
            <w:r>
              <w:rPr>
                <w:b w:val="0"/>
                <w:sz w:val="17"/>
              </w:rPr>
              <w:t>0.00363 h⁻¹</w:t>
            </w:r>
          </w:p>
        </w:tc>
        <w:tc>
          <w:tcPr>
            <w:tcW w:type="dxa" w:w="3475"/>
            <w:vAlign w:val="center"/>
          </w:tcPr>
          <w:p>
            <w:r/>
            <w:r>
              <w:rPr>
                <w:b w:val="0"/>
                <w:sz w:val="17"/>
              </w:rPr>
              <w:t>Identification</w:t>
            </w:r>
          </w:p>
        </w:tc>
      </w:tr>
      <w:tr>
        <w:tc>
          <w:tcPr>
            <w:tcW w:type="dxa" w:w="3475"/>
            <w:vAlign w:val="center"/>
          </w:tcPr>
          <w:p>
            <w:r/>
            <w:r>
              <w:rPr>
                <w:b w:val="0"/>
                <w:sz w:val="17"/>
              </w:rPr>
              <w:t>Coefficient b</w:t>
            </w:r>
          </w:p>
        </w:tc>
        <w:tc>
          <w:tcPr>
            <w:tcW w:type="dxa" w:w="3475"/>
            <w:vAlign w:val="center"/>
          </w:tcPr>
          <w:p>
            <w:r/>
            <w:r>
              <w:rPr>
                <w:b w:val="0"/>
                <w:sz w:val="17"/>
              </w:rPr>
              <w:t>0.0001462 K par W/m².h</w:t>
            </w:r>
          </w:p>
        </w:tc>
        <w:tc>
          <w:tcPr>
            <w:tcW w:type="dxa" w:w="3475"/>
            <w:vAlign w:val="center"/>
          </w:tcPr>
          <w:p>
            <w:r/>
            <w:r>
              <w:rPr>
                <w:b w:val="0"/>
                <w:sz w:val="17"/>
              </w:rPr>
              <w:t>Identification</w:t>
            </w:r>
          </w:p>
        </w:tc>
      </w:tr>
      <w:tr>
        <w:tc>
          <w:tcPr>
            <w:tcW w:type="dxa" w:w="3475"/>
            <w:vAlign w:val="center"/>
          </w:tcPr>
          <w:p>
            <w:r/>
            <w:r>
              <w:rPr>
                <w:b w:val="0"/>
                <w:sz w:val="17"/>
              </w:rPr>
              <w:t>Terme résiduel c</w:t>
            </w:r>
          </w:p>
        </w:tc>
        <w:tc>
          <w:tcPr>
            <w:tcW w:type="dxa" w:w="3475"/>
            <w:vAlign w:val="center"/>
          </w:tcPr>
          <w:p>
            <w:r/>
            <w:r>
              <w:rPr>
                <w:b w:val="0"/>
                <w:sz w:val="17"/>
              </w:rPr>
              <w:t>-0.0270 K/h</w:t>
            </w:r>
          </w:p>
        </w:tc>
        <w:tc>
          <w:tcPr>
            <w:tcW w:type="dxa" w:w="3475"/>
            <w:vAlign w:val="center"/>
          </w:tcPr>
          <w:p>
            <w:r/>
            <w:r>
              <w:rPr>
                <w:b w:val="0"/>
                <w:sz w:val="17"/>
              </w:rPr>
              <w:t>Identification</w:t>
            </w:r>
          </w:p>
        </w:tc>
      </w:tr>
      <w:tr>
        <w:tc>
          <w:tcPr>
            <w:tcW w:type="dxa" w:w="3475"/>
            <w:vAlign w:val="center"/>
          </w:tcPr>
          <w:p>
            <w:r/>
            <w:r>
              <w:rPr>
                <w:b w:val="0"/>
                <w:sz w:val="17"/>
              </w:rPr>
              <w:t>Temps caractéristique 1/a</w:t>
            </w:r>
          </w:p>
        </w:tc>
        <w:tc>
          <w:tcPr>
            <w:tcW w:type="dxa" w:w="3475"/>
            <w:vAlign w:val="center"/>
          </w:tcPr>
          <w:p>
            <w:r/>
            <w:r>
              <w:rPr>
                <w:b w:val="0"/>
                <w:sz w:val="17"/>
              </w:rPr>
              <w:t>275 h (11.5 jours)</w:t>
            </w:r>
          </w:p>
        </w:tc>
        <w:tc>
          <w:tcPr>
            <w:tcW w:type="dxa" w:w="3475"/>
            <w:vAlign w:val="center"/>
          </w:tcPr>
          <w:p>
            <w:r/>
            <w:r>
              <w:rPr>
                <w:b w:val="0"/>
                <w:sz w:val="17"/>
              </w:rPr>
              <w:t>Calcul</w:t>
            </w:r>
          </w:p>
        </w:tc>
      </w:tr>
      <w:tr>
        <w:tc>
          <w:tcPr>
            <w:tcW w:type="dxa" w:w="3475"/>
            <w:vAlign w:val="center"/>
          </w:tcPr>
          <w:p>
            <w:r/>
            <w:r>
              <w:rPr>
                <w:b w:val="0"/>
                <w:sz w:val="17"/>
              </w:rPr>
              <w:t>Déphasage corrélation</w:t>
            </w:r>
          </w:p>
        </w:tc>
        <w:tc>
          <w:tcPr>
            <w:tcW w:type="dxa" w:w="3475"/>
            <w:vAlign w:val="center"/>
          </w:tcPr>
          <w:p>
            <w:r/>
            <w:r>
              <w:rPr>
                <w:b w:val="0"/>
                <w:sz w:val="17"/>
              </w:rPr>
              <w:t>51 h ; R = 0.81</w:t>
            </w:r>
          </w:p>
        </w:tc>
        <w:tc>
          <w:tcPr>
            <w:tcW w:type="dxa" w:w="3475"/>
            <w:vAlign w:val="center"/>
          </w:tcPr>
          <w:p>
            <w:r/>
            <w:r>
              <w:rPr>
                <w:b w:val="0"/>
                <w:sz w:val="17"/>
              </w:rPr>
              <w:t>CSV</w:t>
            </w:r>
          </w:p>
        </w:tc>
      </w:tr>
      <w:tr>
        <w:tc>
          <w:tcPr>
            <w:tcW w:type="dxa" w:w="3475"/>
            <w:vAlign w:val="center"/>
          </w:tcPr>
          <w:p>
            <w:r/>
            <w:r>
              <w:rPr>
                <w:b w:val="0"/>
                <w:sz w:val="17"/>
              </w:rPr>
              <w:t>RMSE modèle</w:t>
            </w:r>
          </w:p>
        </w:tc>
        <w:tc>
          <w:tcPr>
            <w:tcW w:type="dxa" w:w="3475"/>
            <w:vAlign w:val="center"/>
          </w:tcPr>
          <w:p>
            <w:r/>
            <w:r>
              <w:rPr>
                <w:b w:val="0"/>
                <w:sz w:val="17"/>
              </w:rPr>
              <w:t>1.73 °C</w:t>
            </w:r>
          </w:p>
        </w:tc>
        <w:tc>
          <w:tcPr>
            <w:tcW w:type="dxa" w:w="3475"/>
            <w:vAlign w:val="center"/>
          </w:tcPr>
          <w:p>
            <w:r/>
            <w:r>
              <w:rPr>
                <w:b w:val="0"/>
                <w:sz w:val="17"/>
              </w:rPr>
              <w:t>Validation</w:t>
            </w:r>
          </w:p>
        </w:tc>
      </w:tr>
      <w:tr>
        <w:tc>
          <w:tcPr>
            <w:tcW w:type="dxa" w:w="3475"/>
            <w:vAlign w:val="center"/>
          </w:tcPr>
          <w:p>
            <w:r/>
            <w:r>
              <w:rPr>
                <w:b w:val="0"/>
                <w:sz w:val="17"/>
              </w:rPr>
              <w:t>MAE modèle</w:t>
            </w:r>
          </w:p>
        </w:tc>
        <w:tc>
          <w:tcPr>
            <w:tcW w:type="dxa" w:w="3475"/>
            <w:vAlign w:val="center"/>
          </w:tcPr>
          <w:p>
            <w:r/>
            <w:r>
              <w:rPr>
                <w:b w:val="0"/>
                <w:sz w:val="17"/>
              </w:rPr>
              <w:t>1.49 °C</w:t>
            </w:r>
          </w:p>
        </w:tc>
        <w:tc>
          <w:tcPr>
            <w:tcW w:type="dxa" w:w="3475"/>
            <w:vAlign w:val="center"/>
          </w:tcPr>
          <w:p>
            <w:r/>
            <w:r>
              <w:rPr>
                <w:b w:val="0"/>
                <w:sz w:val="17"/>
              </w:rPr>
              <w:t>Validation</w:t>
            </w:r>
          </w:p>
        </w:tc>
      </w:tr>
      <w:tr>
        <w:tc>
          <w:tcPr>
            <w:tcW w:type="dxa" w:w="3475"/>
            <w:vAlign w:val="center"/>
          </w:tcPr>
          <w:p>
            <w:r/>
            <w:r>
              <w:rPr>
                <w:b w:val="0"/>
                <w:sz w:val="17"/>
              </w:rPr>
              <w:t>R² modèle</w:t>
            </w:r>
          </w:p>
        </w:tc>
        <w:tc>
          <w:tcPr>
            <w:tcW w:type="dxa" w:w="3475"/>
            <w:vAlign w:val="center"/>
          </w:tcPr>
          <w:p>
            <w:r/>
            <w:r>
              <w:rPr>
                <w:b w:val="0"/>
                <w:sz w:val="17"/>
              </w:rPr>
              <w:t>0.67</w:t>
            </w:r>
          </w:p>
        </w:tc>
        <w:tc>
          <w:tcPr>
            <w:tcW w:type="dxa" w:w="3475"/>
            <w:vAlign w:val="center"/>
          </w:tcPr>
          <w:p>
            <w:r/>
            <w:r>
              <w:rPr>
                <w:b w:val="0"/>
                <w:sz w:val="17"/>
              </w:rPr>
              <w:t>Validation</w:t>
            </w:r>
          </w:p>
        </w:tc>
      </w:tr>
      <w:tr>
        <w:tc>
          <w:tcPr>
            <w:tcW w:type="dxa" w:w="3475"/>
            <w:vAlign w:val="center"/>
          </w:tcPr>
          <w:p>
            <w:r/>
            <w:r>
              <w:rPr>
                <w:b w:val="0"/>
                <w:sz w:val="17"/>
              </w:rPr>
              <w:t>Capacité thermique de référence</w:t>
            </w:r>
          </w:p>
        </w:tc>
        <w:tc>
          <w:tcPr>
            <w:tcW w:type="dxa" w:w="3475"/>
            <w:vAlign w:val="center"/>
          </w:tcPr>
          <w:p>
            <w:r/>
            <w:r>
              <w:rPr>
                <w:b w:val="0"/>
                <w:sz w:val="17"/>
              </w:rPr>
              <w:t>4.22 MWh/K</w:t>
            </w:r>
          </w:p>
        </w:tc>
        <w:tc>
          <w:tcPr>
            <w:tcW w:type="dxa" w:w="3475"/>
            <w:vAlign w:val="center"/>
          </w:tcPr>
          <w:p>
            <w:r/>
            <w:r>
              <w:rPr>
                <w:b w:val="0"/>
                <w:sz w:val="17"/>
              </w:rPr>
              <w:t>Hypothèse 120 Wh/m².K</w:t>
            </w:r>
          </w:p>
        </w:tc>
      </w:tr>
      <w:tr>
        <w:tc>
          <w:tcPr>
            <w:tcW w:type="dxa" w:w="3475"/>
            <w:vAlign w:val="center"/>
          </w:tcPr>
          <w:p>
            <w:r/>
            <w:r>
              <w:rPr>
                <w:b w:val="0"/>
                <w:sz w:val="17"/>
              </w:rPr>
              <w:t>UA apparent associé</w:t>
            </w:r>
          </w:p>
        </w:tc>
        <w:tc>
          <w:tcPr>
            <w:tcW w:type="dxa" w:w="3475"/>
            <w:vAlign w:val="center"/>
          </w:tcPr>
          <w:p>
            <w:r/>
            <w:r>
              <w:rPr>
                <w:b w:val="0"/>
                <w:sz w:val="17"/>
              </w:rPr>
              <w:t>15.3 kW/K</w:t>
            </w:r>
          </w:p>
        </w:tc>
        <w:tc>
          <w:tcPr>
            <w:tcW w:type="dxa" w:w="3475"/>
            <w:vAlign w:val="center"/>
          </w:tcPr>
          <w:p>
            <w:r/>
            <w:r>
              <w:rPr>
                <w:b w:val="0"/>
                <w:sz w:val="17"/>
              </w:rPr>
              <w:t>C × a</w:t>
            </w:r>
          </w:p>
        </w:tc>
      </w:tr>
    </w:tbl>
    <w:p>
      <w:pPr>
        <w:ind w:left="170"/>
      </w:pPr>
      <w:r>
        <w:rPr>
          <w:rFonts w:ascii="Aptos" w:hAnsi="Aptos"/>
          <w:i/>
          <w:sz w:val="19"/>
        </w:rPr>
        <w:t>Lecture : les coefficients a, b et c sont identifiés sur le CSV. La capacité thermique absolue reste une hypothèse d’échelle nécessaire pour convertir les degrés en MW ; elle fait l’objet d’une sensibilité en fin de chapitre.</w:t>
      </w:r>
    </w:p>
    <w:p>
      <w:pPr>
        <w:jc w:val="center"/>
      </w:pPr>
      <w:r>
        <w:rPr>
          <w:rFonts w:ascii="Aptos" w:hAnsi="Aptos"/>
        </w:rPr>
        <w:drawing>
          <wp:inline xmlns:a="http://schemas.openxmlformats.org/drawingml/2006/main" xmlns:pic="http://schemas.openxmlformats.org/drawingml/2006/picture">
            <wp:extent cx="5989320" cy="2770712"/>
            <wp:docPr id="1" name="Picture 1"/>
            <wp:cNvGraphicFramePr>
              <a:graphicFrameLocks noChangeAspect="1"/>
            </wp:cNvGraphicFramePr>
            <a:graphic>
              <a:graphicData uri="http://schemas.openxmlformats.org/drawingml/2006/picture">
                <pic:pic>
                  <pic:nvPicPr>
                    <pic:cNvPr id="0" name="01_mesures_modele.png"/>
                    <pic:cNvPicPr/>
                  </pic:nvPicPr>
                  <pic:blipFill>
                    <a:blip r:embed="rId30"/>
                    <a:stretch>
                      <a:fillRect/>
                    </a:stretch>
                  </pic:blipFill>
                  <pic:spPr>
                    <a:xfrm>
                      <a:off x="0" y="0"/>
                      <a:ext cx="5989320" cy="2770712"/>
                    </a:xfrm>
                    <a:prstGeom prst="rect"/>
                  </pic:spPr>
                </pic:pic>
              </a:graphicData>
            </a:graphic>
          </wp:inline>
        </w:drawing>
      </w:r>
    </w:p>
    <w:p>
      <w:pPr>
        <w:jc w:val="center"/>
      </w:pPr>
      <w:r>
        <w:rPr>
          <w:rFonts w:ascii="Aptos" w:hAnsi="Aptos"/>
          <w:i/>
          <w:sz w:val="17"/>
        </w:rPr>
        <w:t>Figure 1 - Mesure réelle et modèle RC apparent calibré sur la période postérieure à l’arrêt du chauffage.</w:t>
      </w:r>
    </w:p>
    <w:p>
      <w:pPr>
        <w:pStyle w:val="Heading1"/>
      </w:pPr>
      <w:r>
        <w:rPr>
          <w:rFonts w:ascii="Aptos" w:hAnsi="Aptos"/>
        </w:rPr>
        <w:t>4.2.2 Températures initiales et simulation sans rafraîchissement</w:t>
      </w:r>
    </w:p>
    <w:p>
      <w:r>
        <w:rPr>
          <w:rFonts w:ascii="Aptos" w:hAnsi="Aptos"/>
        </w:rPr>
        <w:t>La première simulation conserve les températures extérieures mesurées en 2026 et calcule l’évolution libre de la température intérieure sans aucun rafraîchissement. Une seconde simulation applique un delta climatique de +2,2 °C sur la température extérieure pour représenter un été francilien futur à l’horizon 2050. Le rayonnement solaire est conservé identique afin d’isoler l’effet de la hausse de température.</w:t>
      </w:r>
    </w:p>
    <w:p>
      <w:r>
        <w:rPr>
          <w:rFonts w:ascii="Aptos" w:hAnsi="Aptos"/>
          <w:b/>
        </w:rPr>
        <w:t>Températures intérieures libres simulées sans rafraîchissement</w:t>
      </w:r>
    </w:p>
    <w:tbl>
      <w:tblPr>
        <w:tblStyle w:val="TableGrid"/>
        <w:tblW w:type="auto" w:w="0"/>
        <w:jc w:val="center"/>
        <w:tblLook w:firstColumn="1" w:firstRow="1" w:lastColumn="0" w:lastRow="0" w:noHBand="0" w:noVBand="1" w:val="04A0"/>
      </w:tblPr>
      <w:tblGrid>
        <w:gridCol w:w="1303"/>
        <w:gridCol w:w="1303"/>
        <w:gridCol w:w="1303"/>
        <w:gridCol w:w="1303"/>
        <w:gridCol w:w="1303"/>
        <w:gridCol w:w="1303"/>
        <w:gridCol w:w="1303"/>
        <w:gridCol w:w="1303"/>
      </w:tblGrid>
      <w:tr>
        <w:tc>
          <w:tcPr>
            <w:tcW w:type="dxa" w:w="1303"/>
            <w:vAlign w:val="center"/>
            <w:shd w:fill="D9EAF7"/>
          </w:tcPr>
          <w:p>
            <w:r/>
            <w:r>
              <w:rPr>
                <w:b/>
                <w:sz w:val="17"/>
              </w:rPr>
              <w:t>Scénario</w:t>
            </w:r>
          </w:p>
        </w:tc>
        <w:tc>
          <w:tcPr>
            <w:tcW w:type="dxa" w:w="1303"/>
            <w:vAlign w:val="center"/>
            <w:shd w:fill="D9EAF7"/>
          </w:tcPr>
          <w:p>
            <w:r/>
            <w:r>
              <w:rPr>
                <w:b/>
                <w:sz w:val="17"/>
              </w:rPr>
              <w:t>Moyenne °C</w:t>
            </w:r>
          </w:p>
        </w:tc>
        <w:tc>
          <w:tcPr>
            <w:tcW w:type="dxa" w:w="1303"/>
            <w:vAlign w:val="center"/>
            <w:shd w:fill="D9EAF7"/>
          </w:tcPr>
          <w:p>
            <w:r/>
            <w:r>
              <w:rPr>
                <w:b/>
                <w:sz w:val="17"/>
              </w:rPr>
              <w:t>Maximum °C</w:t>
            </w:r>
          </w:p>
        </w:tc>
        <w:tc>
          <w:tcPr>
            <w:tcW w:type="dxa" w:w="1303"/>
            <w:vAlign w:val="center"/>
            <w:shd w:fill="D9EAF7"/>
          </w:tcPr>
          <w:p>
            <w:r/>
            <w:r>
              <w:rPr>
                <w:b/>
                <w:sz w:val="17"/>
              </w:rPr>
              <w:t>P95 °C</w:t>
            </w:r>
          </w:p>
        </w:tc>
        <w:tc>
          <w:tcPr>
            <w:tcW w:type="dxa" w:w="1303"/>
            <w:vAlign w:val="center"/>
            <w:shd w:fill="D9EAF7"/>
          </w:tcPr>
          <w:p>
            <w:r/>
            <w:r>
              <w:rPr>
                <w:b/>
                <w:sz w:val="17"/>
              </w:rPr>
              <w:t>h &gt;26°C</w:t>
            </w:r>
          </w:p>
        </w:tc>
        <w:tc>
          <w:tcPr>
            <w:tcW w:type="dxa" w:w="1303"/>
            <w:vAlign w:val="center"/>
            <w:shd w:fill="D9EAF7"/>
          </w:tcPr>
          <w:p>
            <w:r/>
            <w:r>
              <w:rPr>
                <w:b/>
                <w:sz w:val="17"/>
              </w:rPr>
              <w:t>h &gt;28°C</w:t>
            </w:r>
          </w:p>
        </w:tc>
        <w:tc>
          <w:tcPr>
            <w:tcW w:type="dxa" w:w="1303"/>
            <w:vAlign w:val="center"/>
            <w:shd w:fill="D9EAF7"/>
          </w:tcPr>
          <w:p>
            <w:r/>
            <w:r>
              <w:rPr>
                <w:b/>
                <w:sz w:val="17"/>
              </w:rPr>
              <w:t>h &gt;30°C</w:t>
            </w:r>
          </w:p>
        </w:tc>
        <w:tc>
          <w:tcPr>
            <w:tcW w:type="dxa" w:w="1303"/>
            <w:vAlign w:val="center"/>
            <w:shd w:fill="D9EAF7"/>
          </w:tcPr>
          <w:p>
            <w:r/>
            <w:r>
              <w:rPr>
                <w:b/>
                <w:sz w:val="17"/>
              </w:rPr>
              <w:t>h &gt;32°C</w:t>
            </w:r>
          </w:p>
        </w:tc>
      </w:tr>
      <w:tr>
        <w:tc>
          <w:tcPr>
            <w:tcW w:type="dxa" w:w="1303"/>
            <w:vAlign w:val="center"/>
          </w:tcPr>
          <w:p>
            <w:r/>
            <w:r>
              <w:rPr>
                <w:b w:val="0"/>
                <w:sz w:val="17"/>
              </w:rPr>
              <w:t>2026 sans froid</w:t>
            </w:r>
          </w:p>
        </w:tc>
        <w:tc>
          <w:tcPr>
            <w:tcW w:type="dxa" w:w="1303"/>
            <w:vAlign w:val="center"/>
          </w:tcPr>
          <w:p>
            <w:r/>
            <w:r>
              <w:rPr>
                <w:b w:val="0"/>
                <w:sz w:val="17"/>
              </w:rPr>
              <w:t>25.17</w:t>
            </w:r>
          </w:p>
        </w:tc>
        <w:tc>
          <w:tcPr>
            <w:tcW w:type="dxa" w:w="1303"/>
            <w:vAlign w:val="center"/>
          </w:tcPr>
          <w:p>
            <w:r/>
            <w:r>
              <w:rPr>
                <w:b w:val="0"/>
                <w:sz w:val="17"/>
              </w:rPr>
              <w:t>31.66</w:t>
            </w:r>
          </w:p>
        </w:tc>
        <w:tc>
          <w:tcPr>
            <w:tcW w:type="dxa" w:w="1303"/>
            <w:vAlign w:val="center"/>
          </w:tcPr>
          <w:p>
            <w:r/>
            <w:r>
              <w:rPr>
                <w:b w:val="0"/>
                <w:sz w:val="17"/>
              </w:rPr>
              <w:t>31.04</w:t>
            </w:r>
          </w:p>
        </w:tc>
        <w:tc>
          <w:tcPr>
            <w:tcW w:type="dxa" w:w="1303"/>
            <w:vAlign w:val="center"/>
          </w:tcPr>
          <w:p>
            <w:r/>
            <w:r>
              <w:rPr>
                <w:b w:val="0"/>
                <w:sz w:val="17"/>
              </w:rPr>
              <w:t>410</w:t>
            </w:r>
          </w:p>
        </w:tc>
        <w:tc>
          <w:tcPr>
            <w:tcW w:type="dxa" w:w="1303"/>
            <w:vAlign w:val="center"/>
          </w:tcPr>
          <w:p>
            <w:r/>
            <w:r>
              <w:rPr>
                <w:b w:val="0"/>
                <w:sz w:val="17"/>
              </w:rPr>
              <w:t>185</w:t>
            </w:r>
          </w:p>
        </w:tc>
        <w:tc>
          <w:tcPr>
            <w:tcW w:type="dxa" w:w="1303"/>
            <w:vAlign w:val="center"/>
          </w:tcPr>
          <w:p>
            <w:r/>
            <w:r>
              <w:rPr>
                <w:b w:val="0"/>
                <w:sz w:val="17"/>
              </w:rPr>
              <w:t>139</w:t>
            </w:r>
          </w:p>
        </w:tc>
        <w:tc>
          <w:tcPr>
            <w:tcW w:type="dxa" w:w="1303"/>
            <w:vAlign w:val="center"/>
          </w:tcPr>
          <w:p>
            <w:r/>
            <w:r>
              <w:rPr>
                <w:b w:val="0"/>
                <w:sz w:val="17"/>
              </w:rPr>
              <w:t>0</w:t>
            </w:r>
          </w:p>
        </w:tc>
      </w:tr>
      <w:tr>
        <w:tc>
          <w:tcPr>
            <w:tcW w:type="dxa" w:w="1303"/>
            <w:vAlign w:val="center"/>
          </w:tcPr>
          <w:p>
            <w:r/>
            <w:r>
              <w:rPr>
                <w:b w:val="0"/>
                <w:sz w:val="17"/>
              </w:rPr>
              <w:t>2050 +2,2°C sans froid</w:t>
            </w:r>
          </w:p>
        </w:tc>
        <w:tc>
          <w:tcPr>
            <w:tcW w:type="dxa" w:w="1303"/>
            <w:vAlign w:val="center"/>
          </w:tcPr>
          <w:p>
            <w:r/>
            <w:r>
              <w:rPr>
                <w:b w:val="0"/>
                <w:sz w:val="17"/>
              </w:rPr>
              <w:t>26.76</w:t>
            </w:r>
          </w:p>
        </w:tc>
        <w:tc>
          <w:tcPr>
            <w:tcW w:type="dxa" w:w="1303"/>
            <w:vAlign w:val="center"/>
          </w:tcPr>
          <w:p>
            <w:r/>
            <w:r>
              <w:rPr>
                <w:b w:val="0"/>
                <w:sz w:val="17"/>
              </w:rPr>
              <w:t>33.77</w:t>
            </w:r>
          </w:p>
        </w:tc>
        <w:tc>
          <w:tcPr>
            <w:tcW w:type="dxa" w:w="1303"/>
            <w:vAlign w:val="center"/>
          </w:tcPr>
          <w:p>
            <w:r/>
            <w:r>
              <w:rPr>
                <w:b w:val="0"/>
                <w:sz w:val="17"/>
              </w:rPr>
              <w:t>33.16</w:t>
            </w:r>
          </w:p>
        </w:tc>
        <w:tc>
          <w:tcPr>
            <w:tcW w:type="dxa" w:w="1303"/>
            <w:vAlign w:val="center"/>
          </w:tcPr>
          <w:p>
            <w:r/>
            <w:r>
              <w:rPr>
                <w:b w:val="0"/>
                <w:sz w:val="17"/>
              </w:rPr>
              <w:t>517</w:t>
            </w:r>
          </w:p>
        </w:tc>
        <w:tc>
          <w:tcPr>
            <w:tcW w:type="dxa" w:w="1303"/>
            <w:vAlign w:val="center"/>
          </w:tcPr>
          <w:p>
            <w:r/>
            <w:r>
              <w:rPr>
                <w:b w:val="0"/>
                <w:sz w:val="17"/>
              </w:rPr>
              <w:t>348</w:t>
            </w:r>
          </w:p>
        </w:tc>
        <w:tc>
          <w:tcPr>
            <w:tcW w:type="dxa" w:w="1303"/>
            <w:vAlign w:val="center"/>
          </w:tcPr>
          <w:p>
            <w:r/>
            <w:r>
              <w:rPr>
                <w:b w:val="0"/>
                <w:sz w:val="17"/>
              </w:rPr>
              <w:t>178</w:t>
            </w:r>
          </w:p>
        </w:tc>
        <w:tc>
          <w:tcPr>
            <w:tcW w:type="dxa" w:w="1303"/>
            <w:vAlign w:val="center"/>
          </w:tcPr>
          <w:p>
            <w:r/>
            <w:r>
              <w:rPr>
                <w:b w:val="0"/>
                <w:sz w:val="17"/>
              </w:rPr>
              <w:t>144</w:t>
            </w:r>
          </w:p>
        </w:tc>
      </w:tr>
      <w:tr>
        <w:tc>
          <w:tcPr>
            <w:tcW w:type="dxa" w:w="1303"/>
            <w:vAlign w:val="center"/>
          </w:tcPr>
          <w:p>
            <w:r/>
            <w:r>
              <w:rPr>
                <w:b w:val="0"/>
                <w:sz w:val="17"/>
              </w:rPr>
              <w:t>2100 +3,2°C sans froid</w:t>
            </w:r>
          </w:p>
        </w:tc>
        <w:tc>
          <w:tcPr>
            <w:tcW w:type="dxa" w:w="1303"/>
            <w:vAlign w:val="center"/>
          </w:tcPr>
          <w:p>
            <w:r/>
            <w:r>
              <w:rPr>
                <w:b w:val="0"/>
                <w:sz w:val="17"/>
              </w:rPr>
              <w:t>27.48</w:t>
            </w:r>
          </w:p>
        </w:tc>
        <w:tc>
          <w:tcPr>
            <w:tcW w:type="dxa" w:w="1303"/>
            <w:vAlign w:val="center"/>
          </w:tcPr>
          <w:p>
            <w:r/>
            <w:r>
              <w:rPr>
                <w:b w:val="0"/>
                <w:sz w:val="17"/>
              </w:rPr>
              <w:t>34.73</w:t>
            </w:r>
          </w:p>
        </w:tc>
        <w:tc>
          <w:tcPr>
            <w:tcW w:type="dxa" w:w="1303"/>
            <w:vAlign w:val="center"/>
          </w:tcPr>
          <w:p>
            <w:r/>
            <w:r>
              <w:rPr>
                <w:b w:val="0"/>
                <w:sz w:val="17"/>
              </w:rPr>
              <w:t>34.13</w:t>
            </w:r>
          </w:p>
        </w:tc>
        <w:tc>
          <w:tcPr>
            <w:tcW w:type="dxa" w:w="1303"/>
            <w:vAlign w:val="center"/>
          </w:tcPr>
          <w:p>
            <w:r/>
            <w:r>
              <w:rPr>
                <w:b w:val="0"/>
                <w:sz w:val="17"/>
              </w:rPr>
              <w:t>571</w:t>
            </w:r>
          </w:p>
        </w:tc>
        <w:tc>
          <w:tcPr>
            <w:tcW w:type="dxa" w:w="1303"/>
            <w:vAlign w:val="center"/>
          </w:tcPr>
          <w:p>
            <w:r/>
            <w:r>
              <w:rPr>
                <w:b w:val="0"/>
                <w:sz w:val="17"/>
              </w:rPr>
              <w:t>425</w:t>
            </w:r>
          </w:p>
        </w:tc>
        <w:tc>
          <w:tcPr>
            <w:tcW w:type="dxa" w:w="1303"/>
            <w:vAlign w:val="center"/>
          </w:tcPr>
          <w:p>
            <w:r/>
            <w:r>
              <w:rPr>
                <w:b w:val="0"/>
                <w:sz w:val="17"/>
              </w:rPr>
              <w:t>204</w:t>
            </w:r>
          </w:p>
        </w:tc>
        <w:tc>
          <w:tcPr>
            <w:tcW w:type="dxa" w:w="1303"/>
            <w:vAlign w:val="center"/>
          </w:tcPr>
          <w:p>
            <w:r/>
            <w:r>
              <w:rPr>
                <w:b w:val="0"/>
                <w:sz w:val="17"/>
              </w:rPr>
              <w:t>155</w:t>
            </w:r>
          </w:p>
        </w:tc>
      </w:tr>
    </w:tbl>
    <w:p>
      <w:pPr>
        <w:jc w:val="center"/>
      </w:pPr>
      <w:r>
        <w:rPr>
          <w:rFonts w:ascii="Aptos" w:hAnsi="Aptos"/>
        </w:rPr>
        <w:drawing>
          <wp:inline xmlns:a="http://schemas.openxmlformats.org/drawingml/2006/main" xmlns:pic="http://schemas.openxmlformats.org/drawingml/2006/picture">
            <wp:extent cx="5989320" cy="2770712"/>
            <wp:docPr id="2" name="Picture 2"/>
            <wp:cNvGraphicFramePr>
              <a:graphicFrameLocks noChangeAspect="1"/>
            </wp:cNvGraphicFramePr>
            <a:graphic>
              <a:graphicData uri="http://schemas.openxmlformats.org/drawingml/2006/picture">
                <pic:pic>
                  <pic:nvPicPr>
                    <pic:cNvPr id="0" name="02_sans_froid_2026_2050_2100.png"/>
                    <pic:cNvPicPr/>
                  </pic:nvPicPr>
                  <pic:blipFill>
                    <a:blip r:embed="rId20"/>
                    <a:stretch>
                      <a:fillRect/>
                    </a:stretch>
                  </pic:blipFill>
                  <pic:spPr>
                    <a:xfrm>
                      <a:off x="0" y="0"/>
                      <a:ext cx="5989320" cy="2770712"/>
                    </a:xfrm>
                    <a:prstGeom prst="rect"/>
                  </pic:spPr>
                </pic:pic>
              </a:graphicData>
            </a:graphic>
          </wp:inline>
        </w:drawing>
      </w:r>
    </w:p>
    <w:p>
      <w:pPr>
        <w:jc w:val="center"/>
      </w:pPr>
      <w:r>
        <w:rPr>
          <w:rFonts w:ascii="Aptos" w:hAnsi="Aptos"/>
          <w:i/>
          <w:sz w:val="17"/>
        </w:rPr>
        <w:t>Figure 2 - Températures intérieures simulées sans rafraîchissement : 2026, 2050 et stress 2100.</w:t>
      </w:r>
    </w:p>
    <w:p>
      <w:pPr>
        <w:pStyle w:val="Heading1"/>
      </w:pPr>
      <w:r>
        <w:rPr>
          <w:rFonts w:ascii="Aptos" w:hAnsi="Aptos"/>
        </w:rPr>
        <w:t>4.2.3 Pourquoi les chambres deviennent le point dimensionnant</w:t>
      </w:r>
    </w:p>
    <w:p>
      <w:r>
        <w:rPr>
          <w:rFonts w:ascii="Aptos" w:hAnsi="Aptos"/>
        </w:rPr>
        <w:t>Le confort ne peut pas être résumé par une seule consigne moyenne à 26 °C. Le séjour peut être ciblé à 26 °C, mais la température visée dans les chambres doit être plus basse, en particulier la nuit, pour préserver la qualité du sommeil. La simulation retient donc une hypothèse de répartition des surfaces : 33 % séjour, 33 % chambres et 34 % pièces secondaires.</w:t>
      </w:r>
    </w:p>
    <w:p>
      <w:r>
        <w:rPr>
          <w:rFonts w:ascii="Aptos" w:hAnsi="Aptos"/>
          <w:b/>
        </w:rPr>
        <w:t>Hypothèses de consigne par zone</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vAlign w:val="center"/>
            <w:shd w:fill="D9EAF7"/>
          </w:tcPr>
          <w:p>
            <w:r/>
            <w:r>
              <w:rPr>
                <w:b/>
                <w:sz w:val="17"/>
              </w:rPr>
              <w:t>Zone</w:t>
            </w:r>
          </w:p>
        </w:tc>
        <w:tc>
          <w:tcPr>
            <w:tcW w:type="dxa" w:w="2606"/>
            <w:vAlign w:val="center"/>
            <w:shd w:fill="D9EAF7"/>
          </w:tcPr>
          <w:p>
            <w:r/>
            <w:r>
              <w:rPr>
                <w:b/>
                <w:sz w:val="17"/>
              </w:rPr>
              <w:t>Part de surface</w:t>
            </w:r>
          </w:p>
        </w:tc>
        <w:tc>
          <w:tcPr>
            <w:tcW w:type="dxa" w:w="2606"/>
            <w:vAlign w:val="center"/>
            <w:shd w:fill="D9EAF7"/>
          </w:tcPr>
          <w:p>
            <w:r/>
            <w:r>
              <w:rPr>
                <w:b/>
                <w:sz w:val="17"/>
              </w:rPr>
              <w:t>Consigne utilisée</w:t>
            </w:r>
          </w:p>
        </w:tc>
        <w:tc>
          <w:tcPr>
            <w:tcW w:type="dxa" w:w="2606"/>
            <w:vAlign w:val="center"/>
            <w:shd w:fill="D9EAF7"/>
          </w:tcPr>
          <w:p>
            <w:r/>
            <w:r>
              <w:rPr>
                <w:b/>
                <w:sz w:val="17"/>
              </w:rPr>
              <w:t>Rôle dans le calcul</w:t>
            </w:r>
          </w:p>
        </w:tc>
      </w:tr>
      <w:tr>
        <w:tc>
          <w:tcPr>
            <w:tcW w:type="dxa" w:w="2606"/>
            <w:vAlign w:val="center"/>
          </w:tcPr>
          <w:p>
            <w:r/>
            <w:r>
              <w:rPr>
                <w:b w:val="0"/>
                <w:sz w:val="17"/>
              </w:rPr>
              <w:t>Séjour</w:t>
            </w:r>
          </w:p>
        </w:tc>
        <w:tc>
          <w:tcPr>
            <w:tcW w:type="dxa" w:w="2606"/>
            <w:vAlign w:val="center"/>
          </w:tcPr>
          <w:p>
            <w:r/>
            <w:r>
              <w:rPr>
                <w:b w:val="0"/>
                <w:sz w:val="17"/>
              </w:rPr>
              <w:t>33 %</w:t>
            </w:r>
          </w:p>
        </w:tc>
        <w:tc>
          <w:tcPr>
            <w:tcW w:type="dxa" w:w="2606"/>
            <w:vAlign w:val="center"/>
          </w:tcPr>
          <w:p>
            <w:r/>
            <w:r>
              <w:rPr>
                <w:b w:val="0"/>
                <w:sz w:val="17"/>
              </w:rPr>
              <w:t>26 °C</w:t>
            </w:r>
          </w:p>
        </w:tc>
        <w:tc>
          <w:tcPr>
            <w:tcW w:type="dxa" w:w="2606"/>
            <w:vAlign w:val="center"/>
          </w:tcPr>
          <w:p>
            <w:r/>
            <w:r>
              <w:rPr>
                <w:b w:val="0"/>
                <w:sz w:val="17"/>
              </w:rPr>
              <w:t>Confort diurne et soirée</w:t>
            </w:r>
          </w:p>
        </w:tc>
      </w:tr>
      <w:tr>
        <w:tc>
          <w:tcPr>
            <w:tcW w:type="dxa" w:w="2606"/>
            <w:vAlign w:val="center"/>
          </w:tcPr>
          <w:p>
            <w:r/>
            <w:r>
              <w:rPr>
                <w:b w:val="0"/>
                <w:sz w:val="17"/>
              </w:rPr>
              <w:t>Chambres</w:t>
            </w:r>
          </w:p>
        </w:tc>
        <w:tc>
          <w:tcPr>
            <w:tcW w:type="dxa" w:w="2606"/>
            <w:vAlign w:val="center"/>
          </w:tcPr>
          <w:p>
            <w:r/>
            <w:r>
              <w:rPr>
                <w:b w:val="0"/>
                <w:sz w:val="17"/>
              </w:rPr>
              <w:t>33 %</w:t>
            </w:r>
          </w:p>
        </w:tc>
        <w:tc>
          <w:tcPr>
            <w:tcW w:type="dxa" w:w="2606"/>
            <w:vAlign w:val="center"/>
          </w:tcPr>
          <w:p>
            <w:r/>
            <w:r>
              <w:rPr>
                <w:b w:val="0"/>
                <w:sz w:val="17"/>
              </w:rPr>
              <w:t>24 °C nuit / 26 °C jour</w:t>
            </w:r>
          </w:p>
        </w:tc>
        <w:tc>
          <w:tcPr>
            <w:tcW w:type="dxa" w:w="2606"/>
            <w:vAlign w:val="center"/>
          </w:tcPr>
          <w:p>
            <w:r/>
            <w:r>
              <w:rPr>
                <w:b w:val="0"/>
                <w:sz w:val="17"/>
              </w:rPr>
              <w:t>Sommeil ; hypothèse dimensionnante</w:t>
            </w:r>
          </w:p>
        </w:tc>
      </w:tr>
      <w:tr>
        <w:tc>
          <w:tcPr>
            <w:tcW w:type="dxa" w:w="2606"/>
            <w:vAlign w:val="center"/>
          </w:tcPr>
          <w:p>
            <w:r/>
            <w:r>
              <w:rPr>
                <w:b w:val="0"/>
                <w:sz w:val="17"/>
              </w:rPr>
              <w:t>Pièces secondaires</w:t>
            </w:r>
          </w:p>
        </w:tc>
        <w:tc>
          <w:tcPr>
            <w:tcW w:type="dxa" w:w="2606"/>
            <w:vAlign w:val="center"/>
          </w:tcPr>
          <w:p>
            <w:r/>
            <w:r>
              <w:rPr>
                <w:b w:val="0"/>
                <w:sz w:val="17"/>
              </w:rPr>
              <w:t>34 %</w:t>
            </w:r>
          </w:p>
        </w:tc>
        <w:tc>
          <w:tcPr>
            <w:tcW w:type="dxa" w:w="2606"/>
            <w:vAlign w:val="center"/>
          </w:tcPr>
          <w:p>
            <w:r/>
            <w:r>
              <w:rPr>
                <w:b w:val="0"/>
                <w:sz w:val="17"/>
              </w:rPr>
              <w:t>26,5 °C</w:t>
            </w:r>
          </w:p>
        </w:tc>
        <w:tc>
          <w:tcPr>
            <w:tcW w:type="dxa" w:w="2606"/>
            <w:vAlign w:val="center"/>
          </w:tcPr>
          <w:p>
            <w:r/>
            <w:r>
              <w:rPr>
                <w:b w:val="0"/>
                <w:sz w:val="17"/>
              </w:rPr>
              <w:t>Hypothèse de confort moins exigeante</w:t>
            </w:r>
          </w:p>
        </w:tc>
      </w:tr>
    </w:tbl>
    <w:p>
      <w:r>
        <w:rPr>
          <w:rFonts w:ascii="Aptos" w:hAnsi="Aptos"/>
          <w:b/>
        </w:rPr>
        <w:t>Dépassement des cibles en 2050 sans rafraîchissement</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vAlign w:val="center"/>
            <w:shd w:fill="D9EAF7"/>
          </w:tcPr>
          <w:p>
            <w:r/>
            <w:r>
              <w:rPr>
                <w:b/>
                <w:sz w:val="17"/>
              </w:rPr>
              <w:t>Zone / cible</w:t>
            </w:r>
          </w:p>
        </w:tc>
        <w:tc>
          <w:tcPr>
            <w:tcW w:type="dxa" w:w="2606"/>
            <w:vAlign w:val="center"/>
            <w:shd w:fill="D9EAF7"/>
          </w:tcPr>
          <w:p>
            <w:r/>
            <w:r>
              <w:rPr>
                <w:b/>
                <w:sz w:val="17"/>
              </w:rPr>
              <w:t>Heures de dépassement</w:t>
            </w:r>
          </w:p>
        </w:tc>
        <w:tc>
          <w:tcPr>
            <w:tcW w:type="dxa" w:w="2606"/>
            <w:vAlign w:val="center"/>
            <w:shd w:fill="D9EAF7"/>
          </w:tcPr>
          <w:p>
            <w:r/>
            <w:r>
              <w:rPr>
                <w:b/>
                <w:sz w:val="17"/>
              </w:rPr>
              <w:t>Degrés-heures</w:t>
            </w:r>
          </w:p>
        </w:tc>
        <w:tc>
          <w:tcPr>
            <w:tcW w:type="dxa" w:w="2606"/>
            <w:vAlign w:val="center"/>
            <w:shd w:fill="D9EAF7"/>
          </w:tcPr>
          <w:p>
            <w:r/>
            <w:r>
              <w:rPr>
                <w:b/>
                <w:sz w:val="17"/>
              </w:rPr>
              <w:t>Dépassement maximal °C</w:t>
            </w:r>
          </w:p>
        </w:tc>
      </w:tr>
      <w:tr>
        <w:tc>
          <w:tcPr>
            <w:tcW w:type="dxa" w:w="2606"/>
            <w:vAlign w:val="center"/>
          </w:tcPr>
          <w:p>
            <w:r/>
            <w:r>
              <w:rPr>
                <w:b w:val="0"/>
                <w:sz w:val="17"/>
              </w:rPr>
              <w:t>Séjour cible 26°C</w:t>
            </w:r>
          </w:p>
        </w:tc>
        <w:tc>
          <w:tcPr>
            <w:tcW w:type="dxa" w:w="2606"/>
            <w:vAlign w:val="center"/>
          </w:tcPr>
          <w:p>
            <w:r/>
            <w:r>
              <w:rPr>
                <w:b w:val="0"/>
                <w:sz w:val="17"/>
              </w:rPr>
              <w:t>517</w:t>
            </w:r>
          </w:p>
        </w:tc>
        <w:tc>
          <w:tcPr>
            <w:tcW w:type="dxa" w:w="2606"/>
            <w:vAlign w:val="center"/>
          </w:tcPr>
          <w:p>
            <w:r/>
            <w:r>
              <w:rPr>
                <w:b w:val="0"/>
                <w:sz w:val="17"/>
              </w:rPr>
              <w:t>1818.83</w:t>
            </w:r>
          </w:p>
        </w:tc>
        <w:tc>
          <w:tcPr>
            <w:tcW w:type="dxa" w:w="2606"/>
            <w:vAlign w:val="center"/>
          </w:tcPr>
          <w:p>
            <w:r/>
            <w:r>
              <w:rPr>
                <w:b w:val="0"/>
                <w:sz w:val="17"/>
              </w:rPr>
              <w:t>7.77</w:t>
            </w:r>
          </w:p>
        </w:tc>
      </w:tr>
      <w:tr>
        <w:tc>
          <w:tcPr>
            <w:tcW w:type="dxa" w:w="2606"/>
            <w:vAlign w:val="center"/>
          </w:tcPr>
          <w:p>
            <w:r/>
            <w:r>
              <w:rPr>
                <w:b w:val="0"/>
                <w:sz w:val="17"/>
              </w:rPr>
              <w:t>Chambres cible 24°C nuit / 26°C jour</w:t>
            </w:r>
          </w:p>
        </w:tc>
        <w:tc>
          <w:tcPr>
            <w:tcW w:type="dxa" w:w="2606"/>
            <w:vAlign w:val="center"/>
          </w:tcPr>
          <w:p>
            <w:r/>
            <w:r>
              <w:rPr>
                <w:b w:val="0"/>
                <w:sz w:val="17"/>
              </w:rPr>
              <w:t>595</w:t>
            </w:r>
          </w:p>
        </w:tc>
        <w:tc>
          <w:tcPr>
            <w:tcW w:type="dxa" w:w="2606"/>
            <w:vAlign w:val="center"/>
          </w:tcPr>
          <w:p>
            <w:r/>
            <w:r>
              <w:rPr>
                <w:b w:val="0"/>
                <w:sz w:val="17"/>
              </w:rPr>
              <w:t>2413.61</w:t>
            </w:r>
          </w:p>
        </w:tc>
        <w:tc>
          <w:tcPr>
            <w:tcW w:type="dxa" w:w="2606"/>
            <w:vAlign w:val="center"/>
          </w:tcPr>
          <w:p>
            <w:r/>
            <w:r>
              <w:rPr>
                <w:b w:val="0"/>
                <w:sz w:val="17"/>
              </w:rPr>
              <w:t>9.77</w:t>
            </w:r>
          </w:p>
        </w:tc>
      </w:tr>
      <w:tr>
        <w:tc>
          <w:tcPr>
            <w:tcW w:type="dxa" w:w="2606"/>
            <w:vAlign w:val="center"/>
          </w:tcPr>
          <w:p>
            <w:r/>
            <w:r>
              <w:rPr>
                <w:b w:val="0"/>
                <w:sz w:val="17"/>
              </w:rPr>
              <w:t>Pièces secondaires cible 26,5°C</w:t>
            </w:r>
          </w:p>
        </w:tc>
        <w:tc>
          <w:tcPr>
            <w:tcW w:type="dxa" w:w="2606"/>
            <w:vAlign w:val="center"/>
          </w:tcPr>
          <w:p>
            <w:r/>
            <w:r>
              <w:rPr>
                <w:b w:val="0"/>
                <w:sz w:val="17"/>
              </w:rPr>
              <w:t>469</w:t>
            </w:r>
          </w:p>
        </w:tc>
        <w:tc>
          <w:tcPr>
            <w:tcW w:type="dxa" w:w="2606"/>
            <w:vAlign w:val="center"/>
          </w:tcPr>
          <w:p>
            <w:r/>
            <w:r>
              <w:rPr>
                <w:b w:val="0"/>
                <w:sz w:val="17"/>
              </w:rPr>
              <w:t>1573.33</w:t>
            </w:r>
          </w:p>
        </w:tc>
        <w:tc>
          <w:tcPr>
            <w:tcW w:type="dxa" w:w="2606"/>
            <w:vAlign w:val="center"/>
          </w:tcPr>
          <w:p>
            <w:r/>
            <w:r>
              <w:rPr>
                <w:b w:val="0"/>
                <w:sz w:val="17"/>
              </w:rPr>
              <w:t>7.27</w:t>
            </w:r>
          </w:p>
        </w:tc>
      </w:tr>
    </w:tbl>
    <w:p>
      <w:pPr>
        <w:jc w:val="center"/>
      </w:pPr>
      <w:r>
        <w:rPr>
          <w:rFonts w:ascii="Aptos" w:hAnsi="Aptos"/>
        </w:rPr>
        <w:drawing>
          <wp:inline xmlns:a="http://schemas.openxmlformats.org/drawingml/2006/main" xmlns:pic="http://schemas.openxmlformats.org/drawingml/2006/picture">
            <wp:extent cx="5989320" cy="2604052"/>
            <wp:docPr id="3" name="Picture 3"/>
            <wp:cNvGraphicFramePr>
              <a:graphicFrameLocks noChangeAspect="1"/>
            </wp:cNvGraphicFramePr>
            <a:graphic>
              <a:graphicData uri="http://schemas.openxmlformats.org/drawingml/2006/picture">
                <pic:pic>
                  <pic:nvPicPr>
                    <pic:cNvPr id="0" name="03_cibles_zones_2050.png"/>
                    <pic:cNvPicPr/>
                  </pic:nvPicPr>
                  <pic:blipFill>
                    <a:blip r:embed="rId21"/>
                    <a:stretch>
                      <a:fillRect/>
                    </a:stretch>
                  </pic:blipFill>
                  <pic:spPr>
                    <a:xfrm>
                      <a:off x="0" y="0"/>
                      <a:ext cx="5989320" cy="2604052"/>
                    </a:xfrm>
                    <a:prstGeom prst="rect"/>
                  </pic:spPr>
                </pic:pic>
              </a:graphicData>
            </a:graphic>
          </wp:inline>
        </w:drawing>
      </w:r>
    </w:p>
    <w:p>
      <w:pPr>
        <w:jc w:val="center"/>
      </w:pPr>
      <w:r>
        <w:rPr>
          <w:rFonts w:ascii="Aptos" w:hAnsi="Aptos"/>
          <w:i/>
          <w:sz w:val="17"/>
        </w:rPr>
        <w:t>Figure 3 - Projection 2050 sans froid : comparaison avec les cibles de séjour et de chambres.</w:t>
      </w:r>
    </w:p>
    <w:p>
      <w:pPr>
        <w:pStyle w:val="Heading1"/>
      </w:pPr>
      <w:r>
        <w:rPr>
          <w:rFonts w:ascii="Aptos" w:hAnsi="Aptos"/>
        </w:rPr>
        <w:t>4.2.4 Effet du vitrage : hypothèse 60 % simple vitrage / 40 % double vitrage</w:t>
      </w:r>
    </w:p>
    <w:p>
      <w:r>
        <w:rPr>
          <w:rFonts w:ascii="Aptos" w:hAnsi="Aptos"/>
        </w:rPr>
        <w:t>Le CSV donne une température moyenne de résidence ; il ne permet pas d’identifier individuellement chaque logement. Pour tester l’effet du parc de fenêtres, la simulation applique une pondération 60 % simple vitrage et 40 % double vitrage. Les coefficients de gain sont choisis pour conserver la moyenne globale calibrée tout en créant deux comportements contrastés : le simple vitrage reçoit un facteur de gain supérieur, le double vitrage un facteur inférieur.</w:t>
      </w:r>
    </w:p>
    <w:p>
      <w:r>
        <w:rPr>
          <w:rFonts w:ascii="Aptos" w:hAnsi="Aptos"/>
          <w:b/>
        </w:rPr>
        <w:t>Hypothèse de pondération vitrage utilisée dans la simulation</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vAlign w:val="center"/>
            <w:shd w:fill="D9EAF7"/>
          </w:tcPr>
          <w:p>
            <w:r/>
            <w:r>
              <w:rPr>
                <w:b/>
                <w:sz w:val="17"/>
              </w:rPr>
              <w:t>Type</w:t>
            </w:r>
          </w:p>
        </w:tc>
        <w:tc>
          <w:tcPr>
            <w:tcW w:type="dxa" w:w="2606"/>
            <w:vAlign w:val="center"/>
            <w:shd w:fill="D9EAF7"/>
          </w:tcPr>
          <w:p>
            <w:r/>
            <w:r>
              <w:rPr>
                <w:b/>
                <w:sz w:val="17"/>
              </w:rPr>
              <w:t>Part hypothétique</w:t>
            </w:r>
          </w:p>
        </w:tc>
        <w:tc>
          <w:tcPr>
            <w:tcW w:type="dxa" w:w="2606"/>
            <w:vAlign w:val="center"/>
            <w:shd w:fill="D9EAF7"/>
          </w:tcPr>
          <w:p>
            <w:r/>
            <w:r>
              <w:rPr>
                <w:b/>
                <w:sz w:val="17"/>
              </w:rPr>
              <w:t>Facteur appliqué</w:t>
            </w:r>
          </w:p>
        </w:tc>
        <w:tc>
          <w:tcPr>
            <w:tcW w:type="dxa" w:w="2606"/>
            <w:vAlign w:val="center"/>
            <w:shd w:fill="D9EAF7"/>
          </w:tcPr>
          <w:p>
            <w:r/>
            <w:r>
              <w:rPr>
                <w:b/>
                <w:sz w:val="17"/>
              </w:rPr>
              <w:t>Interprétation</w:t>
            </w:r>
          </w:p>
        </w:tc>
      </w:tr>
      <w:tr>
        <w:tc>
          <w:tcPr>
            <w:tcW w:type="dxa" w:w="2606"/>
            <w:vAlign w:val="center"/>
          </w:tcPr>
          <w:p>
            <w:r/>
            <w:r>
              <w:rPr>
                <w:b w:val="0"/>
                <w:sz w:val="17"/>
              </w:rPr>
              <w:t>Simple vitrage</w:t>
            </w:r>
          </w:p>
        </w:tc>
        <w:tc>
          <w:tcPr>
            <w:tcW w:type="dxa" w:w="2606"/>
            <w:vAlign w:val="center"/>
          </w:tcPr>
          <w:p>
            <w:r/>
            <w:r>
              <w:rPr>
                <w:b w:val="0"/>
                <w:sz w:val="17"/>
              </w:rPr>
              <w:t>60 %</w:t>
            </w:r>
          </w:p>
        </w:tc>
        <w:tc>
          <w:tcPr>
            <w:tcW w:type="dxa" w:w="2606"/>
            <w:vAlign w:val="center"/>
          </w:tcPr>
          <w:p>
            <w:r/>
            <w:r>
              <w:rPr>
                <w:b w:val="0"/>
                <w:sz w:val="17"/>
              </w:rPr>
              <w:t>1,15</w:t>
            </w:r>
          </w:p>
        </w:tc>
        <w:tc>
          <w:tcPr>
            <w:tcW w:type="dxa" w:w="2606"/>
            <w:vAlign w:val="center"/>
          </w:tcPr>
          <w:p>
            <w:r/>
            <w:r>
              <w:rPr>
                <w:b w:val="0"/>
                <w:sz w:val="17"/>
              </w:rPr>
              <w:t>Plus sensible aux apports et aux échanges extérieurs</w:t>
            </w:r>
          </w:p>
        </w:tc>
      </w:tr>
      <w:tr>
        <w:tc>
          <w:tcPr>
            <w:tcW w:type="dxa" w:w="2606"/>
            <w:vAlign w:val="center"/>
          </w:tcPr>
          <w:p>
            <w:r/>
            <w:r>
              <w:rPr>
                <w:b w:val="0"/>
                <w:sz w:val="17"/>
              </w:rPr>
              <w:t>Double vitrage</w:t>
            </w:r>
          </w:p>
        </w:tc>
        <w:tc>
          <w:tcPr>
            <w:tcW w:type="dxa" w:w="2606"/>
            <w:vAlign w:val="center"/>
          </w:tcPr>
          <w:p>
            <w:r/>
            <w:r>
              <w:rPr>
                <w:b w:val="0"/>
                <w:sz w:val="17"/>
              </w:rPr>
              <w:t>40 %</w:t>
            </w:r>
          </w:p>
        </w:tc>
        <w:tc>
          <w:tcPr>
            <w:tcW w:type="dxa" w:w="2606"/>
            <w:vAlign w:val="center"/>
          </w:tcPr>
          <w:p>
            <w:r/>
            <w:r>
              <w:rPr>
                <w:b w:val="0"/>
                <w:sz w:val="17"/>
              </w:rPr>
              <w:t>0,775</w:t>
            </w:r>
          </w:p>
        </w:tc>
        <w:tc>
          <w:tcPr>
            <w:tcW w:type="dxa" w:w="2606"/>
            <w:vAlign w:val="center"/>
          </w:tcPr>
          <w:p>
            <w:r/>
            <w:r>
              <w:rPr>
                <w:b w:val="0"/>
                <w:sz w:val="17"/>
              </w:rPr>
              <w:t>Moins sensible ; pondération choisie pour conserver la moyenne globale</w:t>
            </w:r>
          </w:p>
        </w:tc>
      </w:tr>
      <w:tr>
        <w:tc>
          <w:tcPr>
            <w:tcW w:type="dxa" w:w="2606"/>
            <w:vAlign w:val="center"/>
          </w:tcPr>
          <w:p>
            <w:r/>
            <w:r>
              <w:rPr>
                <w:b w:val="0"/>
                <w:sz w:val="17"/>
              </w:rPr>
              <w:t>Moyenne pondérée</w:t>
            </w:r>
          </w:p>
        </w:tc>
        <w:tc>
          <w:tcPr>
            <w:tcW w:type="dxa" w:w="2606"/>
            <w:vAlign w:val="center"/>
          </w:tcPr>
          <w:p>
            <w:r/>
            <w:r>
              <w:rPr>
                <w:b w:val="0"/>
                <w:sz w:val="17"/>
              </w:rPr>
              <w:t>100 %</w:t>
            </w:r>
          </w:p>
        </w:tc>
        <w:tc>
          <w:tcPr>
            <w:tcW w:type="dxa" w:w="2606"/>
            <w:vAlign w:val="center"/>
          </w:tcPr>
          <w:p>
            <w:r/>
            <w:r>
              <w:rPr>
                <w:b w:val="0"/>
                <w:sz w:val="17"/>
              </w:rPr>
              <w:t>1,00</w:t>
            </w:r>
          </w:p>
        </w:tc>
        <w:tc>
          <w:tcPr>
            <w:tcW w:type="dxa" w:w="2606"/>
            <w:vAlign w:val="center"/>
          </w:tcPr>
          <w:p>
            <w:r/>
            <w:r>
              <w:rPr>
                <w:b w:val="0"/>
                <w:sz w:val="17"/>
              </w:rPr>
              <w:t>Cohérente avec le comportement moyen mesuré par le CSV</w:t>
            </w:r>
          </w:p>
        </w:tc>
      </w:tr>
    </w:tbl>
    <w:p>
      <w:pPr>
        <w:jc w:val="center"/>
      </w:pPr>
      <w:r>
        <w:rPr>
          <w:rFonts w:ascii="Aptos" w:hAnsi="Aptos"/>
        </w:rPr>
        <w:drawing>
          <wp:inline xmlns:a="http://schemas.openxmlformats.org/drawingml/2006/main" xmlns:pic="http://schemas.openxmlformats.org/drawingml/2006/picture">
            <wp:extent cx="5989320" cy="2687382"/>
            <wp:docPr id="4" name="Picture 4"/>
            <wp:cNvGraphicFramePr>
              <a:graphicFrameLocks noChangeAspect="1"/>
            </wp:cNvGraphicFramePr>
            <a:graphic>
              <a:graphicData uri="http://schemas.openxmlformats.org/drawingml/2006/picture">
                <pic:pic>
                  <pic:nvPicPr>
                    <pic:cNvPr id="0" name="04_vitrage_2050.png"/>
                    <pic:cNvPicPr/>
                  </pic:nvPicPr>
                  <pic:blipFill>
                    <a:blip r:embed="rId22"/>
                    <a:stretch>
                      <a:fillRect/>
                    </a:stretch>
                  </pic:blipFill>
                  <pic:spPr>
                    <a:xfrm>
                      <a:off x="0" y="0"/>
                      <a:ext cx="5989320" cy="2687382"/>
                    </a:xfrm>
                    <a:prstGeom prst="rect"/>
                  </pic:spPr>
                </pic:pic>
              </a:graphicData>
            </a:graphic>
          </wp:inline>
        </w:drawing>
      </w:r>
    </w:p>
    <w:p>
      <w:pPr>
        <w:jc w:val="center"/>
      </w:pPr>
      <w:r>
        <w:rPr>
          <w:rFonts w:ascii="Aptos" w:hAnsi="Aptos"/>
          <w:i/>
          <w:sz w:val="17"/>
        </w:rPr>
        <w:t>Figure 4 - Influence apparente du vitrage sur la température libre projetée en 2050.</w:t>
      </w:r>
    </w:p>
    <w:p>
      <w:pPr>
        <w:pStyle w:val="Heading1"/>
      </w:pPr>
      <w:r>
        <w:rPr>
          <w:rFonts w:ascii="Aptos" w:hAnsi="Aptos"/>
        </w:rPr>
        <w:t>4.2.5 Calcul dynamique de puissance froid</w:t>
      </w:r>
    </w:p>
    <w:p>
      <w:r>
        <w:rPr>
          <w:rFonts w:ascii="Aptos" w:hAnsi="Aptos"/>
        </w:rPr>
        <w:t>La puissance froide est calculée heure par heure. À chaque pas horaire, le modèle calcule d’abord la température que prendrait le bâtiment sans froid. Si cette température dépasse la consigne de la zone considérée, la puissance froide nécessaire est la puissance permettant de ramener cette zone à sa consigne au pas horaire suivant.</w:t>
      </w:r>
    </w:p>
    <w:p>
      <w:pPr>
        <w:jc w:val="center"/>
      </w:pPr>
      <w:r>
        <w:rPr>
          <w:rFonts w:ascii="Aptos" w:hAnsi="Aptos"/>
          <w:b/>
        </w:rPr>
        <w:t>Q_froid(t) = C_zone · max[0 ; T_libre(t+1) − T_cible(t+1)] / Δt</w:t>
      </w:r>
    </w:p>
    <w:p>
      <w:r>
        <w:rPr>
          <w:rFonts w:ascii="Aptos" w:hAnsi="Aptos"/>
        </w:rPr>
        <w:t>La puissance totale est la somme des puissances par zone et par type de vitrage. Le calcul ne suppose pas que tous les logements appellent leur puissance maximale en permanence ; il simule la dynamique horaire de la période observée translatée en climat 2050.</w:t>
      </w:r>
    </w:p>
    <w:p>
      <w:pPr>
        <w:jc w:val="center"/>
      </w:pPr>
      <w:r>
        <w:rPr>
          <w:rFonts w:ascii="Aptos" w:hAnsi="Aptos"/>
        </w:rPr>
        <w:drawing>
          <wp:inline xmlns:a="http://schemas.openxmlformats.org/drawingml/2006/main" xmlns:pic="http://schemas.openxmlformats.org/drawingml/2006/picture">
            <wp:extent cx="5989320" cy="2685047"/>
            <wp:docPr id="5" name="Picture 5"/>
            <wp:cNvGraphicFramePr>
              <a:graphicFrameLocks noChangeAspect="1"/>
            </wp:cNvGraphicFramePr>
            <a:graphic>
              <a:graphicData uri="http://schemas.openxmlformats.org/drawingml/2006/picture">
                <pic:pic>
                  <pic:nvPicPr>
                    <pic:cNvPr id="0" name="05_puissance_2050_capacites.png"/>
                    <pic:cNvPicPr/>
                  </pic:nvPicPr>
                  <pic:blipFill>
                    <a:blip r:embed="rId23"/>
                    <a:stretch>
                      <a:fillRect/>
                    </a:stretch>
                  </pic:blipFill>
                  <pic:spPr>
                    <a:xfrm>
                      <a:off x="0" y="0"/>
                      <a:ext cx="5989320" cy="2685047"/>
                    </a:xfrm>
                    <a:prstGeom prst="rect"/>
                  </pic:spPr>
                </pic:pic>
              </a:graphicData>
            </a:graphic>
          </wp:inline>
        </w:drawing>
      </w:r>
    </w:p>
    <w:p>
      <w:pPr>
        <w:jc w:val="center"/>
      </w:pPr>
      <w:r>
        <w:rPr>
          <w:rFonts w:ascii="Aptos" w:hAnsi="Aptos"/>
          <w:i/>
          <w:sz w:val="17"/>
        </w:rPr>
        <w:t>Figure 5 - Puissance frigorifique horaire appelée en scénario 2050 avec les cibles 24 °C chambres / 26 °C séjour.</w:t>
      </w:r>
    </w:p>
    <w:p>
      <w:pPr>
        <w:pStyle w:val="Heading1"/>
      </w:pPr>
      <w:r>
        <w:rPr>
          <w:rFonts w:ascii="Aptos" w:hAnsi="Aptos"/>
        </w:rPr>
        <w:t>4.2.6 Marges pour 2 MW, 2,5 MW et 3 MW</w:t>
      </w:r>
    </w:p>
    <w:p>
      <w:r>
        <w:rPr>
          <w:rFonts w:ascii="Aptos" w:hAnsi="Aptos"/>
          <w:b/>
        </w:rPr>
        <w:t>Résultats dynamiques 2050 pour les capacités 2 / 2,5 / 3 MW</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c>
          <w:tcPr>
            <w:tcW w:type="dxa" w:w="1738"/>
            <w:vAlign w:val="center"/>
            <w:shd w:fill="D9EAF7"/>
          </w:tcPr>
          <w:p>
            <w:r/>
            <w:r>
              <w:rPr>
                <w:b/>
                <w:sz w:val="17"/>
              </w:rPr>
              <w:t>Capacité installée</w:t>
            </w:r>
          </w:p>
        </w:tc>
        <w:tc>
          <w:tcPr>
            <w:tcW w:type="dxa" w:w="1738"/>
            <w:vAlign w:val="center"/>
            <w:shd w:fill="D9EAF7"/>
          </w:tcPr>
          <w:p>
            <w:r/>
            <w:r>
              <w:rPr>
                <w:b/>
                <w:sz w:val="17"/>
              </w:rPr>
              <w:t>Pic appelé</w:t>
            </w:r>
          </w:p>
        </w:tc>
        <w:tc>
          <w:tcPr>
            <w:tcW w:type="dxa" w:w="1738"/>
            <w:vAlign w:val="center"/>
            <w:shd w:fill="D9EAF7"/>
          </w:tcPr>
          <w:p>
            <w:r/>
            <w:r>
              <w:rPr>
                <w:b/>
                <w:sz w:val="17"/>
              </w:rPr>
              <w:t>Énergie froid</w:t>
            </w:r>
          </w:p>
        </w:tc>
        <w:tc>
          <w:tcPr>
            <w:tcW w:type="dxa" w:w="1738"/>
            <w:vAlign w:val="center"/>
            <w:shd w:fill="D9EAF7"/>
          </w:tcPr>
          <w:p>
            <w:r/>
            <w:r>
              <w:rPr>
                <w:b/>
                <w:sz w:val="17"/>
              </w:rPr>
              <w:t>Heures saturation</w:t>
            </w:r>
          </w:p>
        </w:tc>
        <w:tc>
          <w:tcPr>
            <w:tcW w:type="dxa" w:w="1738"/>
            <w:vAlign w:val="center"/>
            <w:shd w:fill="D9EAF7"/>
          </w:tcPr>
          <w:p>
            <w:r/>
            <w:r>
              <w:rPr>
                <w:b/>
                <w:sz w:val="17"/>
              </w:rPr>
              <w:t>Marge minimale</w:t>
            </w:r>
          </w:p>
        </w:tc>
        <w:tc>
          <w:tcPr>
            <w:tcW w:type="dxa" w:w="1738"/>
            <w:vAlign w:val="center"/>
            <w:shd w:fill="D9EAF7"/>
          </w:tcPr>
          <w:p>
            <w:r/>
            <w:r>
              <w:rPr>
                <w:b/>
                <w:sz w:val="17"/>
              </w:rPr>
              <w:t>T max contrôlée</w:t>
            </w:r>
          </w:p>
        </w:tc>
      </w:tr>
      <w:tr>
        <w:tc>
          <w:tcPr>
            <w:tcW w:type="dxa" w:w="1738"/>
            <w:vAlign w:val="center"/>
          </w:tcPr>
          <w:p>
            <w:r/>
            <w:r>
              <w:rPr>
                <w:b w:val="0"/>
                <w:sz w:val="17"/>
              </w:rPr>
              <w:t>2 MW</w:t>
            </w:r>
          </w:p>
        </w:tc>
        <w:tc>
          <w:tcPr>
            <w:tcW w:type="dxa" w:w="1738"/>
            <w:vAlign w:val="center"/>
          </w:tcPr>
          <w:p>
            <w:r/>
            <w:r>
              <w:rPr>
                <w:b w:val="0"/>
                <w:sz w:val="17"/>
              </w:rPr>
              <w:t>2.00 MW</w:t>
            </w:r>
          </w:p>
        </w:tc>
        <w:tc>
          <w:tcPr>
            <w:tcW w:type="dxa" w:w="1738"/>
            <w:vAlign w:val="center"/>
          </w:tcPr>
          <w:p>
            <w:r/>
            <w:r>
              <w:rPr>
                <w:b w:val="0"/>
                <w:sz w:val="17"/>
              </w:rPr>
              <w:t>73.8 MWh</w:t>
            </w:r>
          </w:p>
        </w:tc>
        <w:tc>
          <w:tcPr>
            <w:tcW w:type="dxa" w:w="1738"/>
            <w:vAlign w:val="center"/>
          </w:tcPr>
          <w:p>
            <w:r/>
            <w:r>
              <w:rPr>
                <w:b w:val="0"/>
                <w:sz w:val="17"/>
              </w:rPr>
              <w:t>3</w:t>
            </w:r>
          </w:p>
        </w:tc>
        <w:tc>
          <w:tcPr>
            <w:tcW w:type="dxa" w:w="1738"/>
            <w:vAlign w:val="center"/>
          </w:tcPr>
          <w:p>
            <w:r/>
            <w:r>
              <w:rPr>
                <w:b w:val="0"/>
                <w:sz w:val="17"/>
              </w:rPr>
              <w:t>0.00 MW</w:t>
            </w:r>
          </w:p>
        </w:tc>
        <w:tc>
          <w:tcPr>
            <w:tcW w:type="dxa" w:w="1738"/>
            <w:vAlign w:val="center"/>
          </w:tcPr>
          <w:p>
            <w:r/>
            <w:r>
              <w:rPr>
                <w:b w:val="0"/>
                <w:sz w:val="17"/>
              </w:rPr>
              <w:t>26.0 °C</w:t>
            </w:r>
          </w:p>
        </w:tc>
      </w:tr>
      <w:tr>
        <w:tc>
          <w:tcPr>
            <w:tcW w:type="dxa" w:w="1738"/>
            <w:vAlign w:val="center"/>
          </w:tcPr>
          <w:p>
            <w:r/>
            <w:r>
              <w:rPr>
                <w:b w:val="0"/>
                <w:sz w:val="17"/>
              </w:rPr>
              <w:t>2.5 MW</w:t>
            </w:r>
          </w:p>
        </w:tc>
        <w:tc>
          <w:tcPr>
            <w:tcW w:type="dxa" w:w="1738"/>
            <w:vAlign w:val="center"/>
          </w:tcPr>
          <w:p>
            <w:r/>
            <w:r>
              <w:rPr>
                <w:b w:val="0"/>
                <w:sz w:val="17"/>
              </w:rPr>
              <w:t>2.50 MW</w:t>
            </w:r>
          </w:p>
        </w:tc>
        <w:tc>
          <w:tcPr>
            <w:tcW w:type="dxa" w:w="1738"/>
            <w:vAlign w:val="center"/>
          </w:tcPr>
          <w:p>
            <w:r/>
            <w:r>
              <w:rPr>
                <w:b w:val="0"/>
                <w:sz w:val="17"/>
              </w:rPr>
              <w:t>73.8 MWh</w:t>
            </w:r>
          </w:p>
        </w:tc>
        <w:tc>
          <w:tcPr>
            <w:tcW w:type="dxa" w:w="1738"/>
            <w:vAlign w:val="center"/>
          </w:tcPr>
          <w:p>
            <w:r/>
            <w:r>
              <w:rPr>
                <w:b w:val="0"/>
                <w:sz w:val="17"/>
              </w:rPr>
              <w:t>1</w:t>
            </w:r>
          </w:p>
        </w:tc>
        <w:tc>
          <w:tcPr>
            <w:tcW w:type="dxa" w:w="1738"/>
            <w:vAlign w:val="center"/>
          </w:tcPr>
          <w:p>
            <w:r/>
            <w:r>
              <w:rPr>
                <w:b w:val="0"/>
                <w:sz w:val="17"/>
              </w:rPr>
              <w:t>0.00 MW</w:t>
            </w:r>
          </w:p>
        </w:tc>
        <w:tc>
          <w:tcPr>
            <w:tcW w:type="dxa" w:w="1738"/>
            <w:vAlign w:val="center"/>
          </w:tcPr>
          <w:p>
            <w:r/>
            <w:r>
              <w:rPr>
                <w:b w:val="0"/>
                <w:sz w:val="17"/>
              </w:rPr>
              <w:t>26.0 °C</w:t>
            </w:r>
          </w:p>
        </w:tc>
      </w:tr>
      <w:tr>
        <w:tc>
          <w:tcPr>
            <w:tcW w:type="dxa" w:w="1738"/>
            <w:vAlign w:val="center"/>
          </w:tcPr>
          <w:p>
            <w:r/>
            <w:r>
              <w:rPr>
                <w:b w:val="0"/>
                <w:sz w:val="17"/>
              </w:rPr>
              <w:t>3 MW</w:t>
            </w:r>
          </w:p>
        </w:tc>
        <w:tc>
          <w:tcPr>
            <w:tcW w:type="dxa" w:w="1738"/>
            <w:vAlign w:val="center"/>
          </w:tcPr>
          <w:p>
            <w:r/>
            <w:r>
              <w:rPr>
                <w:b w:val="0"/>
                <w:sz w:val="17"/>
              </w:rPr>
              <w:t>2.65 MW</w:t>
            </w:r>
          </w:p>
        </w:tc>
        <w:tc>
          <w:tcPr>
            <w:tcW w:type="dxa" w:w="1738"/>
            <w:vAlign w:val="center"/>
          </w:tcPr>
          <w:p>
            <w:r/>
            <w:r>
              <w:rPr>
                <w:b w:val="0"/>
                <w:sz w:val="17"/>
              </w:rPr>
              <w:t>73.8 MWh</w:t>
            </w:r>
          </w:p>
        </w:tc>
        <w:tc>
          <w:tcPr>
            <w:tcW w:type="dxa" w:w="1738"/>
            <w:vAlign w:val="center"/>
          </w:tcPr>
          <w:p>
            <w:r/>
            <w:r>
              <w:rPr>
                <w:b w:val="0"/>
                <w:sz w:val="17"/>
              </w:rPr>
              <w:t>0</w:t>
            </w:r>
          </w:p>
        </w:tc>
        <w:tc>
          <w:tcPr>
            <w:tcW w:type="dxa" w:w="1738"/>
            <w:vAlign w:val="center"/>
          </w:tcPr>
          <w:p>
            <w:r/>
            <w:r>
              <w:rPr>
                <w:b w:val="0"/>
                <w:sz w:val="17"/>
              </w:rPr>
              <w:t>0.35 MW</w:t>
            </w:r>
          </w:p>
        </w:tc>
        <w:tc>
          <w:tcPr>
            <w:tcW w:type="dxa" w:w="1738"/>
            <w:vAlign w:val="center"/>
          </w:tcPr>
          <w:p>
            <w:r/>
            <w:r>
              <w:rPr>
                <w:b w:val="0"/>
                <w:sz w:val="17"/>
              </w:rPr>
              <w:t>26.0 °C</w:t>
            </w:r>
          </w:p>
        </w:tc>
      </w:tr>
    </w:tbl>
    <w:p>
      <w:pPr>
        <w:jc w:val="center"/>
      </w:pPr>
      <w:r>
        <w:rPr>
          <w:rFonts w:ascii="Aptos" w:hAnsi="Aptos"/>
        </w:rPr>
        <w:drawing>
          <wp:inline xmlns:a="http://schemas.openxmlformats.org/drawingml/2006/main" xmlns:pic="http://schemas.openxmlformats.org/drawingml/2006/picture">
            <wp:extent cx="5989320" cy="2913093"/>
            <wp:docPr id="6" name="Picture 6"/>
            <wp:cNvGraphicFramePr>
              <a:graphicFrameLocks noChangeAspect="1"/>
            </wp:cNvGraphicFramePr>
            <a:graphic>
              <a:graphicData uri="http://schemas.openxmlformats.org/drawingml/2006/picture">
                <pic:pic>
                  <pic:nvPicPr>
                    <pic:cNvPr id="0" name="06_marges_2050.png"/>
                    <pic:cNvPicPr/>
                  </pic:nvPicPr>
                  <pic:blipFill>
                    <a:blip r:embed="rId24"/>
                    <a:stretch>
                      <a:fillRect/>
                    </a:stretch>
                  </pic:blipFill>
                  <pic:spPr>
                    <a:xfrm>
                      <a:off x="0" y="0"/>
                      <a:ext cx="5989320" cy="2913093"/>
                    </a:xfrm>
                    <a:prstGeom prst="rect"/>
                  </pic:spPr>
                </pic:pic>
              </a:graphicData>
            </a:graphic>
          </wp:inline>
        </w:drawing>
      </w:r>
    </w:p>
    <w:p>
      <w:pPr>
        <w:jc w:val="center"/>
      </w:pPr>
      <w:r>
        <w:rPr>
          <w:rFonts w:ascii="Aptos" w:hAnsi="Aptos"/>
          <w:i/>
          <w:sz w:val="17"/>
        </w:rPr>
        <w:t>Figure 6 - Marge minimale calculée sur le pic appelé dans le scénario 2050.</w:t>
      </w:r>
    </w:p>
    <w:p>
      <w:pPr>
        <w:ind w:left="170"/>
      </w:pPr>
      <w:r>
        <w:rPr>
          <w:rFonts w:ascii="Aptos" w:hAnsi="Aptos"/>
          <w:i/>
          <w:sz w:val="19"/>
        </w:rPr>
        <w:t>Dans cette simulation moyenne, les trois capacités couvrent le besoin horaire calculé sur la période. La lecture d’ingénierie est différente : 2 MW couvre le modèle moyen, 2,5 MW ajoute une marge pour diversité réelle et pertes, 3 MW constitue une enveloppe robuste pour logements défavorisés et incertitudes.</w:t>
      </w:r>
    </w:p>
    <w:p>
      <w:pPr>
        <w:pStyle w:val="Heading1"/>
      </w:pPr>
      <w:r>
        <w:rPr>
          <w:rFonts w:ascii="Aptos" w:hAnsi="Aptos"/>
        </w:rPr>
        <w:t>4.2.7 Contribution des zones au besoin de froid</w:t>
      </w:r>
    </w:p>
    <w:p>
      <w:r>
        <w:rPr>
          <w:rFonts w:ascii="Aptos" w:hAnsi="Aptos"/>
        </w:rPr>
        <w:t>La répartition par zone montre pourquoi les chambres doivent être explicitement intégrées au modèle. Leur consigne plus basse, notamment la nuit, transforme le besoin de confort en besoin sanitaire et non seulement en besoin de confort de séjour.</w:t>
      </w:r>
    </w:p>
    <w:p>
      <w:r>
        <w:rPr>
          <w:rFonts w:ascii="Aptos" w:hAnsi="Aptos"/>
          <w:b/>
        </w:rPr>
        <w:t>Énergie froide par zone sur la période 2050 simulée</w:t>
      </w:r>
    </w:p>
    <w:tbl>
      <w:tblPr>
        <w:tblStyle w:val="TableGrid"/>
        <w:tblW w:type="auto" w:w="0"/>
        <w:jc w:val="center"/>
        <w:tblLook w:firstColumn="1" w:firstRow="1" w:lastColumn="0" w:lastRow="0" w:noHBand="0" w:noVBand="1" w:val="04A0"/>
      </w:tblPr>
      <w:tblGrid>
        <w:gridCol w:w="3475"/>
        <w:gridCol w:w="3475"/>
        <w:gridCol w:w="3475"/>
      </w:tblGrid>
      <w:tr>
        <w:tc>
          <w:tcPr>
            <w:tcW w:type="dxa" w:w="3475"/>
            <w:vAlign w:val="center"/>
            <w:shd w:fill="D9EAF7"/>
          </w:tcPr>
          <w:p>
            <w:r/>
            <w:r>
              <w:rPr>
                <w:b/>
                <w:sz w:val="17"/>
              </w:rPr>
              <w:t>Zone</w:t>
            </w:r>
          </w:p>
        </w:tc>
        <w:tc>
          <w:tcPr>
            <w:tcW w:type="dxa" w:w="3475"/>
            <w:vAlign w:val="center"/>
            <w:shd w:fill="D9EAF7"/>
          </w:tcPr>
          <w:p>
            <w:r/>
            <w:r>
              <w:rPr>
                <w:b/>
                <w:sz w:val="17"/>
              </w:rPr>
              <w:t>Énergie froide 2050</w:t>
            </w:r>
          </w:p>
        </w:tc>
        <w:tc>
          <w:tcPr>
            <w:tcW w:type="dxa" w:w="3475"/>
            <w:vAlign w:val="center"/>
            <w:shd w:fill="D9EAF7"/>
          </w:tcPr>
          <w:p>
            <w:r/>
            <w:r>
              <w:rPr>
                <w:b/>
                <w:sz w:val="17"/>
              </w:rPr>
              <w:t>Part relative</w:t>
            </w:r>
          </w:p>
        </w:tc>
      </w:tr>
      <w:tr>
        <w:tc>
          <w:tcPr>
            <w:tcW w:type="dxa" w:w="3475"/>
            <w:vAlign w:val="center"/>
          </w:tcPr>
          <w:p>
            <w:r/>
            <w:r>
              <w:rPr>
                <w:b w:val="0"/>
                <w:sz w:val="17"/>
              </w:rPr>
              <w:t>Séjour</w:t>
            </w:r>
          </w:p>
        </w:tc>
        <w:tc>
          <w:tcPr>
            <w:tcW w:type="dxa" w:w="3475"/>
            <w:vAlign w:val="center"/>
          </w:tcPr>
          <w:p>
            <w:r/>
            <w:r>
              <w:rPr>
                <w:b w:val="0"/>
                <w:sz w:val="17"/>
              </w:rPr>
              <w:t>22.2 MWh</w:t>
            </w:r>
          </w:p>
        </w:tc>
        <w:tc>
          <w:tcPr>
            <w:tcW w:type="dxa" w:w="3475"/>
            <w:vAlign w:val="center"/>
          </w:tcPr>
          <w:p>
            <w:r/>
            <w:r>
              <w:rPr>
                <w:b w:val="0"/>
                <w:sz w:val="17"/>
              </w:rPr>
              <w:t>30 %</w:t>
            </w:r>
          </w:p>
        </w:tc>
      </w:tr>
      <w:tr>
        <w:tc>
          <w:tcPr>
            <w:tcW w:type="dxa" w:w="3475"/>
            <w:vAlign w:val="center"/>
          </w:tcPr>
          <w:p>
            <w:r/>
            <w:r>
              <w:rPr>
                <w:b w:val="0"/>
                <w:sz w:val="17"/>
              </w:rPr>
              <w:t>Chambres</w:t>
            </w:r>
          </w:p>
        </w:tc>
        <w:tc>
          <w:tcPr>
            <w:tcW w:type="dxa" w:w="3475"/>
            <w:vAlign w:val="center"/>
          </w:tcPr>
          <w:p>
            <w:r/>
            <w:r>
              <w:rPr>
                <w:b w:val="0"/>
                <w:sz w:val="17"/>
              </w:rPr>
              <w:t>31.1 MWh</w:t>
            </w:r>
          </w:p>
        </w:tc>
        <w:tc>
          <w:tcPr>
            <w:tcW w:type="dxa" w:w="3475"/>
            <w:vAlign w:val="center"/>
          </w:tcPr>
          <w:p>
            <w:r/>
            <w:r>
              <w:rPr>
                <w:b w:val="0"/>
                <w:sz w:val="17"/>
              </w:rPr>
              <w:t>42 %</w:t>
            </w:r>
          </w:p>
        </w:tc>
      </w:tr>
      <w:tr>
        <w:tc>
          <w:tcPr>
            <w:tcW w:type="dxa" w:w="3475"/>
            <w:vAlign w:val="center"/>
          </w:tcPr>
          <w:p>
            <w:r/>
            <w:r>
              <w:rPr>
                <w:b w:val="0"/>
                <w:sz w:val="17"/>
              </w:rPr>
              <w:t>Pièces secondaires</w:t>
            </w:r>
          </w:p>
        </w:tc>
        <w:tc>
          <w:tcPr>
            <w:tcW w:type="dxa" w:w="3475"/>
            <w:vAlign w:val="center"/>
          </w:tcPr>
          <w:p>
            <w:r/>
            <w:r>
              <w:rPr>
                <w:b w:val="0"/>
                <w:sz w:val="17"/>
              </w:rPr>
              <w:t>20.6 MWh</w:t>
            </w:r>
          </w:p>
        </w:tc>
        <w:tc>
          <w:tcPr>
            <w:tcW w:type="dxa" w:w="3475"/>
            <w:vAlign w:val="center"/>
          </w:tcPr>
          <w:p>
            <w:r/>
            <w:r>
              <w:rPr>
                <w:b w:val="0"/>
                <w:sz w:val="17"/>
              </w:rPr>
              <w:t>28 %</w:t>
            </w:r>
          </w:p>
        </w:tc>
      </w:tr>
    </w:tbl>
    <w:p>
      <w:pPr>
        <w:jc w:val="center"/>
      </w:pPr>
      <w:r>
        <w:rPr>
          <w:rFonts w:ascii="Aptos" w:hAnsi="Aptos"/>
        </w:rPr>
        <w:drawing>
          <wp:inline xmlns:a="http://schemas.openxmlformats.org/drawingml/2006/main" xmlns:pic="http://schemas.openxmlformats.org/drawingml/2006/picture">
            <wp:extent cx="5989320" cy="2872202"/>
            <wp:docPr id="7" name="Picture 7"/>
            <wp:cNvGraphicFramePr>
              <a:graphicFrameLocks noChangeAspect="1"/>
            </wp:cNvGraphicFramePr>
            <a:graphic>
              <a:graphicData uri="http://schemas.openxmlformats.org/drawingml/2006/picture">
                <pic:pic>
                  <pic:nvPicPr>
                    <pic:cNvPr id="0" name="07_energie_zones.png"/>
                    <pic:cNvPicPr/>
                  </pic:nvPicPr>
                  <pic:blipFill>
                    <a:blip r:embed="rId25"/>
                    <a:stretch>
                      <a:fillRect/>
                    </a:stretch>
                  </pic:blipFill>
                  <pic:spPr>
                    <a:xfrm>
                      <a:off x="0" y="0"/>
                      <a:ext cx="5989320" cy="2872202"/>
                    </a:xfrm>
                    <a:prstGeom prst="rect"/>
                  </pic:spPr>
                </pic:pic>
              </a:graphicData>
            </a:graphic>
          </wp:inline>
        </w:drawing>
      </w:r>
    </w:p>
    <w:p>
      <w:pPr>
        <w:jc w:val="center"/>
      </w:pPr>
      <w:r>
        <w:rPr>
          <w:rFonts w:ascii="Aptos" w:hAnsi="Aptos"/>
          <w:i/>
          <w:sz w:val="17"/>
        </w:rPr>
        <w:t>Figure 7 - Contribution des zones au besoin de froid dans la simulation 2050.</w:t>
      </w:r>
    </w:p>
    <w:p>
      <w:r>
        <w:rPr>
          <w:rFonts w:ascii="Aptos" w:hAnsi="Aptos"/>
        </w:rPr>
        <w:br w:type="page"/>
      </w:r>
    </w:p>
    <w:p>
      <w:pPr>
        <w:pStyle w:val="Heading1"/>
      </w:pPr>
      <w:r>
        <w:rPr>
          <w:rFonts w:ascii="Aptos" w:hAnsi="Aptos"/>
        </w:rPr>
        <w:t>4.2.8 Inconfort cumulé sans rafraîchissement</w:t>
      </w:r>
    </w:p>
    <w:p>
      <w:r>
        <w:rPr>
          <w:rFonts w:ascii="Arial" w:hAnsi="Arial"/>
          <w:b w:val="0"/>
          <w:i w:val="0"/>
        </w:rPr>
        <w:t>La métrique précédente en degrés-heures est techniquement correcte mais trop abstraite pour décider. Elle additionne des écarts de température et des durées, ce qui rend la lecture difficile en réunion. La présente version conserve le calcul en arrière-plan, mais traduit l'inconfort en grandeurs directement compréhensibles par les occupants.</w:t>
      </w:r>
    </w:p>
    <w:p>
      <w:r>
        <w:rPr>
          <w:rFonts w:ascii="Arial" w:hAnsi="Arial"/>
          <w:b/>
          <w:i w:val="0"/>
        </w:rPr>
        <w:t>Métrique V3 retenue : nombre de nuits chaudes. Une nuit est analysée de 22 h à 7 h. Une nuit est classée chaude si la température dépasse un seuil pendant au moins 6 heures. Ce critère répond à une question simple : combien de nuits sont majoritairement trop chaudes pour récupérer ?</w:t>
      </w:r>
    </w:p>
    <w:p>
      <w:r>
        <w:rPr>
          <w:rFonts w:ascii="Arial" w:hAnsi="Arial"/>
          <w:b w:val="0"/>
          <w:i w:val="0"/>
        </w:rPr>
        <w:t>Trois seuils sont utilisés : &gt;26 °C pour une nuit inconfortable, &gt;28 °C pour une nuit très chaude, &gt;30 °C pour une nuit extrême. Le seuil &gt;24 °C reste utile comme cible de confort des chambres, mais il est trop sévère pour hiérarchiser les épisodes réellement critiques.</w:t>
      </w:r>
    </w:p>
    <w:tbl>
      <w:tblPr>
        <w:tblStyle w:val="TableGrid"/>
        <w:tblW w:type="auto" w:w="0"/>
        <w:jc w:val="center"/>
        <w:tblLook w:firstColumn="1" w:firstRow="1" w:lastColumn="0" w:lastRow="0" w:noHBand="0" w:noVBand="1" w:val="04A0"/>
      </w:tblPr>
      <w:tblGrid>
        <w:gridCol w:w="1128"/>
        <w:gridCol w:w="1128"/>
        <w:gridCol w:w="1128"/>
        <w:gridCol w:w="1128"/>
        <w:gridCol w:w="1128"/>
        <w:gridCol w:w="1128"/>
        <w:gridCol w:w="1128"/>
        <w:gridCol w:w="1128"/>
        <w:gridCol w:w="1128"/>
      </w:tblGrid>
      <w:tr>
        <w:tc>
          <w:tcPr>
            <w:tcW w:type="dxa" w:w="1128"/>
            <w:vAlign w:val="center"/>
          </w:tcPr>
          <w:p>
            <w:r>
              <w:rPr>
                <w:b/>
              </w:rPr>
              <w:t>Scénario sans rafraîchissement</w:t>
            </w:r>
          </w:p>
        </w:tc>
        <w:tc>
          <w:tcPr>
            <w:tcW w:type="dxa" w:w="1128"/>
            <w:vAlign w:val="center"/>
          </w:tcPr>
          <w:p>
            <w:r>
              <w:rPr>
                <w:b/>
              </w:rPr>
              <w:t>h &gt;26</w:t>
            </w:r>
          </w:p>
        </w:tc>
        <w:tc>
          <w:tcPr>
            <w:tcW w:type="dxa" w:w="1128"/>
            <w:vAlign w:val="center"/>
          </w:tcPr>
          <w:p>
            <w:r>
              <w:rPr>
                <w:b/>
              </w:rPr>
              <w:t>h &gt;28</w:t>
            </w:r>
          </w:p>
        </w:tc>
        <w:tc>
          <w:tcPr>
            <w:tcW w:type="dxa" w:w="1128"/>
            <w:vAlign w:val="center"/>
          </w:tcPr>
          <w:p>
            <w:r>
              <w:rPr>
                <w:b/>
              </w:rPr>
              <w:t>h &gt;30</w:t>
            </w:r>
          </w:p>
        </w:tc>
        <w:tc>
          <w:tcPr>
            <w:tcW w:type="dxa" w:w="1128"/>
            <w:vAlign w:val="center"/>
          </w:tcPr>
          <w:p>
            <w:r>
              <w:rPr>
                <w:b/>
              </w:rPr>
              <w:t>jours équiv. &gt;28</w:t>
            </w:r>
          </w:p>
        </w:tc>
        <w:tc>
          <w:tcPr>
            <w:tcW w:type="dxa" w:w="1128"/>
            <w:vAlign w:val="center"/>
          </w:tcPr>
          <w:p>
            <w:r>
              <w:rPr>
                <w:b/>
              </w:rPr>
              <w:t>nuits &gt;26 ≥6h</w:t>
            </w:r>
          </w:p>
        </w:tc>
        <w:tc>
          <w:tcPr>
            <w:tcW w:type="dxa" w:w="1128"/>
            <w:vAlign w:val="center"/>
          </w:tcPr>
          <w:p>
            <w:r>
              <w:rPr>
                <w:b/>
              </w:rPr>
              <w:t>nuits &gt;28 ≥6h</w:t>
            </w:r>
          </w:p>
        </w:tc>
        <w:tc>
          <w:tcPr>
            <w:tcW w:type="dxa" w:w="1128"/>
            <w:vAlign w:val="center"/>
          </w:tcPr>
          <w:p>
            <w:r>
              <w:rPr>
                <w:b/>
              </w:rPr>
              <w:t>nuits &gt;30 ≥6h</w:t>
            </w:r>
          </w:p>
        </w:tc>
        <w:tc>
          <w:tcPr>
            <w:tcW w:type="dxa" w:w="1128"/>
            <w:vAlign w:val="center"/>
          </w:tcPr>
          <w:p>
            <w:r>
              <w:rPr>
                <w:b/>
              </w:rPr>
              <w:t>T max nuit</w:t>
            </w:r>
          </w:p>
        </w:tc>
      </w:tr>
      <w:tr>
        <w:tc>
          <w:tcPr>
            <w:tcW w:type="dxa" w:w="1128"/>
            <w:vAlign w:val="center"/>
          </w:tcPr>
          <w:p>
            <w:r>
              <w:rPr>
                <w:sz w:val="18"/>
              </w:rPr>
              <w:t>2026 libre</w:t>
            </w:r>
          </w:p>
        </w:tc>
        <w:tc>
          <w:tcPr>
            <w:tcW w:type="dxa" w:w="1128"/>
            <w:vAlign w:val="center"/>
          </w:tcPr>
          <w:p>
            <w:r>
              <w:rPr>
                <w:sz w:val="18"/>
              </w:rPr>
              <w:t>410</w:t>
            </w:r>
          </w:p>
        </w:tc>
        <w:tc>
          <w:tcPr>
            <w:tcW w:type="dxa" w:w="1128"/>
            <w:vAlign w:val="center"/>
          </w:tcPr>
          <w:p>
            <w:r>
              <w:rPr>
                <w:sz w:val="18"/>
              </w:rPr>
              <w:t>185</w:t>
            </w:r>
          </w:p>
        </w:tc>
        <w:tc>
          <w:tcPr>
            <w:tcW w:type="dxa" w:w="1128"/>
            <w:vAlign w:val="center"/>
          </w:tcPr>
          <w:p>
            <w:r>
              <w:rPr>
                <w:sz w:val="18"/>
              </w:rPr>
              <w:t>139</w:t>
            </w:r>
          </w:p>
        </w:tc>
        <w:tc>
          <w:tcPr>
            <w:tcW w:type="dxa" w:w="1128"/>
            <w:vAlign w:val="center"/>
          </w:tcPr>
          <w:p>
            <w:r>
              <w:rPr>
                <w:sz w:val="18"/>
              </w:rPr>
              <w:t>7.7</w:t>
            </w:r>
          </w:p>
        </w:tc>
        <w:tc>
          <w:tcPr>
            <w:tcW w:type="dxa" w:w="1128"/>
            <w:vAlign w:val="center"/>
          </w:tcPr>
          <w:p>
            <w:r>
              <w:rPr>
                <w:sz w:val="18"/>
              </w:rPr>
              <w:t>16</w:t>
            </w:r>
          </w:p>
        </w:tc>
        <w:tc>
          <w:tcPr>
            <w:tcW w:type="dxa" w:w="1128"/>
            <w:vAlign w:val="center"/>
          </w:tcPr>
          <w:p>
            <w:r>
              <w:rPr>
                <w:sz w:val="18"/>
              </w:rPr>
              <w:t>7</w:t>
            </w:r>
          </w:p>
        </w:tc>
        <w:tc>
          <w:tcPr>
            <w:tcW w:type="dxa" w:w="1128"/>
            <w:vAlign w:val="center"/>
          </w:tcPr>
          <w:p>
            <w:r>
              <w:rPr>
                <w:sz w:val="18"/>
              </w:rPr>
              <w:t>5</w:t>
            </w:r>
          </w:p>
        </w:tc>
        <w:tc>
          <w:tcPr>
            <w:tcW w:type="dxa" w:w="1128"/>
            <w:vAlign w:val="center"/>
          </w:tcPr>
          <w:p>
            <w:r>
              <w:rPr>
                <w:sz w:val="18"/>
              </w:rPr>
              <w:t>31.6 °C</w:t>
            </w:r>
          </w:p>
        </w:tc>
      </w:tr>
      <w:tr>
        <w:tc>
          <w:tcPr>
            <w:tcW w:type="dxa" w:w="1128"/>
            <w:vAlign w:val="center"/>
          </w:tcPr>
          <w:p>
            <w:r>
              <w:rPr>
                <w:sz w:val="18"/>
              </w:rPr>
              <w:t>2050 +2,2 °C libre</w:t>
            </w:r>
          </w:p>
        </w:tc>
        <w:tc>
          <w:tcPr>
            <w:tcW w:type="dxa" w:w="1128"/>
            <w:vAlign w:val="center"/>
          </w:tcPr>
          <w:p>
            <w:r>
              <w:rPr>
                <w:sz w:val="18"/>
              </w:rPr>
              <w:t>517</w:t>
            </w:r>
          </w:p>
        </w:tc>
        <w:tc>
          <w:tcPr>
            <w:tcW w:type="dxa" w:w="1128"/>
            <w:vAlign w:val="center"/>
          </w:tcPr>
          <w:p>
            <w:r>
              <w:rPr>
                <w:sz w:val="18"/>
              </w:rPr>
              <w:t>347</w:t>
            </w:r>
          </w:p>
        </w:tc>
        <w:tc>
          <w:tcPr>
            <w:tcW w:type="dxa" w:w="1128"/>
            <w:vAlign w:val="center"/>
          </w:tcPr>
          <w:p>
            <w:r>
              <w:rPr>
                <w:sz w:val="18"/>
              </w:rPr>
              <w:t>178</w:t>
            </w:r>
          </w:p>
        </w:tc>
        <w:tc>
          <w:tcPr>
            <w:tcW w:type="dxa" w:w="1128"/>
            <w:vAlign w:val="center"/>
          </w:tcPr>
          <w:p>
            <w:r>
              <w:rPr>
                <w:sz w:val="18"/>
              </w:rPr>
              <w:t>14.5</w:t>
            </w:r>
          </w:p>
        </w:tc>
        <w:tc>
          <w:tcPr>
            <w:tcW w:type="dxa" w:w="1128"/>
            <w:vAlign w:val="center"/>
          </w:tcPr>
          <w:p>
            <w:r>
              <w:rPr>
                <w:sz w:val="18"/>
              </w:rPr>
              <w:t>21</w:t>
            </w:r>
          </w:p>
        </w:tc>
        <w:tc>
          <w:tcPr>
            <w:tcW w:type="dxa" w:w="1128"/>
            <w:vAlign w:val="center"/>
          </w:tcPr>
          <w:p>
            <w:r>
              <w:rPr>
                <w:sz w:val="18"/>
              </w:rPr>
              <w:t>14</w:t>
            </w:r>
          </w:p>
        </w:tc>
        <w:tc>
          <w:tcPr>
            <w:tcW w:type="dxa" w:w="1128"/>
            <w:vAlign w:val="center"/>
          </w:tcPr>
          <w:p>
            <w:r>
              <w:rPr>
                <w:sz w:val="18"/>
              </w:rPr>
              <w:t>7</w:t>
            </w:r>
          </w:p>
        </w:tc>
        <w:tc>
          <w:tcPr>
            <w:tcW w:type="dxa" w:w="1128"/>
            <w:vAlign w:val="center"/>
          </w:tcPr>
          <w:p>
            <w:r>
              <w:rPr>
                <w:sz w:val="18"/>
              </w:rPr>
              <w:t>33.7 °C</w:t>
            </w:r>
          </w:p>
        </w:tc>
      </w:tr>
      <w:tr>
        <w:tc>
          <w:tcPr>
            <w:tcW w:type="dxa" w:w="1128"/>
            <w:vAlign w:val="center"/>
          </w:tcPr>
          <w:p>
            <w:r>
              <w:rPr>
                <w:sz w:val="18"/>
              </w:rPr>
              <w:t>2100 +3,2 °C libre</w:t>
            </w:r>
          </w:p>
        </w:tc>
        <w:tc>
          <w:tcPr>
            <w:tcW w:type="dxa" w:w="1128"/>
            <w:vAlign w:val="center"/>
          </w:tcPr>
          <w:p>
            <w:r>
              <w:rPr>
                <w:sz w:val="18"/>
              </w:rPr>
              <w:t>571</w:t>
            </w:r>
          </w:p>
        </w:tc>
        <w:tc>
          <w:tcPr>
            <w:tcW w:type="dxa" w:w="1128"/>
            <w:vAlign w:val="center"/>
          </w:tcPr>
          <w:p>
            <w:r>
              <w:rPr>
                <w:sz w:val="18"/>
              </w:rPr>
              <w:t>425</w:t>
            </w:r>
          </w:p>
        </w:tc>
        <w:tc>
          <w:tcPr>
            <w:tcW w:type="dxa" w:w="1128"/>
            <w:vAlign w:val="center"/>
          </w:tcPr>
          <w:p>
            <w:r>
              <w:rPr>
                <w:sz w:val="18"/>
              </w:rPr>
              <w:t>204</w:t>
            </w:r>
          </w:p>
        </w:tc>
        <w:tc>
          <w:tcPr>
            <w:tcW w:type="dxa" w:w="1128"/>
            <w:vAlign w:val="center"/>
          </w:tcPr>
          <w:p>
            <w:r>
              <w:rPr>
                <w:sz w:val="18"/>
              </w:rPr>
              <w:t>17.7</w:t>
            </w:r>
          </w:p>
        </w:tc>
        <w:tc>
          <w:tcPr>
            <w:tcW w:type="dxa" w:w="1128"/>
            <w:vAlign w:val="center"/>
          </w:tcPr>
          <w:p>
            <w:r>
              <w:rPr>
                <w:sz w:val="18"/>
              </w:rPr>
              <w:t>24</w:t>
            </w:r>
          </w:p>
        </w:tc>
        <w:tc>
          <w:tcPr>
            <w:tcW w:type="dxa" w:w="1128"/>
            <w:vAlign w:val="center"/>
          </w:tcPr>
          <w:p>
            <w:r>
              <w:rPr>
                <w:sz w:val="18"/>
              </w:rPr>
              <w:t>17</w:t>
            </w:r>
          </w:p>
        </w:tc>
        <w:tc>
          <w:tcPr>
            <w:tcW w:type="dxa" w:w="1128"/>
            <w:vAlign w:val="center"/>
          </w:tcPr>
          <w:p>
            <w:r>
              <w:rPr>
                <w:sz w:val="18"/>
              </w:rPr>
              <w:t>8</w:t>
            </w:r>
          </w:p>
        </w:tc>
        <w:tc>
          <w:tcPr>
            <w:tcW w:type="dxa" w:w="1128"/>
            <w:vAlign w:val="center"/>
          </w:tcPr>
          <w:p>
            <w:r>
              <w:rPr>
                <w:sz w:val="18"/>
              </w:rPr>
              <w:t>34.7 °C</w:t>
            </w:r>
          </w:p>
        </w:tc>
      </w:tr>
    </w:tbl>
    <w:p>
      <w:r>
        <w:rPr>
          <w:rFonts w:ascii="Arial" w:hAnsi="Arial"/>
          <w:b/>
          <w:i w:val="0"/>
        </w:rPr>
        <w:t>Lecture directe : en 2050 sans rafraîchissement, la période simulée contient 21 nuits majoritairement au-dessus de 26 °C, 14 nuits majoritairement au-dessus de 28 °C et 7 nuits majoritairement au-dessus de 30 °C. Ce n'est pas une gêne ponctuelle : c'est une succession de nuits sans récupération thermique.</w:t>
      </w:r>
    </w:p>
    <w:p>
      <w:pPr>
        <w:jc w:val="center"/>
      </w:pPr>
      <w:r>
        <w:rPr>
          <w:rFonts w:ascii="Arial" w:hAnsi="Arial"/>
        </w:rPr>
        <w:drawing>
          <wp:inline xmlns:a="http://schemas.openxmlformats.org/drawingml/2006/main" xmlns:pic="http://schemas.openxmlformats.org/drawingml/2006/picture">
            <wp:extent cx="5852160" cy="3121152"/>
            <wp:docPr id="12" name="Picture 12"/>
            <wp:cNvGraphicFramePr>
              <a:graphicFrameLocks noChangeAspect="1"/>
            </wp:cNvGraphicFramePr>
            <a:graphic>
              <a:graphicData uri="http://schemas.openxmlformats.org/drawingml/2006/picture">
                <pic:pic>
                  <pic:nvPicPr>
                    <pic:cNvPr id="0" name="nuits_chaudes_v3.png"/>
                    <pic:cNvPicPr/>
                  </pic:nvPicPr>
                  <pic:blipFill>
                    <a:blip r:embed="rId57"/>
                    <a:stretch>
                      <a:fillRect/>
                    </a:stretch>
                  </pic:blipFill>
                  <pic:spPr>
                    <a:xfrm>
                      <a:off x="0" y="0"/>
                      <a:ext cx="5852160" cy="3121152"/>
                    </a:xfrm>
                    <a:prstGeom prst="rect"/>
                  </pic:spPr>
                </pic:pic>
              </a:graphicData>
            </a:graphic>
          </wp:inline>
        </w:drawing>
      </w:r>
    </w:p>
    <w:p>
      <w:pPr>
        <w:jc w:val="center"/>
      </w:pPr>
      <w:r>
        <w:rPr>
          <w:rFonts w:ascii="Arial" w:hAnsi="Arial"/>
          <w:i/>
        </w:rPr>
        <w:t>Figure 8 - Nuits chaudes sans rafraîchissement : métrique V3 lisible par les occupants.</w:t>
      </w:r>
    </w:p>
    <w:p>
      <w:pPr>
        <w:jc w:val="center"/>
      </w:pPr>
      <w:r>
        <w:rPr>
          <w:rFonts w:ascii="Arial" w:hAnsi="Arial"/>
        </w:rPr>
        <w:drawing>
          <wp:inline xmlns:a="http://schemas.openxmlformats.org/drawingml/2006/main" xmlns:pic="http://schemas.openxmlformats.org/drawingml/2006/picture">
            <wp:extent cx="5852160" cy="3121152"/>
            <wp:docPr id="13" name="Picture 13"/>
            <wp:cNvGraphicFramePr>
              <a:graphicFrameLocks noChangeAspect="1"/>
            </wp:cNvGraphicFramePr>
            <a:graphic>
              <a:graphicData uri="http://schemas.openxmlformats.org/drawingml/2006/picture">
                <pic:pic>
                  <pic:nvPicPr>
                    <pic:cNvPr id="0" name="heures_depassement_v3.png"/>
                    <pic:cNvPicPr/>
                  </pic:nvPicPr>
                  <pic:blipFill>
                    <a:blip r:embed="rId58"/>
                    <a:stretch>
                      <a:fillRect/>
                    </a:stretch>
                  </pic:blipFill>
                  <pic:spPr>
                    <a:xfrm>
                      <a:off x="0" y="0"/>
                      <a:ext cx="5852160" cy="3121152"/>
                    </a:xfrm>
                    <a:prstGeom prst="rect"/>
                  </pic:spPr>
                </pic:pic>
              </a:graphicData>
            </a:graphic>
          </wp:inline>
        </w:drawing>
      </w:r>
    </w:p>
    <w:p>
      <w:pPr>
        <w:jc w:val="center"/>
      </w:pPr>
      <w:r>
        <w:rPr>
          <w:rFonts w:ascii="Arial" w:hAnsi="Arial"/>
          <w:i/>
        </w:rPr>
        <w:t>Figure 9 - Durée d’exposition à la chaleur sans rafraîchissement : heures au-dessus de 26, 28 et 30 °C.</w:t>
      </w:r>
    </w:p>
    <w:p>
      <w:r>
        <w:rPr>
          <w:rFonts w:ascii="Arial" w:hAnsi="Arial"/>
          <w:b w:val="0"/>
          <w:i w:val="0"/>
        </w:rPr>
        <w:t>La métrique de décision devient donc : combien de nuits chaudes restent après installation de la capacité étudiée ? Une solution acceptable doit viser zéro nuit extrême et un nombre très limité de nuits très chaudes. Cette lecture est plus robuste que les degrés-heures bruts, car elle sépare clairement la sévérité nocturne, la durée d'exposition et la puissance de froid nécessaire.</w:t>
      </w:r>
    </w:p>
    <w:p>
      <w:pPr>
        <w:pStyle w:val="Heading1"/>
      </w:pPr>
      <w:r>
        <w:rPr>
          <w:rFonts w:ascii="Aptos" w:hAnsi="Aptos"/>
        </w:rPr>
        <w:t>4.2.9 Sensibilités principales</w:t>
      </w:r>
    </w:p>
    <w:p>
      <w:r>
        <w:rPr>
          <w:rFonts w:ascii="Aptos" w:hAnsi="Aptos"/>
        </w:rPr>
        <w:t>La conversion de degrés en puissance dépend de la capacité thermique surfacique retenue. La valeur centrale est 120 Wh/m².K ; deux bornes sont testées : 80 Wh/m².K pour une masse active plus faible et 165 Wh/m².K pour une masse active plus lourde. Une sensibilité supplémentaire impose 24 °C dans les chambres 24 h/24 au lieu d’une cible renforcée principalement nocturne.</w:t>
      </w:r>
    </w:p>
    <w:p>
      <w:r>
        <w:rPr>
          <w:rFonts w:ascii="Aptos" w:hAnsi="Aptos"/>
          <w:b/>
        </w:rPr>
        <w:t>Sensibilité 2050 de la puissance appelée</w:t>
      </w:r>
    </w:p>
    <w:tbl>
      <w:tblPr>
        <w:tblStyle w:val="TableGrid"/>
        <w:tblW w:type="auto" w:w="0"/>
        <w:jc w:val="center"/>
        <w:tblLook w:firstColumn="1" w:firstRow="1" w:lastColumn="0" w:lastRow="0" w:noHBand="0" w:noVBand="1" w:val="04A0"/>
      </w:tblPr>
      <w:tblGrid>
        <w:gridCol w:w="2606"/>
        <w:gridCol w:w="2606"/>
        <w:gridCol w:w="2606"/>
        <w:gridCol w:w="2606"/>
      </w:tblGrid>
      <w:tr>
        <w:tc>
          <w:tcPr>
            <w:tcW w:type="dxa" w:w="2606"/>
            <w:vAlign w:val="center"/>
            <w:shd w:fill="D9EAF7"/>
          </w:tcPr>
          <w:p>
            <w:r/>
            <w:r>
              <w:rPr>
                <w:b/>
                <w:sz w:val="17"/>
              </w:rPr>
              <w:t>Capacité thermique</w:t>
            </w:r>
          </w:p>
        </w:tc>
        <w:tc>
          <w:tcPr>
            <w:tcW w:type="dxa" w:w="2606"/>
            <w:vAlign w:val="center"/>
            <w:shd w:fill="D9EAF7"/>
          </w:tcPr>
          <w:p>
            <w:r/>
            <w:r>
              <w:rPr>
                <w:b/>
                <w:sz w:val="17"/>
              </w:rPr>
              <w:t>Chambres 24°C</w:t>
            </w:r>
          </w:p>
        </w:tc>
        <w:tc>
          <w:tcPr>
            <w:tcW w:type="dxa" w:w="2606"/>
            <w:vAlign w:val="center"/>
            <w:shd w:fill="D9EAF7"/>
          </w:tcPr>
          <w:p>
            <w:r/>
            <w:r>
              <w:rPr>
                <w:b/>
                <w:sz w:val="17"/>
              </w:rPr>
              <w:t>Pic froid</w:t>
            </w:r>
          </w:p>
        </w:tc>
        <w:tc>
          <w:tcPr>
            <w:tcW w:type="dxa" w:w="2606"/>
            <w:vAlign w:val="center"/>
            <w:shd w:fill="D9EAF7"/>
          </w:tcPr>
          <w:p>
            <w:r/>
            <w:r>
              <w:rPr>
                <w:b/>
                <w:sz w:val="17"/>
              </w:rPr>
              <w:t>Énergie</w:t>
            </w:r>
          </w:p>
        </w:tc>
      </w:tr>
      <w:tr>
        <w:tc>
          <w:tcPr>
            <w:tcW w:type="dxa" w:w="2606"/>
            <w:vAlign w:val="center"/>
          </w:tcPr>
          <w:p>
            <w:r/>
            <w:r>
              <w:rPr>
                <w:b w:val="0"/>
                <w:sz w:val="17"/>
              </w:rPr>
              <w:t>80 Wh/m².K</w:t>
            </w:r>
          </w:p>
        </w:tc>
        <w:tc>
          <w:tcPr>
            <w:tcW w:type="dxa" w:w="2606"/>
            <w:vAlign w:val="center"/>
          </w:tcPr>
          <w:p>
            <w:r/>
            <w:r>
              <w:rPr>
                <w:b w:val="0"/>
                <w:sz w:val="17"/>
              </w:rPr>
              <w:t>nuit seule</w:t>
            </w:r>
          </w:p>
        </w:tc>
        <w:tc>
          <w:tcPr>
            <w:tcW w:type="dxa" w:w="2606"/>
            <w:vAlign w:val="center"/>
          </w:tcPr>
          <w:p>
            <w:r/>
            <w:r>
              <w:rPr>
                <w:b w:val="0"/>
                <w:sz w:val="17"/>
              </w:rPr>
              <w:t>1.76 MW</w:t>
            </w:r>
          </w:p>
        </w:tc>
        <w:tc>
          <w:tcPr>
            <w:tcW w:type="dxa" w:w="2606"/>
            <w:vAlign w:val="center"/>
          </w:tcPr>
          <w:p>
            <w:r/>
            <w:r>
              <w:rPr>
                <w:b w:val="0"/>
                <w:sz w:val="17"/>
              </w:rPr>
              <w:t>49.2 MWh</w:t>
            </w:r>
          </w:p>
        </w:tc>
      </w:tr>
      <w:tr>
        <w:tc>
          <w:tcPr>
            <w:tcW w:type="dxa" w:w="2606"/>
            <w:vAlign w:val="center"/>
          </w:tcPr>
          <w:p>
            <w:r/>
            <w:r>
              <w:rPr>
                <w:b w:val="0"/>
                <w:sz w:val="17"/>
              </w:rPr>
              <w:t>80 Wh/m².K</w:t>
            </w:r>
          </w:p>
        </w:tc>
        <w:tc>
          <w:tcPr>
            <w:tcW w:type="dxa" w:w="2606"/>
            <w:vAlign w:val="center"/>
          </w:tcPr>
          <w:p>
            <w:r/>
            <w:r>
              <w:rPr>
                <w:b w:val="0"/>
                <w:sz w:val="17"/>
              </w:rPr>
              <w:t>24h/24</w:t>
            </w:r>
          </w:p>
        </w:tc>
        <w:tc>
          <w:tcPr>
            <w:tcW w:type="dxa" w:w="2606"/>
            <w:vAlign w:val="center"/>
          </w:tcPr>
          <w:p>
            <w:r/>
            <w:r>
              <w:rPr>
                <w:b w:val="0"/>
                <w:sz w:val="17"/>
              </w:rPr>
              <w:t>0.44 MW</w:t>
            </w:r>
          </w:p>
        </w:tc>
        <w:tc>
          <w:tcPr>
            <w:tcW w:type="dxa" w:w="2606"/>
            <w:vAlign w:val="center"/>
          </w:tcPr>
          <w:p>
            <w:r/>
            <w:r>
              <w:rPr>
                <w:b w:val="0"/>
                <w:sz w:val="17"/>
              </w:rPr>
              <w:t>49.5 MWh</w:t>
            </w:r>
          </w:p>
        </w:tc>
      </w:tr>
      <w:tr>
        <w:tc>
          <w:tcPr>
            <w:tcW w:type="dxa" w:w="2606"/>
            <w:vAlign w:val="center"/>
          </w:tcPr>
          <w:p>
            <w:r/>
            <w:r>
              <w:rPr>
                <w:b w:val="0"/>
                <w:sz w:val="17"/>
              </w:rPr>
              <w:t>120 Wh/m².K</w:t>
            </w:r>
          </w:p>
        </w:tc>
        <w:tc>
          <w:tcPr>
            <w:tcW w:type="dxa" w:w="2606"/>
            <w:vAlign w:val="center"/>
          </w:tcPr>
          <w:p>
            <w:r/>
            <w:r>
              <w:rPr>
                <w:b w:val="0"/>
                <w:sz w:val="17"/>
              </w:rPr>
              <w:t>nuit seule</w:t>
            </w:r>
          </w:p>
        </w:tc>
        <w:tc>
          <w:tcPr>
            <w:tcW w:type="dxa" w:w="2606"/>
            <w:vAlign w:val="center"/>
          </w:tcPr>
          <w:p>
            <w:r/>
            <w:r>
              <w:rPr>
                <w:b w:val="0"/>
                <w:sz w:val="17"/>
              </w:rPr>
              <w:t>2.65 MW</w:t>
            </w:r>
          </w:p>
        </w:tc>
        <w:tc>
          <w:tcPr>
            <w:tcW w:type="dxa" w:w="2606"/>
            <w:vAlign w:val="center"/>
          </w:tcPr>
          <w:p>
            <w:r/>
            <w:r>
              <w:rPr>
                <w:b w:val="0"/>
                <w:sz w:val="17"/>
              </w:rPr>
              <w:t>73.8 MWh</w:t>
            </w:r>
          </w:p>
        </w:tc>
      </w:tr>
      <w:tr>
        <w:tc>
          <w:tcPr>
            <w:tcW w:type="dxa" w:w="2606"/>
            <w:vAlign w:val="center"/>
          </w:tcPr>
          <w:p>
            <w:r/>
            <w:r>
              <w:rPr>
                <w:b w:val="0"/>
                <w:sz w:val="17"/>
              </w:rPr>
              <w:t>120 Wh/m².K</w:t>
            </w:r>
          </w:p>
        </w:tc>
        <w:tc>
          <w:tcPr>
            <w:tcW w:type="dxa" w:w="2606"/>
            <w:vAlign w:val="center"/>
          </w:tcPr>
          <w:p>
            <w:r/>
            <w:r>
              <w:rPr>
                <w:b w:val="0"/>
                <w:sz w:val="17"/>
              </w:rPr>
              <w:t>24h/24</w:t>
            </w:r>
          </w:p>
        </w:tc>
        <w:tc>
          <w:tcPr>
            <w:tcW w:type="dxa" w:w="2606"/>
            <w:vAlign w:val="center"/>
          </w:tcPr>
          <w:p>
            <w:r/>
            <w:r>
              <w:rPr>
                <w:b w:val="0"/>
                <w:sz w:val="17"/>
              </w:rPr>
              <w:t>0.66 MW</w:t>
            </w:r>
          </w:p>
        </w:tc>
        <w:tc>
          <w:tcPr>
            <w:tcW w:type="dxa" w:w="2606"/>
            <w:vAlign w:val="center"/>
          </w:tcPr>
          <w:p>
            <w:r/>
            <w:r>
              <w:rPr>
                <w:b w:val="0"/>
                <w:sz w:val="17"/>
              </w:rPr>
              <w:t>74.3 MWh</w:t>
            </w:r>
          </w:p>
        </w:tc>
      </w:tr>
      <w:tr>
        <w:tc>
          <w:tcPr>
            <w:tcW w:type="dxa" w:w="2606"/>
            <w:vAlign w:val="center"/>
          </w:tcPr>
          <w:p>
            <w:r/>
            <w:r>
              <w:rPr>
                <w:b w:val="0"/>
                <w:sz w:val="17"/>
              </w:rPr>
              <w:t>165 Wh/m².K</w:t>
            </w:r>
          </w:p>
        </w:tc>
        <w:tc>
          <w:tcPr>
            <w:tcW w:type="dxa" w:w="2606"/>
            <w:vAlign w:val="center"/>
          </w:tcPr>
          <w:p>
            <w:r/>
            <w:r>
              <w:rPr>
                <w:b w:val="0"/>
                <w:sz w:val="17"/>
              </w:rPr>
              <w:t>nuit seule</w:t>
            </w:r>
          </w:p>
        </w:tc>
        <w:tc>
          <w:tcPr>
            <w:tcW w:type="dxa" w:w="2606"/>
            <w:vAlign w:val="center"/>
          </w:tcPr>
          <w:p>
            <w:r/>
            <w:r>
              <w:rPr>
                <w:b w:val="0"/>
                <w:sz w:val="17"/>
              </w:rPr>
              <w:t>3.64 MW</w:t>
            </w:r>
          </w:p>
        </w:tc>
        <w:tc>
          <w:tcPr>
            <w:tcW w:type="dxa" w:w="2606"/>
            <w:vAlign w:val="center"/>
          </w:tcPr>
          <w:p>
            <w:r/>
            <w:r>
              <w:rPr>
                <w:b w:val="0"/>
                <w:sz w:val="17"/>
              </w:rPr>
              <w:t>101.5 MWh</w:t>
            </w:r>
          </w:p>
        </w:tc>
      </w:tr>
      <w:tr>
        <w:tc>
          <w:tcPr>
            <w:tcW w:type="dxa" w:w="2606"/>
            <w:vAlign w:val="center"/>
          </w:tcPr>
          <w:p>
            <w:r/>
            <w:r>
              <w:rPr>
                <w:b w:val="0"/>
                <w:sz w:val="17"/>
              </w:rPr>
              <w:t>165 Wh/m².K</w:t>
            </w:r>
          </w:p>
        </w:tc>
        <w:tc>
          <w:tcPr>
            <w:tcW w:type="dxa" w:w="2606"/>
            <w:vAlign w:val="center"/>
          </w:tcPr>
          <w:p>
            <w:r/>
            <w:r>
              <w:rPr>
                <w:b w:val="0"/>
                <w:sz w:val="17"/>
              </w:rPr>
              <w:t>24h/24</w:t>
            </w:r>
          </w:p>
        </w:tc>
        <w:tc>
          <w:tcPr>
            <w:tcW w:type="dxa" w:w="2606"/>
            <w:vAlign w:val="center"/>
          </w:tcPr>
          <w:p>
            <w:r/>
            <w:r>
              <w:rPr>
                <w:b w:val="0"/>
                <w:sz w:val="17"/>
              </w:rPr>
              <w:t>0.91 MW</w:t>
            </w:r>
          </w:p>
        </w:tc>
        <w:tc>
          <w:tcPr>
            <w:tcW w:type="dxa" w:w="2606"/>
            <w:vAlign w:val="center"/>
          </w:tcPr>
          <w:p>
            <w:r/>
            <w:r>
              <w:rPr>
                <w:b w:val="0"/>
                <w:sz w:val="17"/>
              </w:rPr>
              <w:t>102.2 MWh</w:t>
            </w:r>
          </w:p>
        </w:tc>
      </w:tr>
    </w:tbl>
    <w:p>
      <w:pPr>
        <w:jc w:val="center"/>
      </w:pPr>
      <w:r>
        <w:rPr>
          <w:rFonts w:ascii="Aptos" w:hAnsi="Aptos"/>
        </w:rPr>
        <w:drawing>
          <wp:inline xmlns:a="http://schemas.openxmlformats.org/drawingml/2006/main" xmlns:pic="http://schemas.openxmlformats.org/drawingml/2006/picture">
            <wp:extent cx="5989320" cy="2833873"/>
            <wp:docPr id="11" name="Picture 11"/>
            <wp:cNvGraphicFramePr>
              <a:graphicFrameLocks noChangeAspect="1"/>
            </wp:cNvGraphicFramePr>
            <a:graphic>
              <a:graphicData uri="http://schemas.openxmlformats.org/drawingml/2006/picture">
                <pic:pic>
                  <pic:nvPicPr>
                    <pic:cNvPr id="0" name="08_sensibilite_pics.png"/>
                    <pic:cNvPicPr/>
                  </pic:nvPicPr>
                  <pic:blipFill>
                    <a:blip r:embed="rId29"/>
                    <a:stretch>
                      <a:fillRect/>
                    </a:stretch>
                  </pic:blipFill>
                  <pic:spPr>
                    <a:xfrm>
                      <a:off x="0" y="0"/>
                      <a:ext cx="5989320" cy="2833873"/>
                    </a:xfrm>
                    <a:prstGeom prst="rect"/>
                  </pic:spPr>
                </pic:pic>
              </a:graphicData>
            </a:graphic>
          </wp:inline>
        </w:drawing>
      </w:r>
    </w:p>
    <w:p>
      <w:pPr>
        <w:jc w:val="center"/>
      </w:pPr>
      <w:r>
        <w:rPr>
          <w:rFonts w:ascii="Aptos" w:hAnsi="Aptos"/>
          <w:i/>
          <w:sz w:val="17"/>
        </w:rPr>
        <w:t>Figure 11 - Sensibilité du pic de puissance aux hypothèses thermiques et de consigne chambres.</w:t>
      </w:r>
    </w:p>
    <w:p>
      <w:pPr>
        <w:pStyle w:val="Heading1"/>
      </w:pPr>
      <w:r>
        <w:rPr>
          <w:rFonts w:ascii="Aptos" w:hAnsi="Aptos"/>
        </w:rPr>
        <w:t>4.2.10 Conclusion de la partie 2</w:t>
      </w:r>
    </w:p>
    <w:p>
      <w:r>
        <w:rPr>
          <w:rFonts w:ascii="Aptos" w:hAnsi="Aptos"/>
          <w:b/>
        </w:rPr>
        <w:t xml:space="preserve">Résultat principal. </w:t>
      </w:r>
      <w:r>
        <w:rPr>
          <w:rFonts w:ascii="Aptos" w:hAnsi="Aptos"/>
        </w:rPr>
        <w:t>La simulation dynamique montre qu’en l’absence de rafraîchissement, le climat 2050 ferait progresser fortement la température intérieure libre et l’inconfort cumulé. La cible de 24 °C dans les chambres, surtout la nuit, est le véritable critère dimensionnant. L’hypothèse de 60 % de logements en simple vitrage augmente également la dispersion des besoins et justifie de ne pas raisonner uniquement sur une moyenne de résidence.</w:t>
      </w:r>
    </w:p>
    <w:p>
      <w:r>
        <w:rPr>
          <w:rFonts w:ascii="Aptos" w:hAnsi="Aptos"/>
          <w:b/>
        </w:rPr>
        <w:t xml:space="preserve">Lecture des capacités. </w:t>
      </w:r>
      <w:r>
        <w:rPr>
          <w:rFonts w:ascii="Aptos" w:hAnsi="Aptos"/>
        </w:rPr>
        <w:t>Le calcul moyen indique que 2 MW couvrent la période simulée avec les hypothèses centrales. Toutefois, cette conclusion ne doit pas être interprétée comme un dimensionnement définitif : elle ne capture pas les derniers étages, les logements d’angle, les façades très exposées, les pertes de distribution, ni les usages individuels. Les scénarios 2,5 MW et 3 MW représentent donc des marges de robustesse à étudier dans les étapes suivantes.</w:t>
      </w:r>
    </w:p>
    <w:p>
      <w:r>
        <w:rPr>
          <w:rFonts w:ascii="Aptos" w:hAnsi="Aptos"/>
        </w:rPr>
        <w:br w:type="page"/>
      </w:r>
    </w:p>
    <w:p>
      <w:pPr>
        <w:pStyle w:val="Heading1"/>
      </w:pPr>
      <w:r>
        <w:rPr>
          <w:rFonts w:ascii="Aptos" w:hAnsi="Aptos"/>
        </w:rPr>
        <w:t>Partie 3 - Dimensionnement dynamique et marges de puissance</w:t>
      </w:r>
    </w:p>
    <w:p>
      <w:pPr>
        <w:pStyle w:val="Normal"/>
      </w:pPr>
      <w:r>
        <w:rPr>
          <w:rFonts w:ascii="Aptos" w:hAnsi="Aptos"/>
        </w:rPr>
        <w:t>Note de consolidation : cette partie distingue explicitement pilotage réactif et pilotage anticipatif. Le pic réactif sert à lire la robustesse des capacités 2 / 2,5 / 3 MW.</w:t>
      </w:r>
    </w:p>
    <w:p>
      <w:pPr>
        <w:spacing w:after="100"/>
        <w:jc w:val="center"/>
      </w:pPr>
      <w:r>
        <w:rPr>
          <w:rFonts w:ascii="Aptos" w:hAnsi="Aptos"/>
          <w:b/>
          <w:color w:val="1F4E79"/>
          <w:sz w:val="40"/>
        </w:rPr>
        <w:t>FRESHCOP</w:t>
        <w:br/>
        <w:t>Chapitre 4 - Partie 3</w:t>
        <w:br/>
        <w:t>Dimensionnement dynamique et marges de puissance</w:t>
      </w:r>
    </w:p>
    <w:p>
      <w:pPr>
        <w:spacing w:after="100"/>
        <w:jc w:val="center"/>
      </w:pPr>
      <w:r>
        <w:rPr>
          <w:rFonts w:ascii="Aptos" w:hAnsi="Aptos"/>
          <w:i/>
          <w:sz w:val="22"/>
        </w:rPr>
        <w:t>Comparaison des capacités 2 MW / 2,5 MW / 3 MW à partir du modèle calibré sur le CSV</w:t>
      </w:r>
    </w:p>
    <w:p>
      <w:pPr>
        <w:spacing w:after="100"/>
        <w:jc w:val="both"/>
      </w:pPr>
      <w:r>
        <w:rPr>
          <w:rFonts w:ascii="Aptos" w:hAnsi="Aptos"/>
        </w:rPr>
        <w:t>Cette partie prolonge la calibration du modèle thermique et les simulations dynamiques. Elle ne décrit pas une solution technique. Elle transforme les besoins horaires simulés en critères de dimensionnement : pic de puissance, énergie froide, heures de saturation, marge disponible et sensibilité aux hypothèses.</w:t>
      </w:r>
    </w:p>
    <w:p>
      <w:pPr>
        <w:pStyle w:val="Heading1"/>
        <w:spacing w:after="100"/>
      </w:pPr>
      <w:r>
        <w:rPr>
          <w:rFonts w:ascii="Aptos" w:hAnsi="Aptos"/>
        </w:rPr>
        <w:t>4.3.1 Objet de la partie 3</w:t>
      </w:r>
    </w:p>
    <w:p>
      <w:pPr>
        <w:spacing w:after="100"/>
        <w:jc w:val="both"/>
      </w:pPr>
      <w:r>
        <w:rPr>
          <w:rFonts w:ascii="Aptos" w:hAnsi="Aptos"/>
        </w:rPr>
        <w:t>L’objectif est de comparer trois enveloppes de capacité froide - 2 MW, 2,5 MW et 3 MW - en conservant le même modèle dynamique et les mêmes hypothèses de confort que dans la partie 2 : séjour à 26 °C, chambres à 24 °C la nuit, pièces secondaires à 26,5 °C, et répartition 60 % simple vitrage / 40 % double vitrage.</w:t>
      </w:r>
    </w:p>
    <w:p>
      <w:pPr>
        <w:spacing w:after="100"/>
        <w:jc w:val="both"/>
      </w:pPr>
      <w:r>
        <w:rPr>
          <w:rFonts w:ascii="Aptos" w:hAnsi="Aptos"/>
        </w:rPr>
        <w:t>Le dimensionnement est lu de façon dynamique : il ne s’agit pas seulement de savoir si une capacité donnée couvre une moyenne, mais de vérifier si elle couvre les pointes horaires, les enchaînements caniculaires et les passages de consigne qui rendent les chambres dimensionnantes.</w:t>
      </w:r>
    </w:p>
    <w:p>
      <w:pPr>
        <w:pStyle w:val="Heading1"/>
        <w:spacing w:after="100"/>
      </w:pPr>
      <w:r>
        <w:rPr>
          <w:rFonts w:ascii="Aptos" w:hAnsi="Aptos"/>
        </w:rPr>
        <w:t>4.3.2 Paramètres repris de la calibration</w:t>
      </w:r>
    </w:p>
    <w:tbl>
      <w:tblPr>
        <w:tblStyle w:val="TableGrid"/>
        <w:tblW w:type="auto" w:w="0"/>
        <w:jc w:val="center"/>
        <w:tblLayout w:type="autofit"/>
        <w:tblLook w:firstColumn="1" w:firstRow="1" w:lastColumn="0" w:lastRow="0" w:noHBand="0" w:noVBand="1" w:val="04A0"/>
      </w:tblPr>
      <w:tblGrid>
        <w:gridCol w:w="3437"/>
        <w:gridCol w:w="3437"/>
        <w:gridCol w:w="3437"/>
      </w:tblGrid>
      <w:tr>
        <w:tc>
          <w:tcPr>
            <w:tcW w:type="dxa" w:w="3437"/>
            <w:shd w:fill="D9EAF7"/>
          </w:tcPr>
          <w:p>
            <w:pPr>
              <w:spacing w:after="0"/>
            </w:pPr>
            <w:r>
              <w:rPr>
                <w:rFonts w:ascii="Arial" w:hAnsi="Arial"/>
                <w:b/>
                <w:sz w:val="16"/>
              </w:rPr>
              <w:t>Paramètre</w:t>
            </w:r>
          </w:p>
        </w:tc>
        <w:tc>
          <w:tcPr>
            <w:tcW w:type="dxa" w:w="3437"/>
            <w:shd w:fill="D9EAF7"/>
          </w:tcPr>
          <w:p>
            <w:pPr>
              <w:spacing w:after="0"/>
            </w:pPr>
            <w:r>
              <w:rPr>
                <w:rFonts w:ascii="Arial" w:hAnsi="Arial"/>
                <w:b/>
                <w:sz w:val="16"/>
              </w:rPr>
              <w:t>Valeur retenue</w:t>
            </w:r>
          </w:p>
        </w:tc>
        <w:tc>
          <w:tcPr>
            <w:tcW w:type="dxa" w:w="3437"/>
            <w:shd w:fill="D9EAF7"/>
          </w:tcPr>
          <w:p>
            <w:pPr>
              <w:spacing w:after="0"/>
            </w:pPr>
            <w:r>
              <w:rPr>
                <w:rFonts w:ascii="Arial" w:hAnsi="Arial"/>
                <w:b/>
                <w:sz w:val="16"/>
              </w:rPr>
              <w:t>Commentaire</w:t>
            </w:r>
          </w:p>
        </w:tc>
      </w:tr>
      <w:tr>
        <w:tc>
          <w:tcPr>
            <w:tcW w:type="dxa" w:w="3437"/>
          </w:tcPr>
          <w:p>
            <w:pPr>
              <w:spacing w:after="0"/>
            </w:pPr>
            <w:r>
              <w:rPr>
                <w:rFonts w:ascii="Arial" w:hAnsi="Arial"/>
                <w:b w:val="0"/>
                <w:sz w:val="16"/>
              </w:rPr>
              <w:t>Période de mesure</w:t>
            </w:r>
          </w:p>
        </w:tc>
        <w:tc>
          <w:tcPr>
            <w:tcW w:type="dxa" w:w="3437"/>
          </w:tcPr>
          <w:p>
            <w:pPr>
              <w:spacing w:after="0"/>
            </w:pPr>
            <w:r>
              <w:rPr>
                <w:rFonts w:ascii="Arial" w:hAnsi="Arial"/>
                <w:b w:val="0"/>
                <w:sz w:val="16"/>
              </w:rPr>
              <w:t>22/05/2026 au 30/06/2026</w:t>
            </w:r>
          </w:p>
        </w:tc>
        <w:tc>
          <w:tcPr>
            <w:tcW w:type="dxa" w:w="3437"/>
          </w:tcPr>
          <w:p>
            <w:pPr>
              <w:spacing w:after="0"/>
            </w:pPr>
            <w:r>
              <w:rPr>
                <w:rFonts w:ascii="Arial" w:hAnsi="Arial"/>
                <w:b w:val="0"/>
                <w:sz w:val="16"/>
              </w:rPr>
              <w:t>960 mesures horaires après arrêt chauffage</w:t>
            </w:r>
          </w:p>
        </w:tc>
      </w:tr>
      <w:tr>
        <w:tc>
          <w:tcPr>
            <w:tcW w:type="dxa" w:w="3437"/>
          </w:tcPr>
          <w:p>
            <w:pPr>
              <w:spacing w:after="0"/>
            </w:pPr>
            <w:r>
              <w:rPr>
                <w:rFonts w:ascii="Arial" w:hAnsi="Arial"/>
                <w:b w:val="0"/>
                <w:sz w:val="16"/>
              </w:rPr>
              <w:t>Surface représentative</w:t>
            </w:r>
          </w:p>
        </w:tc>
        <w:tc>
          <w:tcPr>
            <w:tcW w:type="dxa" w:w="3437"/>
          </w:tcPr>
          <w:p>
            <w:pPr>
              <w:spacing w:after="0"/>
            </w:pPr>
            <w:r>
              <w:rPr>
                <w:rFonts w:ascii="Arial" w:hAnsi="Arial"/>
                <w:b w:val="0"/>
                <w:sz w:val="16"/>
              </w:rPr>
              <w:t>35 200 m²</w:t>
            </w:r>
          </w:p>
        </w:tc>
        <w:tc>
          <w:tcPr>
            <w:tcW w:type="dxa" w:w="3437"/>
          </w:tcPr>
          <w:p>
            <w:pPr>
              <w:spacing w:after="0"/>
            </w:pPr>
            <w:r>
              <w:rPr>
                <w:rFonts w:ascii="Arial" w:hAnsi="Arial"/>
                <w:b w:val="0"/>
                <w:sz w:val="16"/>
              </w:rPr>
              <w:t>440 logements x 80 m²</w:t>
            </w:r>
          </w:p>
        </w:tc>
      </w:tr>
      <w:tr>
        <w:tc>
          <w:tcPr>
            <w:tcW w:type="dxa" w:w="3437"/>
          </w:tcPr>
          <w:p>
            <w:pPr>
              <w:spacing w:after="0"/>
            </w:pPr>
            <w:r>
              <w:rPr>
                <w:rFonts w:ascii="Arial" w:hAnsi="Arial"/>
                <w:b w:val="0"/>
                <w:sz w:val="16"/>
              </w:rPr>
              <w:t>Capacité thermique de référence</w:t>
            </w:r>
          </w:p>
        </w:tc>
        <w:tc>
          <w:tcPr>
            <w:tcW w:type="dxa" w:w="3437"/>
          </w:tcPr>
          <w:p>
            <w:pPr>
              <w:spacing w:after="0"/>
            </w:pPr>
            <w:r>
              <w:rPr>
                <w:rFonts w:ascii="Arial" w:hAnsi="Arial"/>
                <w:b w:val="0"/>
                <w:sz w:val="16"/>
              </w:rPr>
              <w:t>4,22 MWh/K</w:t>
            </w:r>
          </w:p>
        </w:tc>
        <w:tc>
          <w:tcPr>
            <w:tcW w:type="dxa" w:w="3437"/>
          </w:tcPr>
          <w:p>
            <w:pPr>
              <w:spacing w:after="0"/>
            </w:pPr>
            <w:r>
              <w:rPr>
                <w:rFonts w:ascii="Arial" w:hAnsi="Arial"/>
                <w:b w:val="0"/>
                <w:sz w:val="16"/>
              </w:rPr>
              <w:t>Hypothèse effective : 120 Wh/m².K</w:t>
            </w:r>
          </w:p>
        </w:tc>
      </w:tr>
      <w:tr>
        <w:tc>
          <w:tcPr>
            <w:tcW w:type="dxa" w:w="3437"/>
          </w:tcPr>
          <w:p>
            <w:pPr>
              <w:spacing w:after="0"/>
            </w:pPr>
            <w:r>
              <w:rPr>
                <w:rFonts w:ascii="Arial" w:hAnsi="Arial"/>
                <w:b w:val="0"/>
                <w:sz w:val="16"/>
              </w:rPr>
              <w:t>Coefficient dynamique a</w:t>
            </w:r>
          </w:p>
        </w:tc>
        <w:tc>
          <w:tcPr>
            <w:tcW w:type="dxa" w:w="3437"/>
          </w:tcPr>
          <w:p>
            <w:pPr>
              <w:spacing w:after="0"/>
            </w:pPr>
            <w:r>
              <w:rPr>
                <w:rFonts w:ascii="Arial" w:hAnsi="Arial"/>
                <w:b w:val="0"/>
                <w:sz w:val="16"/>
              </w:rPr>
              <w:t>0,00363 h⁻¹</w:t>
            </w:r>
          </w:p>
        </w:tc>
        <w:tc>
          <w:tcPr>
            <w:tcW w:type="dxa" w:w="3437"/>
          </w:tcPr>
          <w:p>
            <w:pPr>
              <w:spacing w:after="0"/>
            </w:pPr>
            <w:r>
              <w:rPr>
                <w:rFonts w:ascii="Arial" w:hAnsi="Arial"/>
                <w:b w:val="0"/>
                <w:sz w:val="16"/>
              </w:rPr>
              <w:t>Identifié sur CSV</w:t>
            </w:r>
          </w:p>
        </w:tc>
      </w:tr>
      <w:tr>
        <w:tc>
          <w:tcPr>
            <w:tcW w:type="dxa" w:w="3437"/>
          </w:tcPr>
          <w:p>
            <w:pPr>
              <w:spacing w:after="0"/>
            </w:pPr>
            <w:r>
              <w:rPr>
                <w:rFonts w:ascii="Arial" w:hAnsi="Arial"/>
                <w:b w:val="0"/>
                <w:sz w:val="16"/>
              </w:rPr>
              <w:t>Sensibilité solaire b</w:t>
            </w:r>
          </w:p>
        </w:tc>
        <w:tc>
          <w:tcPr>
            <w:tcW w:type="dxa" w:w="3437"/>
          </w:tcPr>
          <w:p>
            <w:pPr>
              <w:spacing w:after="0"/>
            </w:pPr>
            <w:r>
              <w:rPr>
                <w:rFonts w:ascii="Arial" w:hAnsi="Arial"/>
                <w:b w:val="0"/>
                <w:sz w:val="16"/>
              </w:rPr>
              <w:t>0,000146 K par W/m².h</w:t>
            </w:r>
          </w:p>
        </w:tc>
        <w:tc>
          <w:tcPr>
            <w:tcW w:type="dxa" w:w="3437"/>
          </w:tcPr>
          <w:p>
            <w:pPr>
              <w:spacing w:after="0"/>
            </w:pPr>
            <w:r>
              <w:rPr>
                <w:rFonts w:ascii="Arial" w:hAnsi="Arial"/>
                <w:b w:val="0"/>
                <w:sz w:val="16"/>
              </w:rPr>
              <w:t>Identifiée sur CSV</w:t>
            </w:r>
          </w:p>
        </w:tc>
      </w:tr>
      <w:tr>
        <w:tc>
          <w:tcPr>
            <w:tcW w:type="dxa" w:w="3437"/>
          </w:tcPr>
          <w:p>
            <w:pPr>
              <w:spacing w:after="0"/>
            </w:pPr>
            <w:r>
              <w:rPr>
                <w:rFonts w:ascii="Arial" w:hAnsi="Arial"/>
                <w:b w:val="0"/>
                <w:sz w:val="16"/>
              </w:rPr>
              <w:t>Terme résiduel c</w:t>
            </w:r>
          </w:p>
        </w:tc>
        <w:tc>
          <w:tcPr>
            <w:tcW w:type="dxa" w:w="3437"/>
          </w:tcPr>
          <w:p>
            <w:pPr>
              <w:spacing w:after="0"/>
            </w:pPr>
            <w:r>
              <w:rPr>
                <w:rFonts w:ascii="Arial" w:hAnsi="Arial"/>
                <w:b w:val="0"/>
                <w:sz w:val="16"/>
              </w:rPr>
              <w:t>-0,0270 K/h</w:t>
            </w:r>
          </w:p>
        </w:tc>
        <w:tc>
          <w:tcPr>
            <w:tcW w:type="dxa" w:w="3437"/>
          </w:tcPr>
          <w:p>
            <w:pPr>
              <w:spacing w:after="0"/>
            </w:pPr>
            <w:r>
              <w:rPr>
                <w:rFonts w:ascii="Arial" w:hAnsi="Arial"/>
                <w:b w:val="0"/>
                <w:sz w:val="16"/>
              </w:rPr>
              <w:t>Apports internes / ventilation / biais moyen</w:t>
            </w:r>
          </w:p>
        </w:tc>
      </w:tr>
      <w:tr>
        <w:tc>
          <w:tcPr>
            <w:tcW w:type="dxa" w:w="3437"/>
          </w:tcPr>
          <w:p>
            <w:pPr>
              <w:spacing w:after="0"/>
            </w:pPr>
            <w:r>
              <w:rPr>
                <w:rFonts w:ascii="Arial" w:hAnsi="Arial"/>
                <w:b w:val="0"/>
                <w:sz w:val="16"/>
              </w:rPr>
              <w:t>UA apparent de référence</w:t>
            </w:r>
          </w:p>
        </w:tc>
        <w:tc>
          <w:tcPr>
            <w:tcW w:type="dxa" w:w="3437"/>
          </w:tcPr>
          <w:p>
            <w:pPr>
              <w:spacing w:after="0"/>
            </w:pPr>
            <w:r>
              <w:rPr>
                <w:rFonts w:ascii="Arial" w:hAnsi="Arial"/>
                <w:b w:val="0"/>
                <w:sz w:val="16"/>
              </w:rPr>
              <w:t>15,3 kW/K</w:t>
            </w:r>
          </w:p>
        </w:tc>
        <w:tc>
          <w:tcPr>
            <w:tcW w:type="dxa" w:w="3437"/>
          </w:tcPr>
          <w:p>
            <w:pPr>
              <w:spacing w:after="0"/>
            </w:pPr>
            <w:r>
              <w:rPr>
                <w:rFonts w:ascii="Arial" w:hAnsi="Arial"/>
                <w:b w:val="0"/>
                <w:sz w:val="16"/>
              </w:rPr>
              <w:t>Calculé à partir de a et C</w:t>
            </w:r>
          </w:p>
        </w:tc>
      </w:tr>
      <w:tr>
        <w:tc>
          <w:tcPr>
            <w:tcW w:type="dxa" w:w="3437"/>
          </w:tcPr>
          <w:p>
            <w:pPr>
              <w:spacing w:after="0"/>
            </w:pPr>
            <w:r>
              <w:rPr>
                <w:rFonts w:ascii="Arial" w:hAnsi="Arial"/>
                <w:b w:val="0"/>
                <w:sz w:val="16"/>
              </w:rPr>
              <w:t>Constante de temps apparente</w:t>
            </w:r>
          </w:p>
        </w:tc>
        <w:tc>
          <w:tcPr>
            <w:tcW w:type="dxa" w:w="3437"/>
          </w:tcPr>
          <w:p>
            <w:pPr>
              <w:spacing w:after="0"/>
            </w:pPr>
            <w:r>
              <w:rPr>
                <w:rFonts w:ascii="Arial" w:hAnsi="Arial"/>
                <w:b w:val="0"/>
                <w:sz w:val="16"/>
              </w:rPr>
              <w:t>275 h</w:t>
            </w:r>
          </w:p>
        </w:tc>
        <w:tc>
          <w:tcPr>
            <w:tcW w:type="dxa" w:w="3437"/>
          </w:tcPr>
          <w:p>
            <w:pPr>
              <w:spacing w:after="0"/>
            </w:pPr>
            <w:r>
              <w:rPr>
                <w:rFonts w:ascii="Arial" w:hAnsi="Arial"/>
                <w:b w:val="0"/>
                <w:sz w:val="16"/>
              </w:rPr>
              <w:t>Ordre de grandeur moyen de l’inertie</w:t>
            </w:r>
          </w:p>
        </w:tc>
      </w:tr>
    </w:tbl>
    <w:p>
      <w:pPr>
        <w:spacing w:after="100"/>
        <w:jc w:val="both"/>
      </w:pPr>
      <w:r>
        <w:rPr>
          <w:rFonts w:ascii="Aptos" w:hAnsi="Aptos"/>
        </w:rPr>
        <w:t>Ces paramètres sont des grandeurs apparentes. Ils représentent le comportement moyen des deux circuits suivis par le CSV et non chaque appartement individuellement. Les marges de puissance doivent donc couvrir l’hétérogénéité réelle : étage, orientation, simple vitrage, apports internes et usage nocturne des chambres.</w:t>
      </w:r>
    </w:p>
    <w:p>
      <w:pPr>
        <w:pStyle w:val="Heading1"/>
        <w:spacing w:after="100"/>
      </w:pPr>
      <w:r>
        <w:rPr>
          <w:rFonts w:ascii="Aptos" w:hAnsi="Aptos"/>
        </w:rPr>
        <w:t>4.3.3 Définition des deux modes de pilotage étudiés</w:t>
      </w:r>
    </w:p>
    <w:p>
      <w:pPr>
        <w:spacing w:after="100"/>
        <w:jc w:val="both"/>
      </w:pPr>
      <w:r>
        <w:rPr>
          <w:rFonts w:ascii="Aptos" w:hAnsi="Aptos"/>
        </w:rPr>
        <w:t>Deux modes de calcul sont nécessaires pour ne pas sous-estimer les pointes. Le premier correspond à une demande réactive : les chambres deviennent prioritaires à 24 °C durant la nuit. Ce mode crée des pointes au moment où la consigne devient plus stricte. Le second correspond à un pilotage anticipatif : les chambres sont maintenues plus bas progressivement, ce qui réduit fortement les pointes mais exige une logique de régulation plus continue.</w:t>
      </w:r>
    </w:p>
    <w:tbl>
      <w:tblPr>
        <w:tblStyle w:val="TableGrid"/>
        <w:tblW w:type="auto" w:w="0"/>
        <w:jc w:val="center"/>
        <w:tblLayout w:type="autofit"/>
        <w:tblLook w:firstColumn="1" w:firstRow="1" w:lastColumn="0" w:lastRow="0" w:noHBand="0" w:noVBand="1" w:val="04A0"/>
      </w:tblPr>
      <w:tblGrid>
        <w:gridCol w:w="3437"/>
        <w:gridCol w:w="3437"/>
        <w:gridCol w:w="3437"/>
      </w:tblGrid>
      <w:tr>
        <w:tc>
          <w:tcPr>
            <w:tcW w:type="dxa" w:w="3437"/>
            <w:shd w:fill="D9EAF7"/>
          </w:tcPr>
          <w:p>
            <w:pPr>
              <w:spacing w:after="0"/>
            </w:pPr>
            <w:r>
              <w:rPr>
                <w:rFonts w:ascii="Arial" w:hAnsi="Arial"/>
                <w:b/>
                <w:sz w:val="16"/>
              </w:rPr>
              <w:t>Mode</w:t>
            </w:r>
          </w:p>
        </w:tc>
        <w:tc>
          <w:tcPr>
            <w:tcW w:type="dxa" w:w="3437"/>
            <w:shd w:fill="D9EAF7"/>
          </w:tcPr>
          <w:p>
            <w:pPr>
              <w:spacing w:after="0"/>
            </w:pPr>
            <w:r>
              <w:rPr>
                <w:rFonts w:ascii="Arial" w:hAnsi="Arial"/>
                <w:b/>
                <w:sz w:val="16"/>
              </w:rPr>
              <w:t>Hypothèse de calcul</w:t>
            </w:r>
          </w:p>
        </w:tc>
        <w:tc>
          <w:tcPr>
            <w:tcW w:type="dxa" w:w="3437"/>
            <w:shd w:fill="D9EAF7"/>
          </w:tcPr>
          <w:p>
            <w:pPr>
              <w:spacing w:after="0"/>
            </w:pPr>
            <w:r>
              <w:rPr>
                <w:rFonts w:ascii="Arial" w:hAnsi="Arial"/>
                <w:b/>
                <w:sz w:val="16"/>
              </w:rPr>
              <w:t>Intérêt</w:t>
            </w:r>
          </w:p>
        </w:tc>
      </w:tr>
      <w:tr>
        <w:tc>
          <w:tcPr>
            <w:tcW w:type="dxa" w:w="3437"/>
          </w:tcPr>
          <w:p>
            <w:pPr>
              <w:spacing w:after="0"/>
            </w:pPr>
            <w:r>
              <w:rPr>
                <w:rFonts w:ascii="Arial" w:hAnsi="Arial"/>
                <w:b w:val="0"/>
                <w:sz w:val="16"/>
              </w:rPr>
              <w:t>Pilotage nocturne réactif</w:t>
            </w:r>
          </w:p>
        </w:tc>
        <w:tc>
          <w:tcPr>
            <w:tcW w:type="dxa" w:w="3437"/>
          </w:tcPr>
          <w:p>
            <w:pPr>
              <w:spacing w:after="0"/>
            </w:pPr>
            <w:r>
              <w:rPr>
                <w:rFonts w:ascii="Arial" w:hAnsi="Arial"/>
                <w:b w:val="0"/>
                <w:sz w:val="16"/>
              </w:rPr>
              <w:t>Chambres : 24 °C de 20 h à 8 h, 26 °C le jour</w:t>
            </w:r>
          </w:p>
        </w:tc>
        <w:tc>
          <w:tcPr>
            <w:tcW w:type="dxa" w:w="3437"/>
          </w:tcPr>
          <w:p>
            <w:pPr>
              <w:spacing w:after="0"/>
            </w:pPr>
            <w:r>
              <w:rPr>
                <w:rFonts w:ascii="Arial" w:hAnsi="Arial"/>
                <w:b w:val="0"/>
                <w:sz w:val="16"/>
              </w:rPr>
              <w:t>Teste la pointe si l’on attend le soir pour refroidir les chambres.</w:t>
            </w:r>
          </w:p>
        </w:tc>
      </w:tr>
      <w:tr>
        <w:tc>
          <w:tcPr>
            <w:tcW w:type="dxa" w:w="3437"/>
          </w:tcPr>
          <w:p>
            <w:pPr>
              <w:spacing w:after="0"/>
            </w:pPr>
            <w:r>
              <w:rPr>
                <w:rFonts w:ascii="Arial" w:hAnsi="Arial"/>
                <w:b w:val="0"/>
                <w:sz w:val="16"/>
              </w:rPr>
              <w:t>Pilotage anticipatif</w:t>
            </w:r>
          </w:p>
        </w:tc>
        <w:tc>
          <w:tcPr>
            <w:tcW w:type="dxa" w:w="3437"/>
          </w:tcPr>
          <w:p>
            <w:pPr>
              <w:spacing w:after="0"/>
            </w:pPr>
            <w:r>
              <w:rPr>
                <w:rFonts w:ascii="Arial" w:hAnsi="Arial"/>
                <w:b w:val="0"/>
                <w:sz w:val="16"/>
              </w:rPr>
              <w:t>Chambres : 24 °C en continu dans le modèle</w:t>
            </w:r>
          </w:p>
        </w:tc>
        <w:tc>
          <w:tcPr>
            <w:tcW w:type="dxa" w:w="3437"/>
          </w:tcPr>
          <w:p>
            <w:pPr>
              <w:spacing w:after="0"/>
            </w:pPr>
            <w:r>
              <w:rPr>
                <w:rFonts w:ascii="Arial" w:hAnsi="Arial"/>
                <w:b w:val="0"/>
                <w:sz w:val="16"/>
              </w:rPr>
              <w:t>Teste une stratégie de pré-refroidissement qui limite les pics.</w:t>
            </w:r>
          </w:p>
        </w:tc>
      </w:tr>
      <w:tr>
        <w:tc>
          <w:tcPr>
            <w:tcW w:type="dxa" w:w="3437"/>
          </w:tcPr>
          <w:p>
            <w:pPr>
              <w:spacing w:after="0"/>
            </w:pPr>
            <w:r>
              <w:rPr>
                <w:rFonts w:ascii="Arial" w:hAnsi="Arial"/>
                <w:b w:val="0"/>
                <w:sz w:val="16"/>
              </w:rPr>
              <w:t>Lecture de dimensionnement</w:t>
            </w:r>
          </w:p>
        </w:tc>
        <w:tc>
          <w:tcPr>
            <w:tcW w:type="dxa" w:w="3437"/>
          </w:tcPr>
          <w:p>
            <w:pPr>
              <w:spacing w:after="0"/>
            </w:pPr>
            <w:r>
              <w:rPr>
                <w:rFonts w:ascii="Arial" w:hAnsi="Arial"/>
                <w:b w:val="0"/>
                <w:sz w:val="16"/>
              </w:rPr>
              <w:t>Le réactif dimensionne la puissance ; l’anticipatif dimensionne l’énergie et la régulation</w:t>
            </w:r>
          </w:p>
        </w:tc>
        <w:tc>
          <w:tcPr>
            <w:tcW w:type="dxa" w:w="3437"/>
          </w:tcPr>
          <w:p>
            <w:pPr>
              <w:spacing w:after="0"/>
            </w:pPr>
            <w:r>
              <w:rPr>
                <w:rFonts w:ascii="Arial" w:hAnsi="Arial"/>
                <w:b w:val="0"/>
                <w:sz w:val="16"/>
              </w:rPr>
              <w:t>Les deux lectures sont utiles pour fixer une capacité robuste.</w:t>
            </w:r>
          </w:p>
        </w:tc>
      </w:tr>
    </w:tbl>
    <w:p>
      <w:pPr>
        <w:pStyle w:val="Heading1"/>
        <w:spacing w:after="100"/>
      </w:pPr>
      <w:r>
        <w:rPr>
          <w:rFonts w:ascii="Aptos" w:hAnsi="Aptos"/>
        </w:rPr>
        <w:t>4.3.4 Courbe de durée de charge 2050</w:t>
      </w:r>
    </w:p>
    <w:p>
      <w:pPr>
        <w:spacing w:after="100"/>
        <w:jc w:val="center"/>
      </w:pPr>
      <w:r>
        <w:rPr>
          <w:rFonts w:ascii="Aptos" w:hAnsi="Aptos"/>
        </w:rPr>
        <w:drawing>
          <wp:inline xmlns:a="http://schemas.openxmlformats.org/drawingml/2006/main" xmlns:pic="http://schemas.openxmlformats.org/drawingml/2006/picture">
            <wp:extent cx="6217920" cy="3038072"/>
            <wp:docPr id="1" name="Picture 1"/>
            <wp:cNvGraphicFramePr>
              <a:graphicFrameLocks noChangeAspect="1"/>
            </wp:cNvGraphicFramePr>
            <a:graphic>
              <a:graphicData uri="http://schemas.openxmlformats.org/drawingml/2006/picture">
                <pic:pic>
                  <pic:nvPicPr>
                    <pic:cNvPr id="0" name="01_courbe_duree_charge_2050.png"/>
                    <pic:cNvPicPr/>
                  </pic:nvPicPr>
                  <pic:blipFill>
                    <a:blip r:embed="rId31"/>
                    <a:stretch>
                      <a:fillRect/>
                    </a:stretch>
                  </pic:blipFill>
                  <pic:spPr>
                    <a:xfrm>
                      <a:off x="0" y="0"/>
                      <a:ext cx="6217920" cy="3038072"/>
                    </a:xfrm>
                    <a:prstGeom prst="rect"/>
                  </pic:spPr>
                </pic:pic>
              </a:graphicData>
            </a:graphic>
          </wp:inline>
        </w:drawing>
      </w:r>
    </w:p>
    <w:p>
      <w:pPr>
        <w:spacing w:after="100"/>
        <w:jc w:val="center"/>
      </w:pPr>
      <w:r>
        <w:rPr>
          <w:rFonts w:ascii="Aptos" w:hAnsi="Aptos"/>
          <w:i/>
          <w:sz w:val="16"/>
        </w:rPr>
        <w:t>Figure 12 - Courbe de durée de charge en projection 2050 : comparaison du pilotage réactif et anticipatif.</w:t>
      </w:r>
    </w:p>
    <w:p>
      <w:pPr>
        <w:spacing w:after="100"/>
        <w:jc w:val="both"/>
      </w:pPr>
      <w:r>
        <w:rPr>
          <w:rFonts w:ascii="Aptos" w:hAnsi="Aptos"/>
        </w:rPr>
        <w:t>La courbe de durée montre que la capacité nécessaire dépend fortement du pilotage. En mode réactif, la pointe 2050 atteint environ 2,65 MW. En mode anticipatif, le pic tombe à environ 0,66 MW, mais l’énergie totale reste du même ordre de grandeur. Cela signifie que la capacité installée n’est pas seulement un problème de bilan énergétique ; c’est aussi un problème de gestion horaire des chambres.</w:t>
      </w:r>
    </w:p>
    <w:p>
      <w:pPr>
        <w:pStyle w:val="Heading1"/>
        <w:spacing w:after="100"/>
      </w:pPr>
      <w:r>
        <w:rPr>
          <w:rFonts w:ascii="Aptos" w:hAnsi="Aptos"/>
        </w:rPr>
        <w:t>4.3.5 Puissance horaire appelée en scénario 2050</w:t>
      </w:r>
    </w:p>
    <w:p>
      <w:pPr>
        <w:spacing w:after="100"/>
        <w:jc w:val="center"/>
      </w:pPr>
      <w:r>
        <w:rPr>
          <w:rFonts w:ascii="Aptos" w:hAnsi="Aptos"/>
        </w:rPr>
        <w:drawing>
          <wp:inline xmlns:a="http://schemas.openxmlformats.org/drawingml/2006/main" xmlns:pic="http://schemas.openxmlformats.org/drawingml/2006/picture">
            <wp:extent cx="6217920" cy="2964062"/>
            <wp:docPr id="2" name="Picture 2"/>
            <wp:cNvGraphicFramePr>
              <a:graphicFrameLocks noChangeAspect="1"/>
            </wp:cNvGraphicFramePr>
            <a:graphic>
              <a:graphicData uri="http://schemas.openxmlformats.org/drawingml/2006/picture">
                <pic:pic>
                  <pic:nvPicPr>
                    <pic:cNvPr id="0" name="02_puissance_horaire_2050.png"/>
                    <pic:cNvPicPr/>
                  </pic:nvPicPr>
                  <pic:blipFill>
                    <a:blip r:embed="rId32"/>
                    <a:stretch>
                      <a:fillRect/>
                    </a:stretch>
                  </pic:blipFill>
                  <pic:spPr>
                    <a:xfrm>
                      <a:off x="0" y="0"/>
                      <a:ext cx="6217920" cy="2964062"/>
                    </a:xfrm>
                    <a:prstGeom prst="rect"/>
                  </pic:spPr>
                </pic:pic>
              </a:graphicData>
            </a:graphic>
          </wp:inline>
        </w:drawing>
      </w:r>
    </w:p>
    <w:p>
      <w:pPr>
        <w:spacing w:after="100"/>
        <w:jc w:val="center"/>
      </w:pPr>
      <w:r>
        <w:rPr>
          <w:rFonts w:ascii="Aptos" w:hAnsi="Aptos"/>
          <w:i/>
          <w:sz w:val="16"/>
        </w:rPr>
        <w:t>Figure 13 - Puissance horaire appelée en 2050 avec chambres à 24 °C la nuit et lignes de capacité 2 / 2,5 / 3 MW.</w:t>
      </w:r>
    </w:p>
    <w:p>
      <w:pPr>
        <w:spacing w:after="100"/>
        <w:jc w:val="both"/>
      </w:pPr>
      <w:r>
        <w:rPr>
          <w:rFonts w:ascii="Aptos" w:hAnsi="Aptos"/>
        </w:rPr>
        <w:t>Cette figure est la plus directement exploitable pour le dimensionnement. Elle montre les heures où les lignes 2 MW et 2,5 MW peuvent être dépassées dans le scénario réactif. La capacité de 3 MW conserve une marge positive sur la période simulée, y compris lorsque la consigne chambres à 24 °C est activée.</w:t>
      </w:r>
    </w:p>
    <w:p>
      <w:pPr>
        <w:pStyle w:val="Heading1"/>
        <w:spacing w:after="100"/>
      </w:pPr>
      <w:r>
        <w:rPr>
          <w:rFonts w:ascii="Aptos" w:hAnsi="Aptos"/>
        </w:rPr>
        <w:t>4.3.6 Tableau de dimensionnement par scénario climatique</w:t>
      </w:r>
    </w:p>
    <w:tbl>
      <w:tblPr>
        <w:tblStyle w:val="TableGrid"/>
        <w:tblW w:type="auto" w:w="0"/>
        <w:jc w:val="center"/>
        <w:tblLayout w:type="autofit"/>
        <w:tblLook w:firstColumn="1" w:firstRow="1" w:lastColumn="0" w:lastRow="0" w:noHBand="0" w:noVBand="1" w:val="04A0"/>
      </w:tblPr>
      <w:tblGrid>
        <w:gridCol w:w="2062"/>
        <w:gridCol w:w="2062"/>
        <w:gridCol w:w="2062"/>
        <w:gridCol w:w="2062"/>
        <w:gridCol w:w="2062"/>
      </w:tblGrid>
      <w:tr>
        <w:tc>
          <w:tcPr>
            <w:tcW w:type="dxa" w:w="2062"/>
            <w:shd w:fill="D9EAF7"/>
          </w:tcPr>
          <w:p>
            <w:pPr>
              <w:spacing w:after="0"/>
            </w:pPr>
            <w:r>
              <w:rPr>
                <w:rFonts w:ascii="Arial" w:hAnsi="Arial"/>
                <w:b/>
                <w:sz w:val="16"/>
              </w:rPr>
              <w:t>Scénario</w:t>
            </w:r>
          </w:p>
        </w:tc>
        <w:tc>
          <w:tcPr>
            <w:tcW w:type="dxa" w:w="2062"/>
            <w:shd w:fill="D9EAF7"/>
          </w:tcPr>
          <w:p>
            <w:pPr>
              <w:spacing w:after="0"/>
            </w:pPr>
            <w:r>
              <w:rPr>
                <w:rFonts w:ascii="Arial" w:hAnsi="Arial"/>
                <w:b/>
                <w:sz w:val="16"/>
              </w:rPr>
              <w:t>Pic non contraint</w:t>
            </w:r>
          </w:p>
        </w:tc>
        <w:tc>
          <w:tcPr>
            <w:tcW w:type="dxa" w:w="2062"/>
            <w:shd w:fill="D9EAF7"/>
          </w:tcPr>
          <w:p>
            <w:pPr>
              <w:spacing w:after="0"/>
            </w:pPr>
            <w:r>
              <w:rPr>
                <w:rFonts w:ascii="Arial" w:hAnsi="Arial"/>
                <w:b/>
                <w:sz w:val="16"/>
              </w:rPr>
              <w:t>Énergie froide période</w:t>
            </w:r>
          </w:p>
        </w:tc>
        <w:tc>
          <w:tcPr>
            <w:tcW w:type="dxa" w:w="2062"/>
            <w:shd w:fill="D9EAF7"/>
          </w:tcPr>
          <w:p>
            <w:pPr>
              <w:spacing w:after="0"/>
            </w:pPr>
            <w:r>
              <w:rPr>
                <w:rFonts w:ascii="Arial" w:hAnsi="Arial"/>
                <w:b/>
                <w:sz w:val="16"/>
              </w:rPr>
              <w:t>Heures actives</w:t>
            </w:r>
          </w:p>
        </w:tc>
        <w:tc>
          <w:tcPr>
            <w:tcW w:type="dxa" w:w="2062"/>
            <w:shd w:fill="D9EAF7"/>
          </w:tcPr>
          <w:p>
            <w:pPr>
              <w:spacing w:after="0"/>
            </w:pPr>
            <w:r>
              <w:rPr>
                <w:rFonts w:ascii="Arial" w:hAnsi="Arial"/>
                <w:b/>
                <w:sz w:val="16"/>
              </w:rPr>
              <w:t>P95 des heures actives</w:t>
            </w:r>
          </w:p>
        </w:tc>
      </w:tr>
      <w:tr>
        <w:tc>
          <w:tcPr>
            <w:tcW w:type="dxa" w:w="2062"/>
          </w:tcPr>
          <w:p>
            <w:pPr>
              <w:spacing w:after="0"/>
            </w:pPr>
            <w:r>
              <w:rPr>
                <w:rFonts w:ascii="Arial" w:hAnsi="Arial"/>
                <w:b w:val="0"/>
                <w:sz w:val="16"/>
              </w:rPr>
              <w:t>2026 mesuré</w:t>
            </w:r>
          </w:p>
        </w:tc>
        <w:tc>
          <w:tcPr>
            <w:tcW w:type="dxa" w:w="2062"/>
          </w:tcPr>
          <w:p>
            <w:pPr>
              <w:spacing w:after="0"/>
            </w:pPr>
            <w:r>
              <w:rPr>
                <w:rFonts w:ascii="Arial" w:hAnsi="Arial"/>
                <w:b w:val="0"/>
                <w:sz w:val="16"/>
              </w:rPr>
              <w:t>2,41 MW</w:t>
            </w:r>
          </w:p>
        </w:tc>
        <w:tc>
          <w:tcPr>
            <w:tcW w:type="dxa" w:w="2062"/>
          </w:tcPr>
          <w:p>
            <w:pPr>
              <w:spacing w:after="0"/>
            </w:pPr>
            <w:r>
              <w:rPr>
                <w:rFonts w:ascii="Arial" w:hAnsi="Arial"/>
                <w:b w:val="0"/>
                <w:sz w:val="16"/>
              </w:rPr>
              <w:t>51,1 MWh</w:t>
            </w:r>
          </w:p>
        </w:tc>
        <w:tc>
          <w:tcPr>
            <w:tcW w:type="dxa" w:w="2062"/>
          </w:tcPr>
          <w:p>
            <w:pPr>
              <w:spacing w:after="0"/>
            </w:pPr>
            <w:r>
              <w:rPr>
                <w:rFonts w:ascii="Arial" w:hAnsi="Arial"/>
                <w:b w:val="0"/>
                <w:sz w:val="16"/>
              </w:rPr>
              <w:t>173 h</w:t>
            </w:r>
          </w:p>
        </w:tc>
        <w:tc>
          <w:tcPr>
            <w:tcW w:type="dxa" w:w="2062"/>
          </w:tcPr>
          <w:p>
            <w:pPr>
              <w:spacing w:after="0"/>
            </w:pPr>
            <w:r>
              <w:rPr>
                <w:rFonts w:ascii="Arial" w:hAnsi="Arial"/>
                <w:b w:val="0"/>
                <w:sz w:val="16"/>
              </w:rPr>
              <w:t>1,23 MW</w:t>
            </w:r>
          </w:p>
        </w:tc>
      </w:tr>
      <w:tr>
        <w:tc>
          <w:tcPr>
            <w:tcW w:type="dxa" w:w="2062"/>
          </w:tcPr>
          <w:p>
            <w:pPr>
              <w:spacing w:after="0"/>
            </w:pPr>
            <w:r>
              <w:rPr>
                <w:rFonts w:ascii="Arial" w:hAnsi="Arial"/>
                <w:b w:val="0"/>
                <w:sz w:val="16"/>
              </w:rPr>
              <w:t>2035 +1,0 °C</w:t>
            </w:r>
          </w:p>
        </w:tc>
        <w:tc>
          <w:tcPr>
            <w:tcW w:type="dxa" w:w="2062"/>
          </w:tcPr>
          <w:p>
            <w:pPr>
              <w:spacing w:after="0"/>
            </w:pPr>
            <w:r>
              <w:rPr>
                <w:rFonts w:ascii="Arial" w:hAnsi="Arial"/>
                <w:b w:val="0"/>
                <w:sz w:val="16"/>
              </w:rPr>
              <w:t>2,52 MW</w:t>
            </w:r>
          </w:p>
        </w:tc>
        <w:tc>
          <w:tcPr>
            <w:tcW w:type="dxa" w:w="2062"/>
          </w:tcPr>
          <w:p>
            <w:pPr>
              <w:spacing w:after="0"/>
            </w:pPr>
            <w:r>
              <w:rPr>
                <w:rFonts w:ascii="Arial" w:hAnsi="Arial"/>
                <w:b w:val="0"/>
                <w:sz w:val="16"/>
              </w:rPr>
              <w:t>61,2 MWh</w:t>
            </w:r>
          </w:p>
        </w:tc>
        <w:tc>
          <w:tcPr>
            <w:tcW w:type="dxa" w:w="2062"/>
          </w:tcPr>
          <w:p>
            <w:pPr>
              <w:spacing w:after="0"/>
            </w:pPr>
            <w:r>
              <w:rPr>
                <w:rFonts w:ascii="Arial" w:hAnsi="Arial"/>
                <w:b w:val="0"/>
                <w:sz w:val="16"/>
              </w:rPr>
              <w:t>203 h</w:t>
            </w:r>
          </w:p>
        </w:tc>
        <w:tc>
          <w:tcPr>
            <w:tcW w:type="dxa" w:w="2062"/>
          </w:tcPr>
          <w:p>
            <w:pPr>
              <w:spacing w:after="0"/>
            </w:pPr>
            <w:r>
              <w:rPr>
                <w:rFonts w:ascii="Arial" w:hAnsi="Arial"/>
                <w:b w:val="0"/>
                <w:sz w:val="16"/>
              </w:rPr>
              <w:t>1,34 MW</w:t>
            </w:r>
          </w:p>
        </w:tc>
      </w:tr>
      <w:tr>
        <w:tc>
          <w:tcPr>
            <w:tcW w:type="dxa" w:w="2062"/>
          </w:tcPr>
          <w:p>
            <w:pPr>
              <w:spacing w:after="0"/>
            </w:pPr>
            <w:r>
              <w:rPr>
                <w:rFonts w:ascii="Arial" w:hAnsi="Arial"/>
                <w:b w:val="0"/>
                <w:sz w:val="16"/>
              </w:rPr>
              <w:t>2050 +2,2 °C</w:t>
            </w:r>
          </w:p>
        </w:tc>
        <w:tc>
          <w:tcPr>
            <w:tcW w:type="dxa" w:w="2062"/>
          </w:tcPr>
          <w:p>
            <w:pPr>
              <w:spacing w:after="0"/>
            </w:pPr>
            <w:r>
              <w:rPr>
                <w:rFonts w:ascii="Arial" w:hAnsi="Arial"/>
                <w:b w:val="0"/>
                <w:sz w:val="16"/>
              </w:rPr>
              <w:t>2,65 MW</w:t>
            </w:r>
          </w:p>
        </w:tc>
        <w:tc>
          <w:tcPr>
            <w:tcW w:type="dxa" w:w="2062"/>
          </w:tcPr>
          <w:p>
            <w:pPr>
              <w:spacing w:after="0"/>
            </w:pPr>
            <w:r>
              <w:rPr>
                <w:rFonts w:ascii="Arial" w:hAnsi="Arial"/>
                <w:b w:val="0"/>
                <w:sz w:val="16"/>
              </w:rPr>
              <w:t>73,8 MWh</w:t>
            </w:r>
          </w:p>
        </w:tc>
        <w:tc>
          <w:tcPr>
            <w:tcW w:type="dxa" w:w="2062"/>
          </w:tcPr>
          <w:p>
            <w:pPr>
              <w:spacing w:after="0"/>
            </w:pPr>
            <w:r>
              <w:rPr>
                <w:rFonts w:ascii="Arial" w:hAnsi="Arial"/>
                <w:b w:val="0"/>
                <w:sz w:val="16"/>
              </w:rPr>
              <w:t>236 h</w:t>
            </w:r>
          </w:p>
        </w:tc>
        <w:tc>
          <w:tcPr>
            <w:tcW w:type="dxa" w:w="2062"/>
          </w:tcPr>
          <w:p>
            <w:pPr>
              <w:spacing w:after="0"/>
            </w:pPr>
            <w:r>
              <w:rPr>
                <w:rFonts w:ascii="Arial" w:hAnsi="Arial"/>
                <w:b w:val="0"/>
                <w:sz w:val="16"/>
              </w:rPr>
              <w:t>1,44 MW</w:t>
            </w:r>
          </w:p>
        </w:tc>
      </w:tr>
      <w:tr>
        <w:tc>
          <w:tcPr>
            <w:tcW w:type="dxa" w:w="2062"/>
          </w:tcPr>
          <w:p>
            <w:pPr>
              <w:spacing w:after="0"/>
            </w:pPr>
            <w:r>
              <w:rPr>
                <w:rFonts w:ascii="Arial" w:hAnsi="Arial"/>
                <w:b w:val="0"/>
                <w:sz w:val="16"/>
              </w:rPr>
              <w:t>2100 +3,2 °C</w:t>
            </w:r>
          </w:p>
        </w:tc>
        <w:tc>
          <w:tcPr>
            <w:tcW w:type="dxa" w:w="2062"/>
          </w:tcPr>
          <w:p>
            <w:pPr>
              <w:spacing w:after="0"/>
            </w:pPr>
            <w:r>
              <w:rPr>
                <w:rFonts w:ascii="Arial" w:hAnsi="Arial"/>
                <w:b w:val="0"/>
                <w:sz w:val="16"/>
              </w:rPr>
              <w:t>2,74 MW</w:t>
            </w:r>
          </w:p>
        </w:tc>
        <w:tc>
          <w:tcPr>
            <w:tcW w:type="dxa" w:w="2062"/>
          </w:tcPr>
          <w:p>
            <w:pPr>
              <w:spacing w:after="0"/>
            </w:pPr>
            <w:r>
              <w:rPr>
                <w:rFonts w:ascii="Arial" w:hAnsi="Arial"/>
                <w:b w:val="0"/>
                <w:sz w:val="16"/>
              </w:rPr>
              <w:t>84,7 MWh</w:t>
            </w:r>
          </w:p>
        </w:tc>
        <w:tc>
          <w:tcPr>
            <w:tcW w:type="dxa" w:w="2062"/>
          </w:tcPr>
          <w:p>
            <w:pPr>
              <w:spacing w:after="0"/>
            </w:pPr>
            <w:r>
              <w:rPr>
                <w:rFonts w:ascii="Arial" w:hAnsi="Arial"/>
                <w:b w:val="0"/>
                <w:sz w:val="16"/>
              </w:rPr>
              <w:t>266 h</w:t>
            </w:r>
          </w:p>
        </w:tc>
        <w:tc>
          <w:tcPr>
            <w:tcW w:type="dxa" w:w="2062"/>
          </w:tcPr>
          <w:p>
            <w:pPr>
              <w:spacing w:after="0"/>
            </w:pPr>
            <w:r>
              <w:rPr>
                <w:rFonts w:ascii="Arial" w:hAnsi="Arial"/>
                <w:b w:val="0"/>
                <w:sz w:val="16"/>
              </w:rPr>
              <w:t>1,44 MW</w:t>
            </w:r>
          </w:p>
        </w:tc>
      </w:tr>
      <w:tr>
        <w:tc>
          <w:tcPr>
            <w:tcW w:type="dxa" w:w="2062"/>
          </w:tcPr>
          <w:p>
            <w:pPr>
              <w:spacing w:after="0"/>
            </w:pPr>
            <w:r>
              <w:rPr>
                <w:rFonts w:ascii="Arial" w:hAnsi="Arial"/>
                <w:b w:val="0"/>
                <w:sz w:val="16"/>
              </w:rPr>
              <w:t>Stress +4,0 °C</w:t>
            </w:r>
          </w:p>
        </w:tc>
        <w:tc>
          <w:tcPr>
            <w:tcW w:type="dxa" w:w="2062"/>
          </w:tcPr>
          <w:p>
            <w:pPr>
              <w:spacing w:after="0"/>
            </w:pPr>
            <w:r>
              <w:rPr>
                <w:rFonts w:ascii="Arial" w:hAnsi="Arial"/>
                <w:b w:val="0"/>
                <w:sz w:val="16"/>
              </w:rPr>
              <w:t>2,82 MW</w:t>
            </w:r>
          </w:p>
        </w:tc>
        <w:tc>
          <w:tcPr>
            <w:tcW w:type="dxa" w:w="2062"/>
          </w:tcPr>
          <w:p>
            <w:pPr>
              <w:spacing w:after="0"/>
            </w:pPr>
            <w:r>
              <w:rPr>
                <w:rFonts w:ascii="Arial" w:hAnsi="Arial"/>
                <w:b w:val="0"/>
                <w:sz w:val="16"/>
              </w:rPr>
              <w:t>93,7 MWh</w:t>
            </w:r>
          </w:p>
        </w:tc>
        <w:tc>
          <w:tcPr>
            <w:tcW w:type="dxa" w:w="2062"/>
          </w:tcPr>
          <w:p>
            <w:pPr>
              <w:spacing w:after="0"/>
            </w:pPr>
            <w:r>
              <w:rPr>
                <w:rFonts w:ascii="Arial" w:hAnsi="Arial"/>
                <w:b w:val="0"/>
                <w:sz w:val="16"/>
              </w:rPr>
              <w:t>292 h</w:t>
            </w:r>
          </w:p>
        </w:tc>
        <w:tc>
          <w:tcPr>
            <w:tcW w:type="dxa" w:w="2062"/>
          </w:tcPr>
          <w:p>
            <w:pPr>
              <w:spacing w:after="0"/>
            </w:pPr>
            <w:r>
              <w:rPr>
                <w:rFonts w:ascii="Arial" w:hAnsi="Arial"/>
                <w:b w:val="0"/>
                <w:sz w:val="16"/>
              </w:rPr>
              <w:t>1,42 MW</w:t>
            </w:r>
          </w:p>
        </w:tc>
      </w:tr>
    </w:tbl>
    <w:p>
      <w:pPr>
        <w:spacing w:after="100"/>
        <w:jc w:val="both"/>
      </w:pPr>
      <w:r>
        <w:rPr>
          <w:rFonts w:ascii="Aptos" w:hAnsi="Aptos"/>
        </w:rPr>
        <w:t>Le pic non contraint est le besoin horaire maximal calculé avant limitation par la capacité installée. Il sert à lire la marge brute des capacités 2, 2,5 et 3 MW. L’énergie est calculée sur la période du CSV transposée au scénario climatique, et ne doit pas être interprétée comme une énergie annuelle complète.</w:t>
      </w:r>
    </w:p>
    <w:p>
      <w:pPr>
        <w:pStyle w:val="Heading1"/>
        <w:spacing w:after="100"/>
      </w:pPr>
      <w:r>
        <w:rPr>
          <w:rFonts w:ascii="Aptos" w:hAnsi="Aptos"/>
        </w:rPr>
        <w:t>4.3.7 Marges de puissance 2 / 2,5 / 3 MW</w:t>
      </w:r>
    </w:p>
    <w:p>
      <w:pPr>
        <w:spacing w:after="100"/>
        <w:jc w:val="center"/>
      </w:pPr>
      <w:r>
        <w:rPr>
          <w:rFonts w:ascii="Aptos" w:hAnsi="Aptos"/>
        </w:rPr>
        <w:drawing>
          <wp:inline xmlns:a="http://schemas.openxmlformats.org/drawingml/2006/main" xmlns:pic="http://schemas.openxmlformats.org/drawingml/2006/picture">
            <wp:extent cx="6217920" cy="3035600"/>
            <wp:docPr id="3" name="Picture 3"/>
            <wp:cNvGraphicFramePr>
              <a:graphicFrameLocks noChangeAspect="1"/>
            </wp:cNvGraphicFramePr>
            <a:graphic>
              <a:graphicData uri="http://schemas.openxmlformats.org/drawingml/2006/picture">
                <pic:pic>
                  <pic:nvPicPr>
                    <pic:cNvPr id="0" name="03_marges_reactif.png"/>
                    <pic:cNvPicPr/>
                  </pic:nvPicPr>
                  <pic:blipFill>
                    <a:blip r:embed="rId33"/>
                    <a:stretch>
                      <a:fillRect/>
                    </a:stretch>
                  </pic:blipFill>
                  <pic:spPr>
                    <a:xfrm>
                      <a:off x="0" y="0"/>
                      <a:ext cx="6217920" cy="3035600"/>
                    </a:xfrm>
                    <a:prstGeom prst="rect"/>
                  </pic:spPr>
                </pic:pic>
              </a:graphicData>
            </a:graphic>
          </wp:inline>
        </w:drawing>
      </w:r>
    </w:p>
    <w:p>
      <w:pPr>
        <w:spacing w:after="100"/>
        <w:jc w:val="center"/>
      </w:pPr>
      <w:r>
        <w:rPr>
          <w:rFonts w:ascii="Aptos" w:hAnsi="Aptos"/>
          <w:i/>
          <w:sz w:val="16"/>
        </w:rPr>
        <w:t>Figure 14 - Marges de puissance selon les scénarios climatiques, en pilotage réactif.</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c>
          <w:tcPr>
            <w:tcW w:type="dxa" w:w="2578"/>
            <w:shd w:fill="D9EAF7"/>
          </w:tcPr>
          <w:p>
            <w:pPr>
              <w:spacing w:after="0"/>
            </w:pPr>
            <w:r>
              <w:rPr>
                <w:rFonts w:ascii="Arial" w:hAnsi="Arial"/>
                <w:b/>
                <w:sz w:val="16"/>
              </w:rPr>
              <w:t>Scénario</w:t>
            </w:r>
          </w:p>
        </w:tc>
        <w:tc>
          <w:tcPr>
            <w:tcW w:type="dxa" w:w="2578"/>
            <w:shd w:fill="D9EAF7"/>
          </w:tcPr>
          <w:p>
            <w:pPr>
              <w:spacing w:after="0"/>
            </w:pPr>
            <w:r>
              <w:rPr>
                <w:rFonts w:ascii="Arial" w:hAnsi="Arial"/>
                <w:b/>
                <w:sz w:val="16"/>
              </w:rPr>
              <w:t>Marge avec 2 MW</w:t>
            </w:r>
          </w:p>
        </w:tc>
        <w:tc>
          <w:tcPr>
            <w:tcW w:type="dxa" w:w="2578"/>
            <w:shd w:fill="D9EAF7"/>
          </w:tcPr>
          <w:p>
            <w:pPr>
              <w:spacing w:after="0"/>
            </w:pPr>
            <w:r>
              <w:rPr>
                <w:rFonts w:ascii="Arial" w:hAnsi="Arial"/>
                <w:b/>
                <w:sz w:val="16"/>
              </w:rPr>
              <w:t>Marge avec 2,5 MW</w:t>
            </w:r>
          </w:p>
        </w:tc>
        <w:tc>
          <w:tcPr>
            <w:tcW w:type="dxa" w:w="2578"/>
            <w:shd w:fill="D9EAF7"/>
          </w:tcPr>
          <w:p>
            <w:pPr>
              <w:spacing w:after="0"/>
            </w:pPr>
            <w:r>
              <w:rPr>
                <w:rFonts w:ascii="Arial" w:hAnsi="Arial"/>
                <w:b/>
                <w:sz w:val="16"/>
              </w:rPr>
              <w:t>Marge avec 3 MW</w:t>
            </w:r>
          </w:p>
        </w:tc>
      </w:tr>
      <w:tr>
        <w:tc>
          <w:tcPr>
            <w:tcW w:type="dxa" w:w="2578"/>
          </w:tcPr>
          <w:p>
            <w:pPr>
              <w:spacing w:after="0"/>
            </w:pPr>
            <w:r>
              <w:rPr>
                <w:rFonts w:ascii="Arial" w:hAnsi="Arial"/>
                <w:b w:val="0"/>
                <w:sz w:val="16"/>
              </w:rPr>
              <w:t>2026 mesuré</w:t>
            </w:r>
          </w:p>
        </w:tc>
        <w:tc>
          <w:tcPr>
            <w:tcW w:type="dxa" w:w="2578"/>
          </w:tcPr>
          <w:p>
            <w:pPr>
              <w:spacing w:after="0"/>
            </w:pPr>
            <w:r>
              <w:rPr>
                <w:rFonts w:ascii="Arial" w:hAnsi="Arial"/>
                <w:b w:val="0"/>
                <w:sz w:val="16"/>
              </w:rPr>
              <w:t>-0,41 MW</w:t>
            </w:r>
          </w:p>
        </w:tc>
        <w:tc>
          <w:tcPr>
            <w:tcW w:type="dxa" w:w="2578"/>
          </w:tcPr>
          <w:p>
            <w:pPr>
              <w:spacing w:after="0"/>
            </w:pPr>
            <w:r>
              <w:rPr>
                <w:rFonts w:ascii="Arial" w:hAnsi="Arial"/>
                <w:b w:val="0"/>
                <w:sz w:val="16"/>
              </w:rPr>
              <w:t>0,09 MW</w:t>
            </w:r>
          </w:p>
        </w:tc>
        <w:tc>
          <w:tcPr>
            <w:tcW w:type="dxa" w:w="2578"/>
          </w:tcPr>
          <w:p>
            <w:pPr>
              <w:spacing w:after="0"/>
            </w:pPr>
            <w:r>
              <w:rPr>
                <w:rFonts w:ascii="Arial" w:hAnsi="Arial"/>
                <w:b w:val="0"/>
                <w:sz w:val="16"/>
              </w:rPr>
              <w:t>0,59 MW</w:t>
            </w:r>
          </w:p>
        </w:tc>
      </w:tr>
      <w:tr>
        <w:tc>
          <w:tcPr>
            <w:tcW w:type="dxa" w:w="2578"/>
          </w:tcPr>
          <w:p>
            <w:pPr>
              <w:spacing w:after="0"/>
            </w:pPr>
            <w:r>
              <w:rPr>
                <w:rFonts w:ascii="Arial" w:hAnsi="Arial"/>
                <w:b w:val="0"/>
                <w:sz w:val="16"/>
              </w:rPr>
              <w:t>2035 +1,0 °C</w:t>
            </w:r>
          </w:p>
        </w:tc>
        <w:tc>
          <w:tcPr>
            <w:tcW w:type="dxa" w:w="2578"/>
          </w:tcPr>
          <w:p>
            <w:pPr>
              <w:spacing w:after="0"/>
            </w:pPr>
            <w:r>
              <w:rPr>
                <w:rFonts w:ascii="Arial" w:hAnsi="Arial"/>
                <w:b w:val="0"/>
                <w:sz w:val="16"/>
              </w:rPr>
              <w:t>-0,52 MW</w:t>
            </w:r>
          </w:p>
        </w:tc>
        <w:tc>
          <w:tcPr>
            <w:tcW w:type="dxa" w:w="2578"/>
          </w:tcPr>
          <w:p>
            <w:pPr>
              <w:spacing w:after="0"/>
            </w:pPr>
            <w:r>
              <w:rPr>
                <w:rFonts w:ascii="Arial" w:hAnsi="Arial"/>
                <w:b w:val="0"/>
                <w:sz w:val="16"/>
              </w:rPr>
              <w:t>-0,02 MW</w:t>
            </w:r>
          </w:p>
        </w:tc>
        <w:tc>
          <w:tcPr>
            <w:tcW w:type="dxa" w:w="2578"/>
          </w:tcPr>
          <w:p>
            <w:pPr>
              <w:spacing w:after="0"/>
            </w:pPr>
            <w:r>
              <w:rPr>
                <w:rFonts w:ascii="Arial" w:hAnsi="Arial"/>
                <w:b w:val="0"/>
                <w:sz w:val="16"/>
              </w:rPr>
              <w:t>0,48 MW</w:t>
            </w:r>
          </w:p>
        </w:tc>
      </w:tr>
      <w:tr>
        <w:tc>
          <w:tcPr>
            <w:tcW w:type="dxa" w:w="2578"/>
          </w:tcPr>
          <w:p>
            <w:pPr>
              <w:spacing w:after="0"/>
            </w:pPr>
            <w:r>
              <w:rPr>
                <w:rFonts w:ascii="Arial" w:hAnsi="Arial"/>
                <w:b w:val="0"/>
                <w:sz w:val="16"/>
              </w:rPr>
              <w:t>2050 +2,2 °C</w:t>
            </w:r>
          </w:p>
        </w:tc>
        <w:tc>
          <w:tcPr>
            <w:tcW w:type="dxa" w:w="2578"/>
          </w:tcPr>
          <w:p>
            <w:pPr>
              <w:spacing w:after="0"/>
            </w:pPr>
            <w:r>
              <w:rPr>
                <w:rFonts w:ascii="Arial" w:hAnsi="Arial"/>
                <w:b w:val="0"/>
                <w:sz w:val="16"/>
              </w:rPr>
              <w:t>-0,65 MW</w:t>
            </w:r>
          </w:p>
        </w:tc>
        <w:tc>
          <w:tcPr>
            <w:tcW w:type="dxa" w:w="2578"/>
          </w:tcPr>
          <w:p>
            <w:pPr>
              <w:spacing w:after="0"/>
            </w:pPr>
            <w:r>
              <w:rPr>
                <w:rFonts w:ascii="Arial" w:hAnsi="Arial"/>
                <w:b w:val="0"/>
                <w:sz w:val="16"/>
              </w:rPr>
              <w:t>-0,15 MW</w:t>
            </w:r>
          </w:p>
        </w:tc>
        <w:tc>
          <w:tcPr>
            <w:tcW w:type="dxa" w:w="2578"/>
          </w:tcPr>
          <w:p>
            <w:pPr>
              <w:spacing w:after="0"/>
            </w:pPr>
            <w:r>
              <w:rPr>
                <w:rFonts w:ascii="Arial" w:hAnsi="Arial"/>
                <w:b w:val="0"/>
                <w:sz w:val="16"/>
              </w:rPr>
              <w:t>0,35 MW</w:t>
            </w:r>
          </w:p>
        </w:tc>
      </w:tr>
      <w:tr>
        <w:tc>
          <w:tcPr>
            <w:tcW w:type="dxa" w:w="2578"/>
          </w:tcPr>
          <w:p>
            <w:pPr>
              <w:spacing w:after="0"/>
            </w:pPr>
            <w:r>
              <w:rPr>
                <w:rFonts w:ascii="Arial" w:hAnsi="Arial"/>
                <w:b w:val="0"/>
                <w:sz w:val="16"/>
              </w:rPr>
              <w:t>2100 +3,2 °C</w:t>
            </w:r>
          </w:p>
        </w:tc>
        <w:tc>
          <w:tcPr>
            <w:tcW w:type="dxa" w:w="2578"/>
          </w:tcPr>
          <w:p>
            <w:pPr>
              <w:spacing w:after="0"/>
            </w:pPr>
            <w:r>
              <w:rPr>
                <w:rFonts w:ascii="Arial" w:hAnsi="Arial"/>
                <w:b w:val="0"/>
                <w:sz w:val="16"/>
              </w:rPr>
              <w:t>-0,74 MW</w:t>
            </w:r>
          </w:p>
        </w:tc>
        <w:tc>
          <w:tcPr>
            <w:tcW w:type="dxa" w:w="2578"/>
          </w:tcPr>
          <w:p>
            <w:pPr>
              <w:spacing w:after="0"/>
            </w:pPr>
            <w:r>
              <w:rPr>
                <w:rFonts w:ascii="Arial" w:hAnsi="Arial"/>
                <w:b w:val="0"/>
                <w:sz w:val="16"/>
              </w:rPr>
              <w:t>-0,24 MW</w:t>
            </w:r>
          </w:p>
        </w:tc>
        <w:tc>
          <w:tcPr>
            <w:tcW w:type="dxa" w:w="2578"/>
          </w:tcPr>
          <w:p>
            <w:pPr>
              <w:spacing w:after="0"/>
            </w:pPr>
            <w:r>
              <w:rPr>
                <w:rFonts w:ascii="Arial" w:hAnsi="Arial"/>
                <w:b w:val="0"/>
                <w:sz w:val="16"/>
              </w:rPr>
              <w:t>0,26 MW</w:t>
            </w:r>
          </w:p>
        </w:tc>
      </w:tr>
      <w:tr>
        <w:tc>
          <w:tcPr>
            <w:tcW w:type="dxa" w:w="2578"/>
          </w:tcPr>
          <w:p>
            <w:pPr>
              <w:spacing w:after="0"/>
            </w:pPr>
            <w:r>
              <w:rPr>
                <w:rFonts w:ascii="Arial" w:hAnsi="Arial"/>
                <w:b w:val="0"/>
                <w:sz w:val="16"/>
              </w:rPr>
              <w:t>Stress +4,0 °C</w:t>
            </w:r>
          </w:p>
        </w:tc>
        <w:tc>
          <w:tcPr>
            <w:tcW w:type="dxa" w:w="2578"/>
          </w:tcPr>
          <w:p>
            <w:pPr>
              <w:spacing w:after="0"/>
            </w:pPr>
            <w:r>
              <w:rPr>
                <w:rFonts w:ascii="Arial" w:hAnsi="Arial"/>
                <w:b w:val="0"/>
                <w:sz w:val="16"/>
              </w:rPr>
              <w:t>-0,82 MW</w:t>
            </w:r>
          </w:p>
        </w:tc>
        <w:tc>
          <w:tcPr>
            <w:tcW w:type="dxa" w:w="2578"/>
          </w:tcPr>
          <w:p>
            <w:pPr>
              <w:spacing w:after="0"/>
            </w:pPr>
            <w:r>
              <w:rPr>
                <w:rFonts w:ascii="Arial" w:hAnsi="Arial"/>
                <w:b w:val="0"/>
                <w:sz w:val="16"/>
              </w:rPr>
              <w:t>-0,32 MW</w:t>
            </w:r>
          </w:p>
        </w:tc>
        <w:tc>
          <w:tcPr>
            <w:tcW w:type="dxa" w:w="2578"/>
          </w:tcPr>
          <w:p>
            <w:pPr>
              <w:spacing w:after="0"/>
            </w:pPr>
            <w:r>
              <w:rPr>
                <w:rFonts w:ascii="Arial" w:hAnsi="Arial"/>
                <w:b w:val="0"/>
                <w:sz w:val="16"/>
              </w:rPr>
              <w:t>0,18 MW</w:t>
            </w:r>
          </w:p>
        </w:tc>
      </w:tr>
    </w:tbl>
    <w:p>
      <w:pPr>
        <w:spacing w:after="100"/>
        <w:jc w:val="both"/>
      </w:pPr>
      <w:r>
        <w:rPr>
          <w:rFonts w:ascii="Aptos" w:hAnsi="Aptos"/>
        </w:rPr>
        <w:t>Une marge négative signifie que la capacité est inférieure au pic horaire simulé. En projection 2050, le scénario réactif donne un pic d’environ 2,65 MW : 2 MW est insuffisant sur quelques heures, 2,5 MW reste légèrement inférieur au pic, et 3 MW conserve une marge d’environ 0,35 MW.</w:t>
      </w:r>
    </w:p>
    <w:p>
      <w:pPr>
        <w:pStyle w:val="Heading1"/>
        <w:spacing w:after="100"/>
      </w:pPr>
      <w:r>
        <w:rPr>
          <w:rFonts w:ascii="Aptos" w:hAnsi="Aptos"/>
        </w:rPr>
        <w:t>4.3.8 Heures de saturation</w:t>
      </w:r>
    </w:p>
    <w:p>
      <w:pPr>
        <w:spacing w:after="100"/>
        <w:jc w:val="center"/>
      </w:pPr>
      <w:r>
        <w:rPr>
          <w:rFonts w:ascii="Aptos" w:hAnsi="Aptos"/>
        </w:rPr>
        <w:drawing>
          <wp:inline xmlns:a="http://schemas.openxmlformats.org/drawingml/2006/main" xmlns:pic="http://schemas.openxmlformats.org/drawingml/2006/picture">
            <wp:extent cx="6217920" cy="2863582"/>
            <wp:docPr id="4" name="Picture 4"/>
            <wp:cNvGraphicFramePr>
              <a:graphicFrameLocks noChangeAspect="1"/>
            </wp:cNvGraphicFramePr>
            <a:graphic>
              <a:graphicData uri="http://schemas.openxmlformats.org/drawingml/2006/picture">
                <pic:pic>
                  <pic:nvPicPr>
                    <pic:cNvPr id="0" name="04_saturation_heures.png"/>
                    <pic:cNvPicPr/>
                  </pic:nvPicPr>
                  <pic:blipFill>
                    <a:blip r:embed="rId34"/>
                    <a:stretch>
                      <a:fillRect/>
                    </a:stretch>
                  </pic:blipFill>
                  <pic:spPr>
                    <a:xfrm>
                      <a:off x="0" y="0"/>
                      <a:ext cx="6217920" cy="2863582"/>
                    </a:xfrm>
                    <a:prstGeom prst="rect"/>
                  </pic:spPr>
                </pic:pic>
              </a:graphicData>
            </a:graphic>
          </wp:inline>
        </w:drawing>
      </w:r>
    </w:p>
    <w:p>
      <w:pPr>
        <w:spacing w:after="100"/>
        <w:jc w:val="center"/>
      </w:pPr>
      <w:r>
        <w:rPr>
          <w:rFonts w:ascii="Aptos" w:hAnsi="Aptos"/>
          <w:i/>
          <w:sz w:val="16"/>
        </w:rPr>
        <w:t>Figure 15 - Heures de saturation pour chaque scénario et chaque capacité.</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c>
          <w:tcPr>
            <w:tcW w:type="dxa" w:w="2578"/>
            <w:shd w:fill="D9EAF7"/>
          </w:tcPr>
          <w:p>
            <w:pPr>
              <w:spacing w:after="0"/>
            </w:pPr>
            <w:r>
              <w:rPr>
                <w:rFonts w:ascii="Arial" w:hAnsi="Arial"/>
                <w:b/>
                <w:sz w:val="16"/>
              </w:rPr>
              <w:t>Scénario</w:t>
            </w:r>
          </w:p>
        </w:tc>
        <w:tc>
          <w:tcPr>
            <w:tcW w:type="dxa" w:w="2578"/>
            <w:shd w:fill="D9EAF7"/>
          </w:tcPr>
          <w:p>
            <w:pPr>
              <w:spacing w:after="0"/>
            </w:pPr>
            <w:r>
              <w:rPr>
                <w:rFonts w:ascii="Arial" w:hAnsi="Arial"/>
                <w:b/>
                <w:sz w:val="16"/>
              </w:rPr>
              <w:t>Saturation 2 MW</w:t>
            </w:r>
          </w:p>
        </w:tc>
        <w:tc>
          <w:tcPr>
            <w:tcW w:type="dxa" w:w="2578"/>
            <w:shd w:fill="D9EAF7"/>
          </w:tcPr>
          <w:p>
            <w:pPr>
              <w:spacing w:after="0"/>
            </w:pPr>
            <w:r>
              <w:rPr>
                <w:rFonts w:ascii="Arial" w:hAnsi="Arial"/>
                <w:b/>
                <w:sz w:val="16"/>
              </w:rPr>
              <w:t>Saturation 2,5 MW</w:t>
            </w:r>
          </w:p>
        </w:tc>
        <w:tc>
          <w:tcPr>
            <w:tcW w:type="dxa" w:w="2578"/>
            <w:shd w:fill="D9EAF7"/>
          </w:tcPr>
          <w:p>
            <w:pPr>
              <w:spacing w:after="0"/>
            </w:pPr>
            <w:r>
              <w:rPr>
                <w:rFonts w:ascii="Arial" w:hAnsi="Arial"/>
                <w:b/>
                <w:sz w:val="16"/>
              </w:rPr>
              <w:t>Saturation 3 MW</w:t>
            </w:r>
          </w:p>
        </w:tc>
      </w:tr>
      <w:tr>
        <w:tc>
          <w:tcPr>
            <w:tcW w:type="dxa" w:w="2578"/>
          </w:tcPr>
          <w:p>
            <w:pPr>
              <w:spacing w:after="0"/>
            </w:pPr>
            <w:r>
              <w:rPr>
                <w:rFonts w:ascii="Arial" w:hAnsi="Arial"/>
                <w:b w:val="0"/>
                <w:sz w:val="16"/>
              </w:rPr>
              <w:t>2026 mesuré</w:t>
            </w:r>
          </w:p>
        </w:tc>
        <w:tc>
          <w:tcPr>
            <w:tcW w:type="dxa" w:w="2578"/>
          </w:tcPr>
          <w:p>
            <w:pPr>
              <w:spacing w:after="0"/>
            </w:pPr>
            <w:r>
              <w:rPr>
                <w:rFonts w:ascii="Arial" w:hAnsi="Arial"/>
                <w:b w:val="0"/>
                <w:sz w:val="16"/>
              </w:rPr>
              <w:t>2 h</w:t>
            </w:r>
          </w:p>
        </w:tc>
        <w:tc>
          <w:tcPr>
            <w:tcW w:type="dxa" w:w="2578"/>
          </w:tcPr>
          <w:p>
            <w:pPr>
              <w:spacing w:after="0"/>
            </w:pPr>
            <w:r>
              <w:rPr>
                <w:rFonts w:ascii="Arial" w:hAnsi="Arial"/>
                <w:b w:val="0"/>
                <w:sz w:val="16"/>
              </w:rPr>
              <w:t>0 h</w:t>
            </w:r>
          </w:p>
        </w:tc>
        <w:tc>
          <w:tcPr>
            <w:tcW w:type="dxa" w:w="2578"/>
          </w:tcPr>
          <w:p>
            <w:pPr>
              <w:spacing w:after="0"/>
            </w:pPr>
            <w:r>
              <w:rPr>
                <w:rFonts w:ascii="Arial" w:hAnsi="Arial"/>
                <w:b w:val="0"/>
                <w:sz w:val="16"/>
              </w:rPr>
              <w:t>0 h</w:t>
            </w:r>
          </w:p>
        </w:tc>
      </w:tr>
      <w:tr>
        <w:tc>
          <w:tcPr>
            <w:tcW w:type="dxa" w:w="2578"/>
          </w:tcPr>
          <w:p>
            <w:pPr>
              <w:spacing w:after="0"/>
            </w:pPr>
            <w:r>
              <w:rPr>
                <w:rFonts w:ascii="Arial" w:hAnsi="Arial"/>
                <w:b w:val="0"/>
                <w:sz w:val="16"/>
              </w:rPr>
              <w:t>2035 +1,0 °C</w:t>
            </w:r>
          </w:p>
        </w:tc>
        <w:tc>
          <w:tcPr>
            <w:tcW w:type="dxa" w:w="2578"/>
          </w:tcPr>
          <w:p>
            <w:pPr>
              <w:spacing w:after="0"/>
            </w:pPr>
            <w:r>
              <w:rPr>
                <w:rFonts w:ascii="Arial" w:hAnsi="Arial"/>
                <w:b w:val="0"/>
                <w:sz w:val="16"/>
              </w:rPr>
              <w:t>2 h</w:t>
            </w:r>
          </w:p>
        </w:tc>
        <w:tc>
          <w:tcPr>
            <w:tcW w:type="dxa" w:w="2578"/>
          </w:tcPr>
          <w:p>
            <w:pPr>
              <w:spacing w:after="0"/>
            </w:pPr>
            <w:r>
              <w:rPr>
                <w:rFonts w:ascii="Arial" w:hAnsi="Arial"/>
                <w:b w:val="0"/>
                <w:sz w:val="16"/>
              </w:rPr>
              <w:t>1 h</w:t>
            </w:r>
          </w:p>
        </w:tc>
        <w:tc>
          <w:tcPr>
            <w:tcW w:type="dxa" w:w="2578"/>
          </w:tcPr>
          <w:p>
            <w:pPr>
              <w:spacing w:after="0"/>
            </w:pPr>
            <w:r>
              <w:rPr>
                <w:rFonts w:ascii="Arial" w:hAnsi="Arial"/>
                <w:b w:val="0"/>
                <w:sz w:val="16"/>
              </w:rPr>
              <w:t>0 h</w:t>
            </w:r>
          </w:p>
        </w:tc>
      </w:tr>
      <w:tr>
        <w:tc>
          <w:tcPr>
            <w:tcW w:type="dxa" w:w="2578"/>
          </w:tcPr>
          <w:p>
            <w:pPr>
              <w:spacing w:after="0"/>
            </w:pPr>
            <w:r>
              <w:rPr>
                <w:rFonts w:ascii="Arial" w:hAnsi="Arial"/>
                <w:b w:val="0"/>
                <w:sz w:val="16"/>
              </w:rPr>
              <w:t>2050 +2,2 °C</w:t>
            </w:r>
          </w:p>
        </w:tc>
        <w:tc>
          <w:tcPr>
            <w:tcW w:type="dxa" w:w="2578"/>
          </w:tcPr>
          <w:p>
            <w:pPr>
              <w:spacing w:after="0"/>
            </w:pPr>
            <w:r>
              <w:rPr>
                <w:rFonts w:ascii="Arial" w:hAnsi="Arial"/>
                <w:b w:val="0"/>
                <w:sz w:val="16"/>
              </w:rPr>
              <w:t>3 h</w:t>
            </w:r>
          </w:p>
        </w:tc>
        <w:tc>
          <w:tcPr>
            <w:tcW w:type="dxa" w:w="2578"/>
          </w:tcPr>
          <w:p>
            <w:pPr>
              <w:spacing w:after="0"/>
            </w:pPr>
            <w:r>
              <w:rPr>
                <w:rFonts w:ascii="Arial" w:hAnsi="Arial"/>
                <w:b w:val="0"/>
                <w:sz w:val="16"/>
              </w:rPr>
              <w:t>1 h</w:t>
            </w:r>
          </w:p>
        </w:tc>
        <w:tc>
          <w:tcPr>
            <w:tcW w:type="dxa" w:w="2578"/>
          </w:tcPr>
          <w:p>
            <w:pPr>
              <w:spacing w:after="0"/>
            </w:pPr>
            <w:r>
              <w:rPr>
                <w:rFonts w:ascii="Arial" w:hAnsi="Arial"/>
                <w:b w:val="0"/>
                <w:sz w:val="16"/>
              </w:rPr>
              <w:t>0 h</w:t>
            </w:r>
          </w:p>
        </w:tc>
      </w:tr>
      <w:tr>
        <w:tc>
          <w:tcPr>
            <w:tcW w:type="dxa" w:w="2578"/>
          </w:tcPr>
          <w:p>
            <w:pPr>
              <w:spacing w:after="0"/>
            </w:pPr>
            <w:r>
              <w:rPr>
                <w:rFonts w:ascii="Arial" w:hAnsi="Arial"/>
                <w:b w:val="0"/>
                <w:sz w:val="16"/>
              </w:rPr>
              <w:t>2100 +3,2 °C</w:t>
            </w:r>
          </w:p>
        </w:tc>
        <w:tc>
          <w:tcPr>
            <w:tcW w:type="dxa" w:w="2578"/>
          </w:tcPr>
          <w:p>
            <w:pPr>
              <w:spacing w:after="0"/>
            </w:pPr>
            <w:r>
              <w:rPr>
                <w:rFonts w:ascii="Arial" w:hAnsi="Arial"/>
                <w:b w:val="0"/>
                <w:sz w:val="16"/>
              </w:rPr>
              <w:t>4 h</w:t>
            </w:r>
          </w:p>
        </w:tc>
        <w:tc>
          <w:tcPr>
            <w:tcW w:type="dxa" w:w="2578"/>
          </w:tcPr>
          <w:p>
            <w:pPr>
              <w:spacing w:after="0"/>
            </w:pPr>
            <w:r>
              <w:rPr>
                <w:rFonts w:ascii="Arial" w:hAnsi="Arial"/>
                <w:b w:val="0"/>
                <w:sz w:val="16"/>
              </w:rPr>
              <w:t>2 h</w:t>
            </w:r>
          </w:p>
        </w:tc>
        <w:tc>
          <w:tcPr>
            <w:tcW w:type="dxa" w:w="2578"/>
          </w:tcPr>
          <w:p>
            <w:pPr>
              <w:spacing w:after="0"/>
            </w:pPr>
            <w:r>
              <w:rPr>
                <w:rFonts w:ascii="Arial" w:hAnsi="Arial"/>
                <w:b w:val="0"/>
                <w:sz w:val="16"/>
              </w:rPr>
              <w:t>0 h</w:t>
            </w:r>
          </w:p>
        </w:tc>
      </w:tr>
      <w:tr>
        <w:tc>
          <w:tcPr>
            <w:tcW w:type="dxa" w:w="2578"/>
          </w:tcPr>
          <w:p>
            <w:pPr>
              <w:spacing w:after="0"/>
            </w:pPr>
            <w:r>
              <w:rPr>
                <w:rFonts w:ascii="Arial" w:hAnsi="Arial"/>
                <w:b w:val="0"/>
                <w:sz w:val="16"/>
              </w:rPr>
              <w:t>Stress +4,0 °C</w:t>
            </w:r>
          </w:p>
        </w:tc>
        <w:tc>
          <w:tcPr>
            <w:tcW w:type="dxa" w:w="2578"/>
          </w:tcPr>
          <w:p>
            <w:pPr>
              <w:spacing w:after="0"/>
            </w:pPr>
            <w:r>
              <w:rPr>
                <w:rFonts w:ascii="Arial" w:hAnsi="Arial"/>
                <w:b w:val="0"/>
                <w:sz w:val="16"/>
              </w:rPr>
              <w:t>7 h</w:t>
            </w:r>
          </w:p>
        </w:tc>
        <w:tc>
          <w:tcPr>
            <w:tcW w:type="dxa" w:w="2578"/>
          </w:tcPr>
          <w:p>
            <w:pPr>
              <w:spacing w:after="0"/>
            </w:pPr>
            <w:r>
              <w:rPr>
                <w:rFonts w:ascii="Arial" w:hAnsi="Arial"/>
                <w:b w:val="0"/>
                <w:sz w:val="16"/>
              </w:rPr>
              <w:t>2 h</w:t>
            </w:r>
          </w:p>
        </w:tc>
        <w:tc>
          <w:tcPr>
            <w:tcW w:type="dxa" w:w="2578"/>
          </w:tcPr>
          <w:p>
            <w:pPr>
              <w:spacing w:after="0"/>
            </w:pPr>
            <w:r>
              <w:rPr>
                <w:rFonts w:ascii="Arial" w:hAnsi="Arial"/>
                <w:b w:val="0"/>
                <w:sz w:val="16"/>
              </w:rPr>
              <w:t>0 h</w:t>
            </w:r>
          </w:p>
        </w:tc>
      </w:tr>
    </w:tbl>
    <w:p>
      <w:pPr>
        <w:spacing w:after="100"/>
        <w:jc w:val="both"/>
      </w:pPr>
      <w:r>
        <w:rPr>
          <w:rFonts w:ascii="Aptos" w:hAnsi="Aptos"/>
        </w:rPr>
        <w:t>Les heures de saturation restent limitées dans la période simulée, mais elles sont très importantes en interprétation : elles apparaissent précisément pendant les moments où le système devrait garantir le confort nocturne. La capacité 3 MW élimine la saturation dans les scénarios testés avec le modèle de référence.</w:t>
      </w:r>
    </w:p>
    <w:p>
      <w:pPr>
        <w:pStyle w:val="Heading1"/>
        <w:spacing w:after="100"/>
      </w:pPr>
      <w:r>
        <w:rPr>
          <w:rFonts w:ascii="Aptos" w:hAnsi="Aptos"/>
        </w:rPr>
        <w:t>4.3.9 Contribution des zones et rôle des chambres</w:t>
      </w:r>
    </w:p>
    <w:p>
      <w:pPr>
        <w:spacing w:after="100"/>
        <w:jc w:val="center"/>
      </w:pPr>
      <w:r>
        <w:rPr>
          <w:rFonts w:ascii="Aptos" w:hAnsi="Aptos"/>
        </w:rPr>
        <w:drawing>
          <wp:inline xmlns:a="http://schemas.openxmlformats.org/drawingml/2006/main" xmlns:pic="http://schemas.openxmlformats.org/drawingml/2006/picture">
            <wp:extent cx="6217920" cy="2808093"/>
            <wp:docPr id="5" name="Picture 5"/>
            <wp:cNvGraphicFramePr>
              <a:graphicFrameLocks noChangeAspect="1"/>
            </wp:cNvGraphicFramePr>
            <a:graphic>
              <a:graphicData uri="http://schemas.openxmlformats.org/drawingml/2006/picture">
                <pic:pic>
                  <pic:nvPicPr>
                    <pic:cNvPr id="0" name="05_energie_zones_2050.png"/>
                    <pic:cNvPicPr/>
                  </pic:nvPicPr>
                  <pic:blipFill>
                    <a:blip r:embed="rId35"/>
                    <a:stretch>
                      <a:fillRect/>
                    </a:stretch>
                  </pic:blipFill>
                  <pic:spPr>
                    <a:xfrm>
                      <a:off x="0" y="0"/>
                      <a:ext cx="6217920" cy="2808093"/>
                    </a:xfrm>
                    <a:prstGeom prst="rect"/>
                  </pic:spPr>
                </pic:pic>
              </a:graphicData>
            </a:graphic>
          </wp:inline>
        </w:drawing>
      </w:r>
    </w:p>
    <w:p>
      <w:pPr>
        <w:spacing w:after="100"/>
        <w:jc w:val="center"/>
      </w:pPr>
      <w:r>
        <w:rPr>
          <w:rFonts w:ascii="Aptos" w:hAnsi="Aptos"/>
          <w:i/>
          <w:sz w:val="16"/>
        </w:rPr>
        <w:t>Figure 16 - Répartition de l’énergie froide par zone en projection 2050.</w:t>
      </w:r>
    </w:p>
    <w:tbl>
      <w:tblPr>
        <w:tblStyle w:val="TableGrid"/>
        <w:tblW w:type="auto" w:w="0"/>
        <w:jc w:val="center"/>
        <w:tblLayout w:type="autofit"/>
        <w:tblLook w:firstColumn="1" w:firstRow="1" w:lastColumn="0" w:lastRow="0" w:noHBand="0" w:noVBand="1" w:val="04A0"/>
      </w:tblPr>
      <w:tblGrid>
        <w:gridCol w:w="3437"/>
        <w:gridCol w:w="3437"/>
        <w:gridCol w:w="3437"/>
      </w:tblGrid>
      <w:tr>
        <w:tc>
          <w:tcPr>
            <w:tcW w:type="dxa" w:w="3437"/>
            <w:shd w:fill="D9EAF7"/>
          </w:tcPr>
          <w:p>
            <w:pPr>
              <w:spacing w:after="0"/>
            </w:pPr>
            <w:r>
              <w:rPr>
                <w:rFonts w:ascii="Arial" w:hAnsi="Arial"/>
                <w:b/>
                <w:sz w:val="16"/>
              </w:rPr>
              <w:t>Zone</w:t>
            </w:r>
          </w:p>
        </w:tc>
        <w:tc>
          <w:tcPr>
            <w:tcW w:type="dxa" w:w="3437"/>
            <w:shd w:fill="D9EAF7"/>
          </w:tcPr>
          <w:p>
            <w:pPr>
              <w:spacing w:after="0"/>
            </w:pPr>
            <w:r>
              <w:rPr>
                <w:rFonts w:ascii="Arial" w:hAnsi="Arial"/>
                <w:b/>
                <w:sz w:val="16"/>
              </w:rPr>
              <w:t>Énergie froide période</w:t>
            </w:r>
          </w:p>
        </w:tc>
        <w:tc>
          <w:tcPr>
            <w:tcW w:type="dxa" w:w="3437"/>
            <w:shd w:fill="D9EAF7"/>
          </w:tcPr>
          <w:p>
            <w:pPr>
              <w:spacing w:after="0"/>
            </w:pPr>
            <w:r>
              <w:rPr>
                <w:rFonts w:ascii="Arial" w:hAnsi="Arial"/>
                <w:b/>
                <w:sz w:val="16"/>
              </w:rPr>
              <w:t>Part du total</w:t>
            </w:r>
          </w:p>
        </w:tc>
      </w:tr>
      <w:tr>
        <w:tc>
          <w:tcPr>
            <w:tcW w:type="dxa" w:w="3437"/>
          </w:tcPr>
          <w:p>
            <w:pPr>
              <w:spacing w:after="0"/>
            </w:pPr>
            <w:r>
              <w:rPr>
                <w:rFonts w:ascii="Arial" w:hAnsi="Arial"/>
                <w:b w:val="0"/>
                <w:sz w:val="16"/>
              </w:rPr>
              <w:t>Séjour</w:t>
            </w:r>
          </w:p>
        </w:tc>
        <w:tc>
          <w:tcPr>
            <w:tcW w:type="dxa" w:w="3437"/>
          </w:tcPr>
          <w:p>
            <w:pPr>
              <w:spacing w:after="0"/>
            </w:pPr>
            <w:r>
              <w:rPr>
                <w:rFonts w:ascii="Arial" w:hAnsi="Arial"/>
                <w:b w:val="0"/>
                <w:sz w:val="16"/>
              </w:rPr>
              <w:t>22,2 MWh</w:t>
            </w:r>
          </w:p>
        </w:tc>
        <w:tc>
          <w:tcPr>
            <w:tcW w:type="dxa" w:w="3437"/>
          </w:tcPr>
          <w:p>
            <w:pPr>
              <w:spacing w:after="0"/>
            </w:pPr>
            <w:r>
              <w:rPr>
                <w:rFonts w:ascii="Arial" w:hAnsi="Arial"/>
                <w:b w:val="0"/>
                <w:sz w:val="16"/>
              </w:rPr>
              <w:t>30,0 %</w:t>
            </w:r>
          </w:p>
        </w:tc>
      </w:tr>
      <w:tr>
        <w:tc>
          <w:tcPr>
            <w:tcW w:type="dxa" w:w="3437"/>
          </w:tcPr>
          <w:p>
            <w:pPr>
              <w:spacing w:after="0"/>
            </w:pPr>
            <w:r>
              <w:rPr>
                <w:rFonts w:ascii="Arial" w:hAnsi="Arial"/>
                <w:b w:val="0"/>
                <w:sz w:val="16"/>
              </w:rPr>
              <w:t>Chambres</w:t>
            </w:r>
          </w:p>
        </w:tc>
        <w:tc>
          <w:tcPr>
            <w:tcW w:type="dxa" w:w="3437"/>
          </w:tcPr>
          <w:p>
            <w:pPr>
              <w:spacing w:after="0"/>
            </w:pPr>
            <w:r>
              <w:rPr>
                <w:rFonts w:ascii="Arial" w:hAnsi="Arial"/>
                <w:b w:val="0"/>
                <w:sz w:val="16"/>
              </w:rPr>
              <w:t>31,1 MWh</w:t>
            </w:r>
          </w:p>
        </w:tc>
        <w:tc>
          <w:tcPr>
            <w:tcW w:type="dxa" w:w="3437"/>
          </w:tcPr>
          <w:p>
            <w:pPr>
              <w:spacing w:after="0"/>
            </w:pPr>
            <w:r>
              <w:rPr>
                <w:rFonts w:ascii="Arial" w:hAnsi="Arial"/>
                <w:b w:val="0"/>
                <w:sz w:val="16"/>
              </w:rPr>
              <w:t>42,1 %</w:t>
            </w:r>
          </w:p>
        </w:tc>
      </w:tr>
      <w:tr>
        <w:tc>
          <w:tcPr>
            <w:tcW w:type="dxa" w:w="3437"/>
          </w:tcPr>
          <w:p>
            <w:pPr>
              <w:spacing w:after="0"/>
            </w:pPr>
            <w:r>
              <w:rPr>
                <w:rFonts w:ascii="Arial" w:hAnsi="Arial"/>
                <w:b w:val="0"/>
                <w:sz w:val="16"/>
              </w:rPr>
              <w:t>Pièces secondaires</w:t>
            </w:r>
          </w:p>
        </w:tc>
        <w:tc>
          <w:tcPr>
            <w:tcW w:type="dxa" w:w="3437"/>
          </w:tcPr>
          <w:p>
            <w:pPr>
              <w:spacing w:after="0"/>
            </w:pPr>
            <w:r>
              <w:rPr>
                <w:rFonts w:ascii="Arial" w:hAnsi="Arial"/>
                <w:b w:val="0"/>
                <w:sz w:val="16"/>
              </w:rPr>
              <w:t>20,6 MWh</w:t>
            </w:r>
          </w:p>
        </w:tc>
        <w:tc>
          <w:tcPr>
            <w:tcW w:type="dxa" w:w="3437"/>
          </w:tcPr>
          <w:p>
            <w:pPr>
              <w:spacing w:after="0"/>
            </w:pPr>
            <w:r>
              <w:rPr>
                <w:rFonts w:ascii="Arial" w:hAnsi="Arial"/>
                <w:b w:val="0"/>
                <w:sz w:val="16"/>
              </w:rPr>
              <w:t>27,9 %</w:t>
            </w:r>
          </w:p>
        </w:tc>
      </w:tr>
    </w:tbl>
    <w:p>
      <w:pPr>
        <w:spacing w:after="100"/>
        <w:jc w:val="both"/>
      </w:pPr>
      <w:r>
        <w:rPr>
          <w:rFonts w:ascii="Aptos" w:hAnsi="Aptos"/>
        </w:rPr>
        <w:t>Les chambres représentent environ 42,1 % de l’énergie froide dans la projection 2050 alors qu’elles ne représentent que 33 % de la surface dans l’hypothèse de répartition. Cela confirme que la consigne 24 °C en période nocturne est un facteur dimensionnant, non seulement une amélioration de confort.</w:t>
      </w:r>
    </w:p>
    <w:p>
      <w:pPr>
        <w:pStyle w:val="Heading1"/>
        <w:spacing w:after="100"/>
      </w:pPr>
      <w:r>
        <w:rPr>
          <w:rFonts w:ascii="Aptos" w:hAnsi="Aptos"/>
        </w:rPr>
        <w:t>4.3.10 Effet du vitrage sur le besoin</w:t>
      </w:r>
    </w:p>
    <w:p>
      <w:pPr>
        <w:spacing w:after="100"/>
        <w:jc w:val="center"/>
      </w:pPr>
      <w:r>
        <w:rPr>
          <w:rFonts w:ascii="Aptos" w:hAnsi="Aptos"/>
        </w:rPr>
        <w:drawing>
          <wp:inline xmlns:a="http://schemas.openxmlformats.org/drawingml/2006/main" xmlns:pic="http://schemas.openxmlformats.org/drawingml/2006/picture">
            <wp:extent cx="6217920" cy="2808093"/>
            <wp:docPr id="6" name="Picture 6"/>
            <wp:cNvGraphicFramePr>
              <a:graphicFrameLocks noChangeAspect="1"/>
            </wp:cNvGraphicFramePr>
            <a:graphic>
              <a:graphicData uri="http://schemas.openxmlformats.org/drawingml/2006/picture">
                <pic:pic>
                  <pic:nvPicPr>
                    <pic:cNvPr id="0" name="06_energie_vitrage_2050.png"/>
                    <pic:cNvPicPr/>
                  </pic:nvPicPr>
                  <pic:blipFill>
                    <a:blip r:embed="rId36"/>
                    <a:stretch>
                      <a:fillRect/>
                    </a:stretch>
                  </pic:blipFill>
                  <pic:spPr>
                    <a:xfrm>
                      <a:off x="0" y="0"/>
                      <a:ext cx="6217920" cy="2808093"/>
                    </a:xfrm>
                    <a:prstGeom prst="rect"/>
                  </pic:spPr>
                </pic:pic>
              </a:graphicData>
            </a:graphic>
          </wp:inline>
        </w:drawing>
      </w:r>
    </w:p>
    <w:p>
      <w:pPr>
        <w:spacing w:after="100"/>
        <w:jc w:val="center"/>
      </w:pPr>
      <w:r>
        <w:rPr>
          <w:rFonts w:ascii="Aptos" w:hAnsi="Aptos"/>
          <w:i/>
          <w:sz w:val="16"/>
        </w:rPr>
        <w:t>Figure 17 - Énergie froide associée aux logements simple vitrage et double vitrage en projection 2050.</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c>
          <w:tcPr>
            <w:tcW w:type="dxa" w:w="2578"/>
            <w:shd w:fill="D9EAF7"/>
          </w:tcPr>
          <w:p>
            <w:pPr>
              <w:spacing w:after="0"/>
            </w:pPr>
            <w:r>
              <w:rPr>
                <w:rFonts w:ascii="Arial" w:hAnsi="Arial"/>
                <w:b/>
                <w:sz w:val="16"/>
              </w:rPr>
              <w:t>Vitrage</w:t>
            </w:r>
          </w:p>
        </w:tc>
        <w:tc>
          <w:tcPr>
            <w:tcW w:type="dxa" w:w="2578"/>
            <w:shd w:fill="D9EAF7"/>
          </w:tcPr>
          <w:p>
            <w:pPr>
              <w:spacing w:after="0"/>
            </w:pPr>
            <w:r>
              <w:rPr>
                <w:rFonts w:ascii="Arial" w:hAnsi="Arial"/>
                <w:b/>
                <w:sz w:val="16"/>
              </w:rPr>
              <w:t>Hypothèse de parc</w:t>
            </w:r>
          </w:p>
        </w:tc>
        <w:tc>
          <w:tcPr>
            <w:tcW w:type="dxa" w:w="2578"/>
            <w:shd w:fill="D9EAF7"/>
          </w:tcPr>
          <w:p>
            <w:pPr>
              <w:spacing w:after="0"/>
            </w:pPr>
            <w:r>
              <w:rPr>
                <w:rFonts w:ascii="Arial" w:hAnsi="Arial"/>
                <w:b/>
                <w:sz w:val="16"/>
              </w:rPr>
              <w:t>Énergie froide période</w:t>
            </w:r>
          </w:p>
        </w:tc>
        <w:tc>
          <w:tcPr>
            <w:tcW w:type="dxa" w:w="2578"/>
            <w:shd w:fill="D9EAF7"/>
          </w:tcPr>
          <w:p>
            <w:pPr>
              <w:spacing w:after="0"/>
            </w:pPr>
            <w:r>
              <w:rPr>
                <w:rFonts w:ascii="Arial" w:hAnsi="Arial"/>
                <w:b/>
                <w:sz w:val="16"/>
              </w:rPr>
              <w:t>Part du total</w:t>
            </w:r>
          </w:p>
        </w:tc>
      </w:tr>
      <w:tr>
        <w:tc>
          <w:tcPr>
            <w:tcW w:type="dxa" w:w="2578"/>
          </w:tcPr>
          <w:p>
            <w:pPr>
              <w:spacing w:after="0"/>
            </w:pPr>
            <w:r>
              <w:rPr>
                <w:rFonts w:ascii="Arial" w:hAnsi="Arial"/>
                <w:b w:val="0"/>
                <w:sz w:val="16"/>
              </w:rPr>
              <w:t>Simple vitrage</w:t>
            </w:r>
          </w:p>
        </w:tc>
        <w:tc>
          <w:tcPr>
            <w:tcW w:type="dxa" w:w="2578"/>
          </w:tcPr>
          <w:p>
            <w:pPr>
              <w:spacing w:after="0"/>
            </w:pPr>
            <w:r>
              <w:rPr>
                <w:rFonts w:ascii="Arial" w:hAnsi="Arial"/>
                <w:b w:val="0"/>
                <w:sz w:val="16"/>
              </w:rPr>
              <w:t>60 %</w:t>
            </w:r>
          </w:p>
        </w:tc>
        <w:tc>
          <w:tcPr>
            <w:tcW w:type="dxa" w:w="2578"/>
          </w:tcPr>
          <w:p>
            <w:pPr>
              <w:spacing w:after="0"/>
            </w:pPr>
            <w:r>
              <w:rPr>
                <w:rFonts w:ascii="Arial" w:hAnsi="Arial"/>
                <w:b w:val="0"/>
                <w:sz w:val="16"/>
              </w:rPr>
              <w:t>60,0 MWh</w:t>
            </w:r>
          </w:p>
        </w:tc>
        <w:tc>
          <w:tcPr>
            <w:tcW w:type="dxa" w:w="2578"/>
          </w:tcPr>
          <w:p>
            <w:pPr>
              <w:spacing w:after="0"/>
            </w:pPr>
            <w:r>
              <w:rPr>
                <w:rFonts w:ascii="Arial" w:hAnsi="Arial"/>
                <w:b w:val="0"/>
                <w:sz w:val="16"/>
              </w:rPr>
              <w:t>81,3 %</w:t>
            </w:r>
          </w:p>
        </w:tc>
      </w:tr>
      <w:tr>
        <w:tc>
          <w:tcPr>
            <w:tcW w:type="dxa" w:w="2578"/>
          </w:tcPr>
          <w:p>
            <w:pPr>
              <w:spacing w:after="0"/>
            </w:pPr>
            <w:r>
              <w:rPr>
                <w:rFonts w:ascii="Arial" w:hAnsi="Arial"/>
                <w:b w:val="0"/>
                <w:sz w:val="16"/>
              </w:rPr>
              <w:t>Double vitrage</w:t>
            </w:r>
          </w:p>
        </w:tc>
        <w:tc>
          <w:tcPr>
            <w:tcW w:type="dxa" w:w="2578"/>
          </w:tcPr>
          <w:p>
            <w:pPr>
              <w:spacing w:after="0"/>
            </w:pPr>
            <w:r>
              <w:rPr>
                <w:rFonts w:ascii="Arial" w:hAnsi="Arial"/>
                <w:b w:val="0"/>
                <w:sz w:val="16"/>
              </w:rPr>
              <w:t>40 %</w:t>
            </w:r>
          </w:p>
        </w:tc>
        <w:tc>
          <w:tcPr>
            <w:tcW w:type="dxa" w:w="2578"/>
          </w:tcPr>
          <w:p>
            <w:pPr>
              <w:spacing w:after="0"/>
            </w:pPr>
            <w:r>
              <w:rPr>
                <w:rFonts w:ascii="Arial" w:hAnsi="Arial"/>
                <w:b w:val="0"/>
                <w:sz w:val="16"/>
              </w:rPr>
              <w:t>13,8 MWh</w:t>
            </w:r>
          </w:p>
        </w:tc>
        <w:tc>
          <w:tcPr>
            <w:tcW w:type="dxa" w:w="2578"/>
          </w:tcPr>
          <w:p>
            <w:pPr>
              <w:spacing w:after="0"/>
            </w:pPr>
            <w:r>
              <w:rPr>
                <w:rFonts w:ascii="Arial" w:hAnsi="Arial"/>
                <w:b w:val="0"/>
                <w:sz w:val="16"/>
              </w:rPr>
              <w:t>18,7 %</w:t>
            </w:r>
          </w:p>
        </w:tc>
      </w:tr>
    </w:tbl>
    <w:p>
      <w:pPr>
        <w:spacing w:after="100"/>
        <w:jc w:val="both"/>
      </w:pPr>
      <w:r>
        <w:rPr>
          <w:rFonts w:ascii="Aptos" w:hAnsi="Aptos"/>
        </w:rPr>
        <w:t>Le simple vitrage tire le besoin vers le haut pour deux raisons : il représente la majorité du parc dans l’hypothèse retenue et il augmente les échanges avec l’extérieur ainsi que la sensibilité aux apports solaires. Dans cette modélisation, il représente environ 81,3 % de l’énergie froide simulée.</w:t>
      </w:r>
    </w:p>
    <w:p>
      <w:pPr>
        <w:pStyle w:val="Heading1"/>
        <w:spacing w:after="100"/>
      </w:pPr>
      <w:r>
        <w:rPr>
          <w:rFonts w:ascii="Aptos" w:hAnsi="Aptos"/>
        </w:rPr>
        <w:t>4.3.11 Sensibilités de dimensionnement</w:t>
      </w:r>
    </w:p>
    <w:p>
      <w:pPr>
        <w:spacing w:after="100"/>
        <w:jc w:val="center"/>
      </w:pPr>
      <w:r>
        <w:rPr>
          <w:rFonts w:ascii="Aptos" w:hAnsi="Aptos"/>
        </w:rPr>
        <w:drawing>
          <wp:inline xmlns:a="http://schemas.openxmlformats.org/drawingml/2006/main" xmlns:pic="http://schemas.openxmlformats.org/drawingml/2006/picture">
            <wp:extent cx="6217920" cy="2949591"/>
            <wp:docPr id="7" name="Picture 7"/>
            <wp:cNvGraphicFramePr>
              <a:graphicFrameLocks noChangeAspect="1"/>
            </wp:cNvGraphicFramePr>
            <a:graphic>
              <a:graphicData uri="http://schemas.openxmlformats.org/drawingml/2006/picture">
                <pic:pic>
                  <pic:nvPicPr>
                    <pic:cNvPr id="0" name="07_sensibilite_pic_2050.png"/>
                    <pic:cNvPicPr/>
                  </pic:nvPicPr>
                  <pic:blipFill>
                    <a:blip r:embed="rId37"/>
                    <a:stretch>
                      <a:fillRect/>
                    </a:stretch>
                  </pic:blipFill>
                  <pic:spPr>
                    <a:xfrm>
                      <a:off x="0" y="0"/>
                      <a:ext cx="6217920" cy="2949591"/>
                    </a:xfrm>
                    <a:prstGeom prst="rect"/>
                  </pic:spPr>
                </pic:pic>
              </a:graphicData>
            </a:graphic>
          </wp:inline>
        </w:drawing>
      </w:r>
    </w:p>
    <w:p>
      <w:pPr>
        <w:spacing w:after="100"/>
        <w:jc w:val="center"/>
      </w:pPr>
      <w:r>
        <w:rPr>
          <w:rFonts w:ascii="Aptos" w:hAnsi="Aptos"/>
          <w:i/>
          <w:sz w:val="16"/>
        </w:rPr>
        <w:t>Figure 18 - Sensibilité du pic de puissance 2050 à la capacité thermique effective et au coefficient de prudence.</w:t>
      </w:r>
    </w:p>
    <w:p>
      <w:pPr>
        <w:spacing w:after="100"/>
        <w:jc w:val="both"/>
      </w:pPr>
      <w:r>
        <w:rPr>
          <w:rFonts w:ascii="Aptos" w:hAnsi="Aptos"/>
        </w:rPr>
        <w:t>La sensibilité montre que le pic de puissance peut franchir les seuils 2 MW et 2,5 MW lorsque l’on combine une capacité thermique élevée et un coefficient de prudence sur l’hétérogénéité réelle des logements. Cette lecture justifie de ne pas retenir uniquement le pic moyen du modèle, mais une enveloppe de dimensionnement plus robuste.</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c>
          <w:tcPr>
            <w:tcW w:type="dxa" w:w="2578"/>
            <w:shd w:fill="D9EAF7"/>
          </w:tcPr>
          <w:p>
            <w:pPr>
              <w:spacing w:after="0"/>
            </w:pPr>
            <w:r>
              <w:rPr>
                <w:rFonts w:ascii="Arial" w:hAnsi="Arial"/>
                <w:b/>
                <w:sz w:val="16"/>
              </w:rPr>
              <w:t>Capacité thermique effective</w:t>
            </w:r>
          </w:p>
        </w:tc>
        <w:tc>
          <w:tcPr>
            <w:tcW w:type="dxa" w:w="2578"/>
            <w:shd w:fill="D9EAF7"/>
          </w:tcPr>
          <w:p>
            <w:pPr>
              <w:spacing w:after="0"/>
            </w:pPr>
            <w:r>
              <w:rPr>
                <w:rFonts w:ascii="Arial" w:hAnsi="Arial"/>
                <w:b/>
                <w:sz w:val="16"/>
              </w:rPr>
              <w:t>Coefficient de prudence</w:t>
            </w:r>
          </w:p>
        </w:tc>
        <w:tc>
          <w:tcPr>
            <w:tcW w:type="dxa" w:w="2578"/>
            <w:shd w:fill="D9EAF7"/>
          </w:tcPr>
          <w:p>
            <w:pPr>
              <w:spacing w:after="0"/>
            </w:pPr>
            <w:r>
              <w:rPr>
                <w:rFonts w:ascii="Arial" w:hAnsi="Arial"/>
                <w:b/>
                <w:sz w:val="16"/>
              </w:rPr>
              <w:t>Pic 2050</w:t>
            </w:r>
          </w:p>
        </w:tc>
        <w:tc>
          <w:tcPr>
            <w:tcW w:type="dxa" w:w="2578"/>
            <w:shd w:fill="D9EAF7"/>
          </w:tcPr>
          <w:p>
            <w:pPr>
              <w:spacing w:after="0"/>
            </w:pPr>
            <w:r>
              <w:rPr>
                <w:rFonts w:ascii="Arial" w:hAnsi="Arial"/>
                <w:b/>
                <w:sz w:val="16"/>
              </w:rPr>
              <w:t>Énergie 2050</w:t>
            </w:r>
          </w:p>
        </w:tc>
      </w:tr>
      <w:tr>
        <w:tc>
          <w:tcPr>
            <w:tcW w:type="dxa" w:w="2578"/>
          </w:tcPr>
          <w:p>
            <w:pPr>
              <w:spacing w:after="0"/>
            </w:pPr>
            <w:r>
              <w:rPr>
                <w:rFonts w:ascii="Arial" w:hAnsi="Arial"/>
                <w:b w:val="0"/>
                <w:sz w:val="16"/>
              </w:rPr>
              <w:t>80 Wh/m².K</w:t>
            </w:r>
          </w:p>
        </w:tc>
        <w:tc>
          <w:tcPr>
            <w:tcW w:type="dxa" w:w="2578"/>
          </w:tcPr>
          <w:p>
            <w:pPr>
              <w:spacing w:after="0"/>
            </w:pPr>
            <w:r>
              <w:rPr>
                <w:rFonts w:ascii="Arial" w:hAnsi="Arial"/>
                <w:b w:val="0"/>
                <w:sz w:val="16"/>
              </w:rPr>
              <w:t>1,00</w:t>
            </w:r>
          </w:p>
        </w:tc>
        <w:tc>
          <w:tcPr>
            <w:tcW w:type="dxa" w:w="2578"/>
          </w:tcPr>
          <w:p>
            <w:pPr>
              <w:spacing w:after="0"/>
            </w:pPr>
            <w:r>
              <w:rPr>
                <w:rFonts w:ascii="Arial" w:hAnsi="Arial"/>
                <w:b w:val="0"/>
                <w:sz w:val="16"/>
              </w:rPr>
              <w:t>1,76 MW</w:t>
            </w:r>
          </w:p>
        </w:tc>
        <w:tc>
          <w:tcPr>
            <w:tcW w:type="dxa" w:w="2578"/>
          </w:tcPr>
          <w:p>
            <w:pPr>
              <w:spacing w:after="0"/>
            </w:pPr>
            <w:r>
              <w:rPr>
                <w:rFonts w:ascii="Arial" w:hAnsi="Arial"/>
                <w:b w:val="0"/>
                <w:sz w:val="16"/>
              </w:rPr>
              <w:t>49,2 MWh</w:t>
            </w:r>
          </w:p>
        </w:tc>
      </w:tr>
      <w:tr>
        <w:tc>
          <w:tcPr>
            <w:tcW w:type="dxa" w:w="2578"/>
          </w:tcPr>
          <w:p>
            <w:pPr>
              <w:spacing w:after="0"/>
            </w:pPr>
            <w:r>
              <w:rPr>
                <w:rFonts w:ascii="Arial" w:hAnsi="Arial"/>
                <w:b w:val="0"/>
                <w:sz w:val="16"/>
              </w:rPr>
              <w:t>80 Wh/m².K</w:t>
            </w:r>
          </w:p>
        </w:tc>
        <w:tc>
          <w:tcPr>
            <w:tcW w:type="dxa" w:w="2578"/>
          </w:tcPr>
          <w:p>
            <w:pPr>
              <w:spacing w:after="0"/>
            </w:pPr>
            <w:r>
              <w:rPr>
                <w:rFonts w:ascii="Arial" w:hAnsi="Arial"/>
                <w:b w:val="0"/>
                <w:sz w:val="16"/>
              </w:rPr>
              <w:t>1,50</w:t>
            </w:r>
          </w:p>
        </w:tc>
        <w:tc>
          <w:tcPr>
            <w:tcW w:type="dxa" w:w="2578"/>
          </w:tcPr>
          <w:p>
            <w:pPr>
              <w:spacing w:after="0"/>
            </w:pPr>
            <w:r>
              <w:rPr>
                <w:rFonts w:ascii="Arial" w:hAnsi="Arial"/>
                <w:b w:val="0"/>
                <w:sz w:val="16"/>
              </w:rPr>
              <w:t>2,65 MW</w:t>
            </w:r>
          </w:p>
        </w:tc>
        <w:tc>
          <w:tcPr>
            <w:tcW w:type="dxa" w:w="2578"/>
          </w:tcPr>
          <w:p>
            <w:pPr>
              <w:spacing w:after="0"/>
            </w:pPr>
            <w:r>
              <w:rPr>
                <w:rFonts w:ascii="Arial" w:hAnsi="Arial"/>
                <w:b w:val="0"/>
                <w:sz w:val="16"/>
              </w:rPr>
              <w:t>73,8 MWh</w:t>
            </w:r>
          </w:p>
        </w:tc>
      </w:tr>
      <w:tr>
        <w:tc>
          <w:tcPr>
            <w:tcW w:type="dxa" w:w="2578"/>
          </w:tcPr>
          <w:p>
            <w:pPr>
              <w:spacing w:after="0"/>
            </w:pPr>
            <w:r>
              <w:rPr>
                <w:rFonts w:ascii="Arial" w:hAnsi="Arial"/>
                <w:b w:val="0"/>
                <w:sz w:val="16"/>
              </w:rPr>
              <w:t>80 Wh/m².K</w:t>
            </w:r>
          </w:p>
        </w:tc>
        <w:tc>
          <w:tcPr>
            <w:tcW w:type="dxa" w:w="2578"/>
          </w:tcPr>
          <w:p>
            <w:pPr>
              <w:spacing w:after="0"/>
            </w:pPr>
            <w:r>
              <w:rPr>
                <w:rFonts w:ascii="Arial" w:hAnsi="Arial"/>
                <w:b w:val="0"/>
                <w:sz w:val="16"/>
              </w:rPr>
              <w:t>2,00</w:t>
            </w:r>
          </w:p>
        </w:tc>
        <w:tc>
          <w:tcPr>
            <w:tcW w:type="dxa" w:w="2578"/>
          </w:tcPr>
          <w:p>
            <w:pPr>
              <w:spacing w:after="0"/>
            </w:pPr>
            <w:r>
              <w:rPr>
                <w:rFonts w:ascii="Arial" w:hAnsi="Arial"/>
                <w:b w:val="0"/>
                <w:sz w:val="16"/>
              </w:rPr>
              <w:t>3,53 MW</w:t>
            </w:r>
          </w:p>
        </w:tc>
        <w:tc>
          <w:tcPr>
            <w:tcW w:type="dxa" w:w="2578"/>
          </w:tcPr>
          <w:p>
            <w:pPr>
              <w:spacing w:after="0"/>
            </w:pPr>
            <w:r>
              <w:rPr>
                <w:rFonts w:ascii="Arial" w:hAnsi="Arial"/>
                <w:b w:val="0"/>
                <w:sz w:val="16"/>
              </w:rPr>
              <w:t>98,4 MWh</w:t>
            </w:r>
          </w:p>
        </w:tc>
      </w:tr>
      <w:tr>
        <w:tc>
          <w:tcPr>
            <w:tcW w:type="dxa" w:w="2578"/>
          </w:tcPr>
          <w:p>
            <w:pPr>
              <w:spacing w:after="0"/>
            </w:pPr>
            <w:r>
              <w:rPr>
                <w:rFonts w:ascii="Arial" w:hAnsi="Arial"/>
                <w:b w:val="0"/>
                <w:sz w:val="16"/>
              </w:rPr>
              <w:t>120 Wh/m².K</w:t>
            </w:r>
          </w:p>
        </w:tc>
        <w:tc>
          <w:tcPr>
            <w:tcW w:type="dxa" w:w="2578"/>
          </w:tcPr>
          <w:p>
            <w:pPr>
              <w:spacing w:after="0"/>
            </w:pPr>
            <w:r>
              <w:rPr>
                <w:rFonts w:ascii="Arial" w:hAnsi="Arial"/>
                <w:b w:val="0"/>
                <w:sz w:val="16"/>
              </w:rPr>
              <w:t>1,00</w:t>
            </w:r>
          </w:p>
        </w:tc>
        <w:tc>
          <w:tcPr>
            <w:tcW w:type="dxa" w:w="2578"/>
          </w:tcPr>
          <w:p>
            <w:pPr>
              <w:spacing w:after="0"/>
            </w:pPr>
            <w:r>
              <w:rPr>
                <w:rFonts w:ascii="Arial" w:hAnsi="Arial"/>
                <w:b w:val="0"/>
                <w:sz w:val="16"/>
              </w:rPr>
              <w:t>2,65 MW</w:t>
            </w:r>
          </w:p>
        </w:tc>
        <w:tc>
          <w:tcPr>
            <w:tcW w:type="dxa" w:w="2578"/>
          </w:tcPr>
          <w:p>
            <w:pPr>
              <w:spacing w:after="0"/>
            </w:pPr>
            <w:r>
              <w:rPr>
                <w:rFonts w:ascii="Arial" w:hAnsi="Arial"/>
                <w:b w:val="0"/>
                <w:sz w:val="16"/>
              </w:rPr>
              <w:t>73,8 MWh</w:t>
            </w:r>
          </w:p>
        </w:tc>
      </w:tr>
      <w:tr>
        <w:tc>
          <w:tcPr>
            <w:tcW w:type="dxa" w:w="2578"/>
          </w:tcPr>
          <w:p>
            <w:pPr>
              <w:spacing w:after="0"/>
            </w:pPr>
            <w:r>
              <w:rPr>
                <w:rFonts w:ascii="Arial" w:hAnsi="Arial"/>
                <w:b w:val="0"/>
                <w:sz w:val="16"/>
              </w:rPr>
              <w:t>120 Wh/m².K</w:t>
            </w:r>
          </w:p>
        </w:tc>
        <w:tc>
          <w:tcPr>
            <w:tcW w:type="dxa" w:w="2578"/>
          </w:tcPr>
          <w:p>
            <w:pPr>
              <w:spacing w:after="0"/>
            </w:pPr>
            <w:r>
              <w:rPr>
                <w:rFonts w:ascii="Arial" w:hAnsi="Arial"/>
                <w:b w:val="0"/>
                <w:sz w:val="16"/>
              </w:rPr>
              <w:t>1,50</w:t>
            </w:r>
          </w:p>
        </w:tc>
        <w:tc>
          <w:tcPr>
            <w:tcW w:type="dxa" w:w="2578"/>
          </w:tcPr>
          <w:p>
            <w:pPr>
              <w:spacing w:after="0"/>
            </w:pPr>
            <w:r>
              <w:rPr>
                <w:rFonts w:ascii="Arial" w:hAnsi="Arial"/>
                <w:b w:val="0"/>
                <w:sz w:val="16"/>
              </w:rPr>
              <w:t>3,97 MW</w:t>
            </w:r>
          </w:p>
        </w:tc>
        <w:tc>
          <w:tcPr>
            <w:tcW w:type="dxa" w:w="2578"/>
          </w:tcPr>
          <w:p>
            <w:pPr>
              <w:spacing w:after="0"/>
            </w:pPr>
            <w:r>
              <w:rPr>
                <w:rFonts w:ascii="Arial" w:hAnsi="Arial"/>
                <w:b w:val="0"/>
                <w:sz w:val="16"/>
              </w:rPr>
              <w:t>110,7 MWh</w:t>
            </w:r>
          </w:p>
        </w:tc>
      </w:tr>
      <w:tr>
        <w:tc>
          <w:tcPr>
            <w:tcW w:type="dxa" w:w="2578"/>
          </w:tcPr>
          <w:p>
            <w:pPr>
              <w:spacing w:after="0"/>
            </w:pPr>
            <w:r>
              <w:rPr>
                <w:rFonts w:ascii="Arial" w:hAnsi="Arial"/>
                <w:b w:val="0"/>
                <w:sz w:val="16"/>
              </w:rPr>
              <w:t>120 Wh/m².K</w:t>
            </w:r>
          </w:p>
        </w:tc>
        <w:tc>
          <w:tcPr>
            <w:tcW w:type="dxa" w:w="2578"/>
          </w:tcPr>
          <w:p>
            <w:pPr>
              <w:spacing w:after="0"/>
            </w:pPr>
            <w:r>
              <w:rPr>
                <w:rFonts w:ascii="Arial" w:hAnsi="Arial"/>
                <w:b w:val="0"/>
                <w:sz w:val="16"/>
              </w:rPr>
              <w:t>2,00</w:t>
            </w:r>
          </w:p>
        </w:tc>
        <w:tc>
          <w:tcPr>
            <w:tcW w:type="dxa" w:w="2578"/>
          </w:tcPr>
          <w:p>
            <w:pPr>
              <w:spacing w:after="0"/>
            </w:pPr>
            <w:r>
              <w:rPr>
                <w:rFonts w:ascii="Arial" w:hAnsi="Arial"/>
                <w:b w:val="0"/>
                <w:sz w:val="16"/>
              </w:rPr>
              <w:t>5,29 MW</w:t>
            </w:r>
          </w:p>
        </w:tc>
        <w:tc>
          <w:tcPr>
            <w:tcW w:type="dxa" w:w="2578"/>
          </w:tcPr>
          <w:p>
            <w:pPr>
              <w:spacing w:after="0"/>
            </w:pPr>
            <w:r>
              <w:rPr>
                <w:rFonts w:ascii="Arial" w:hAnsi="Arial"/>
                <w:b w:val="0"/>
                <w:sz w:val="16"/>
              </w:rPr>
              <w:t>147,6 MWh</w:t>
            </w:r>
          </w:p>
        </w:tc>
      </w:tr>
      <w:tr>
        <w:tc>
          <w:tcPr>
            <w:tcW w:type="dxa" w:w="2578"/>
          </w:tcPr>
          <w:p>
            <w:pPr>
              <w:spacing w:after="0"/>
            </w:pPr>
            <w:r>
              <w:rPr>
                <w:rFonts w:ascii="Arial" w:hAnsi="Arial"/>
                <w:b w:val="0"/>
                <w:sz w:val="16"/>
              </w:rPr>
              <w:t>165 Wh/m².K</w:t>
            </w:r>
          </w:p>
        </w:tc>
        <w:tc>
          <w:tcPr>
            <w:tcW w:type="dxa" w:w="2578"/>
          </w:tcPr>
          <w:p>
            <w:pPr>
              <w:spacing w:after="0"/>
            </w:pPr>
            <w:r>
              <w:rPr>
                <w:rFonts w:ascii="Arial" w:hAnsi="Arial"/>
                <w:b w:val="0"/>
                <w:sz w:val="16"/>
              </w:rPr>
              <w:t>1,00</w:t>
            </w:r>
          </w:p>
        </w:tc>
        <w:tc>
          <w:tcPr>
            <w:tcW w:type="dxa" w:w="2578"/>
          </w:tcPr>
          <w:p>
            <w:pPr>
              <w:spacing w:after="0"/>
            </w:pPr>
            <w:r>
              <w:rPr>
                <w:rFonts w:ascii="Arial" w:hAnsi="Arial"/>
                <w:b w:val="0"/>
                <w:sz w:val="16"/>
              </w:rPr>
              <w:t>3,64 MW</w:t>
            </w:r>
          </w:p>
        </w:tc>
        <w:tc>
          <w:tcPr>
            <w:tcW w:type="dxa" w:w="2578"/>
          </w:tcPr>
          <w:p>
            <w:pPr>
              <w:spacing w:after="0"/>
            </w:pPr>
            <w:r>
              <w:rPr>
                <w:rFonts w:ascii="Arial" w:hAnsi="Arial"/>
                <w:b w:val="0"/>
                <w:sz w:val="16"/>
              </w:rPr>
              <w:t>101,5 MWh</w:t>
            </w:r>
          </w:p>
        </w:tc>
      </w:tr>
      <w:tr>
        <w:tc>
          <w:tcPr>
            <w:tcW w:type="dxa" w:w="2578"/>
          </w:tcPr>
          <w:p>
            <w:pPr>
              <w:spacing w:after="0"/>
            </w:pPr>
            <w:r>
              <w:rPr>
                <w:rFonts w:ascii="Arial" w:hAnsi="Arial"/>
                <w:b w:val="0"/>
                <w:sz w:val="16"/>
              </w:rPr>
              <w:t>165 Wh/m².K</w:t>
            </w:r>
          </w:p>
        </w:tc>
        <w:tc>
          <w:tcPr>
            <w:tcW w:type="dxa" w:w="2578"/>
          </w:tcPr>
          <w:p>
            <w:pPr>
              <w:spacing w:after="0"/>
            </w:pPr>
            <w:r>
              <w:rPr>
                <w:rFonts w:ascii="Arial" w:hAnsi="Arial"/>
                <w:b w:val="0"/>
                <w:sz w:val="16"/>
              </w:rPr>
              <w:t>1,50</w:t>
            </w:r>
          </w:p>
        </w:tc>
        <w:tc>
          <w:tcPr>
            <w:tcW w:type="dxa" w:w="2578"/>
          </w:tcPr>
          <w:p>
            <w:pPr>
              <w:spacing w:after="0"/>
            </w:pPr>
            <w:r>
              <w:rPr>
                <w:rFonts w:ascii="Arial" w:hAnsi="Arial"/>
                <w:b w:val="0"/>
                <w:sz w:val="16"/>
              </w:rPr>
              <w:t>5,46 MW</w:t>
            </w:r>
          </w:p>
        </w:tc>
        <w:tc>
          <w:tcPr>
            <w:tcW w:type="dxa" w:w="2578"/>
          </w:tcPr>
          <w:p>
            <w:pPr>
              <w:spacing w:after="0"/>
            </w:pPr>
            <w:r>
              <w:rPr>
                <w:rFonts w:ascii="Arial" w:hAnsi="Arial"/>
                <w:b w:val="0"/>
                <w:sz w:val="16"/>
              </w:rPr>
              <w:t>152,2 MWh</w:t>
            </w:r>
          </w:p>
        </w:tc>
      </w:tr>
      <w:tr>
        <w:tc>
          <w:tcPr>
            <w:tcW w:type="dxa" w:w="2578"/>
          </w:tcPr>
          <w:p>
            <w:pPr>
              <w:spacing w:after="0"/>
            </w:pPr>
            <w:r>
              <w:rPr>
                <w:rFonts w:ascii="Arial" w:hAnsi="Arial"/>
                <w:b w:val="0"/>
                <w:sz w:val="16"/>
              </w:rPr>
              <w:t>165 Wh/m².K</w:t>
            </w:r>
          </w:p>
        </w:tc>
        <w:tc>
          <w:tcPr>
            <w:tcW w:type="dxa" w:w="2578"/>
          </w:tcPr>
          <w:p>
            <w:pPr>
              <w:spacing w:after="0"/>
            </w:pPr>
            <w:r>
              <w:rPr>
                <w:rFonts w:ascii="Arial" w:hAnsi="Arial"/>
                <w:b w:val="0"/>
                <w:sz w:val="16"/>
              </w:rPr>
              <w:t>2,00</w:t>
            </w:r>
          </w:p>
        </w:tc>
        <w:tc>
          <w:tcPr>
            <w:tcW w:type="dxa" w:w="2578"/>
          </w:tcPr>
          <w:p>
            <w:pPr>
              <w:spacing w:after="0"/>
            </w:pPr>
            <w:r>
              <w:rPr>
                <w:rFonts w:ascii="Arial" w:hAnsi="Arial"/>
                <w:b w:val="0"/>
                <w:sz w:val="16"/>
              </w:rPr>
              <w:t>7,27 MW</w:t>
            </w:r>
          </w:p>
        </w:tc>
        <w:tc>
          <w:tcPr>
            <w:tcW w:type="dxa" w:w="2578"/>
          </w:tcPr>
          <w:p>
            <w:pPr>
              <w:spacing w:after="0"/>
            </w:pPr>
            <w:r>
              <w:rPr>
                <w:rFonts w:ascii="Arial" w:hAnsi="Arial"/>
                <w:b w:val="0"/>
                <w:sz w:val="16"/>
              </w:rPr>
              <w:t>202,9 MWh</w:t>
            </w:r>
          </w:p>
        </w:tc>
      </w:tr>
    </w:tbl>
    <w:p>
      <w:pPr>
        <w:pStyle w:val="Heading1"/>
        <w:spacing w:after="100"/>
      </w:pPr>
      <w:r>
        <w:rPr>
          <w:rFonts w:ascii="Aptos" w:hAnsi="Aptos"/>
        </w:rPr>
        <w:t>4.3.12 Effet du pilotage sur les pointes</w:t>
      </w:r>
    </w:p>
    <w:p>
      <w:pPr>
        <w:spacing w:after="100"/>
        <w:jc w:val="center"/>
      </w:pPr>
      <w:r>
        <w:rPr>
          <w:rFonts w:ascii="Aptos" w:hAnsi="Aptos"/>
        </w:rPr>
        <w:drawing>
          <wp:inline xmlns:a="http://schemas.openxmlformats.org/drawingml/2006/main" xmlns:pic="http://schemas.openxmlformats.org/drawingml/2006/picture">
            <wp:extent cx="6217920" cy="2808093"/>
            <wp:docPr id="8" name="Picture 8"/>
            <wp:cNvGraphicFramePr>
              <a:graphicFrameLocks noChangeAspect="1"/>
            </wp:cNvGraphicFramePr>
            <a:graphic>
              <a:graphicData uri="http://schemas.openxmlformats.org/drawingml/2006/picture">
                <pic:pic>
                  <pic:nvPicPr>
                    <pic:cNvPr id="0" name="08_pilotage_pic.png"/>
                    <pic:cNvPicPr/>
                  </pic:nvPicPr>
                  <pic:blipFill>
                    <a:blip r:embed="rId38"/>
                    <a:stretch>
                      <a:fillRect/>
                    </a:stretch>
                  </pic:blipFill>
                  <pic:spPr>
                    <a:xfrm>
                      <a:off x="0" y="0"/>
                      <a:ext cx="6217920" cy="2808093"/>
                    </a:xfrm>
                    <a:prstGeom prst="rect"/>
                  </pic:spPr>
                </pic:pic>
              </a:graphicData>
            </a:graphic>
          </wp:inline>
        </w:drawing>
      </w:r>
    </w:p>
    <w:p>
      <w:pPr>
        <w:spacing w:after="100"/>
        <w:jc w:val="center"/>
      </w:pPr>
      <w:r>
        <w:rPr>
          <w:rFonts w:ascii="Aptos" w:hAnsi="Aptos"/>
          <w:i/>
          <w:sz w:val="16"/>
        </w:rPr>
        <w:t>Figure 19 - Comparaison des pics de puissance entre pilotage réactif et pilotage anticipatif.</w:t>
      </w:r>
    </w:p>
    <w:p>
      <w:pPr>
        <w:spacing w:after="100"/>
        <w:jc w:val="both"/>
      </w:pPr>
      <w:r>
        <w:rPr>
          <w:rFonts w:ascii="Aptos" w:hAnsi="Aptos"/>
        </w:rPr>
        <w:t>Le pilotage anticipatif réduit très fortement les pointes parce qu’il évite de devoir abaisser brutalement la température des chambres au début de la nuit. Ce résultat ne doit pas conduire à réduire excessivement la capacité installée : il signifie plutôt que le pilotage sera un levier majeur pour exploiter correctement la capacité disponible.</w:t>
      </w:r>
    </w:p>
    <w:p>
      <w:pPr>
        <w:spacing w:after="100"/>
        <w:jc w:val="center"/>
      </w:pPr>
      <w:r>
        <w:rPr>
          <w:rFonts w:ascii="Aptos" w:hAnsi="Aptos"/>
        </w:rPr>
        <w:drawing>
          <wp:inline xmlns:a="http://schemas.openxmlformats.org/drawingml/2006/main" xmlns:pic="http://schemas.openxmlformats.org/drawingml/2006/picture">
            <wp:extent cx="6217920" cy="2966487"/>
            <wp:docPr id="9" name="Picture 9"/>
            <wp:cNvGraphicFramePr>
              <a:graphicFrameLocks noChangeAspect="1"/>
            </wp:cNvGraphicFramePr>
            <a:graphic>
              <a:graphicData uri="http://schemas.openxmlformats.org/drawingml/2006/picture">
                <pic:pic>
                  <pic:nvPicPr>
                    <pic:cNvPr id="0" name="09_energie_cumulee_2050.png"/>
                    <pic:cNvPicPr/>
                  </pic:nvPicPr>
                  <pic:blipFill>
                    <a:blip r:embed="rId39"/>
                    <a:stretch>
                      <a:fillRect/>
                    </a:stretch>
                  </pic:blipFill>
                  <pic:spPr>
                    <a:xfrm>
                      <a:off x="0" y="0"/>
                      <a:ext cx="6217920" cy="2966487"/>
                    </a:xfrm>
                    <a:prstGeom prst="rect"/>
                  </pic:spPr>
                </pic:pic>
              </a:graphicData>
            </a:graphic>
          </wp:inline>
        </w:drawing>
      </w:r>
    </w:p>
    <w:p>
      <w:pPr>
        <w:spacing w:after="100"/>
        <w:jc w:val="center"/>
      </w:pPr>
      <w:r>
        <w:rPr>
          <w:rFonts w:ascii="Aptos" w:hAnsi="Aptos"/>
          <w:i/>
          <w:sz w:val="16"/>
        </w:rPr>
        <w:t>Figure 20 - Énergie froide cumulée en projection 2050 selon le mode de pilotage.</w:t>
      </w:r>
    </w:p>
    <w:p>
      <w:pPr>
        <w:spacing w:after="100"/>
        <w:jc w:val="both"/>
      </w:pPr>
      <w:r>
        <w:rPr>
          <w:rFonts w:ascii="Aptos" w:hAnsi="Aptos"/>
        </w:rPr>
        <w:t>L’énergie cumulée reste proche entre les deux stratégies : on ne supprime pas le besoin de froid, on le répartit différemment dans le temps. Le pré-refroidissement est donc surtout une stratégie d’écrêtement des pointes et de protection du confort nocturne.</w:t>
      </w:r>
    </w:p>
    <w:p>
      <w:pPr>
        <w:pStyle w:val="Heading1"/>
        <w:spacing w:after="100"/>
      </w:pPr>
      <w:r>
        <w:rPr>
          <w:rFonts w:ascii="Aptos" w:hAnsi="Aptos"/>
        </w:rPr>
        <w:t>4.3.13 Synthèse de dimensionnement</w:t>
      </w:r>
    </w:p>
    <w:tbl>
      <w:tblPr>
        <w:tblStyle w:val="TableGrid"/>
        <w:tblW w:type="auto" w:w="0"/>
        <w:jc w:val="center"/>
        <w:tblLayout w:type="autofit"/>
        <w:tblLook w:firstColumn="1" w:firstRow="1" w:lastColumn="0" w:lastRow="0" w:noHBand="0" w:noVBand="1" w:val="04A0"/>
      </w:tblPr>
      <w:tblGrid>
        <w:gridCol w:w="2578"/>
        <w:gridCol w:w="2578"/>
        <w:gridCol w:w="2578"/>
        <w:gridCol w:w="2578"/>
      </w:tblGrid>
      <w:tr>
        <w:tc>
          <w:tcPr>
            <w:tcW w:type="dxa" w:w="2578"/>
            <w:shd w:fill="D9EAF7"/>
          </w:tcPr>
          <w:p>
            <w:pPr>
              <w:spacing w:after="0"/>
            </w:pPr>
            <w:r>
              <w:rPr>
                <w:rFonts w:ascii="Arial" w:hAnsi="Arial"/>
                <w:b/>
                <w:sz w:val="16"/>
              </w:rPr>
              <w:t>Capacité</w:t>
            </w:r>
          </w:p>
        </w:tc>
        <w:tc>
          <w:tcPr>
            <w:tcW w:type="dxa" w:w="2578"/>
            <w:shd w:fill="D9EAF7"/>
          </w:tcPr>
          <w:p>
            <w:pPr>
              <w:spacing w:after="0"/>
            </w:pPr>
            <w:r>
              <w:rPr>
                <w:rFonts w:ascii="Arial" w:hAnsi="Arial"/>
                <w:b/>
                <w:sz w:val="16"/>
              </w:rPr>
              <w:t>Lecture</w:t>
            </w:r>
          </w:p>
        </w:tc>
        <w:tc>
          <w:tcPr>
            <w:tcW w:type="dxa" w:w="2578"/>
            <w:shd w:fill="D9EAF7"/>
          </w:tcPr>
          <w:p>
            <w:pPr>
              <w:spacing w:after="0"/>
            </w:pPr>
            <w:r>
              <w:rPr>
                <w:rFonts w:ascii="Arial" w:hAnsi="Arial"/>
                <w:b/>
                <w:sz w:val="16"/>
              </w:rPr>
              <w:t>Résultat dynamique</w:t>
            </w:r>
          </w:p>
        </w:tc>
        <w:tc>
          <w:tcPr>
            <w:tcW w:type="dxa" w:w="2578"/>
            <w:shd w:fill="D9EAF7"/>
          </w:tcPr>
          <w:p>
            <w:pPr>
              <w:spacing w:after="0"/>
            </w:pPr>
            <w:r>
              <w:rPr>
                <w:rFonts w:ascii="Arial" w:hAnsi="Arial"/>
                <w:b/>
                <w:sz w:val="16"/>
              </w:rPr>
              <w:t>Conclusion</w:t>
            </w:r>
          </w:p>
        </w:tc>
      </w:tr>
      <w:tr>
        <w:tc>
          <w:tcPr>
            <w:tcW w:type="dxa" w:w="2578"/>
          </w:tcPr>
          <w:p>
            <w:pPr>
              <w:spacing w:after="0"/>
            </w:pPr>
            <w:r>
              <w:rPr>
                <w:rFonts w:ascii="Arial" w:hAnsi="Arial"/>
                <w:b w:val="0"/>
                <w:sz w:val="16"/>
              </w:rPr>
              <w:t>2 MW</w:t>
            </w:r>
          </w:p>
        </w:tc>
        <w:tc>
          <w:tcPr>
            <w:tcW w:type="dxa" w:w="2578"/>
          </w:tcPr>
          <w:p>
            <w:pPr>
              <w:spacing w:after="0"/>
            </w:pPr>
            <w:r>
              <w:rPr>
                <w:rFonts w:ascii="Arial" w:hAnsi="Arial"/>
                <w:b w:val="0"/>
                <w:sz w:val="16"/>
              </w:rPr>
              <w:t>Capacité minimale</w:t>
            </w:r>
          </w:p>
        </w:tc>
        <w:tc>
          <w:tcPr>
            <w:tcW w:type="dxa" w:w="2578"/>
          </w:tcPr>
          <w:p>
            <w:pPr>
              <w:spacing w:after="0"/>
            </w:pPr>
            <w:r>
              <w:rPr>
                <w:rFonts w:ascii="Arial" w:hAnsi="Arial"/>
                <w:b w:val="0"/>
                <w:sz w:val="16"/>
              </w:rPr>
              <w:t>Saturation en 2050 avec pilotage réactif ; marge insuffisante pour stress climatique et hétérogénéité.</w:t>
            </w:r>
          </w:p>
        </w:tc>
        <w:tc>
          <w:tcPr>
            <w:tcW w:type="dxa" w:w="2578"/>
          </w:tcPr>
          <w:p>
            <w:pPr>
              <w:spacing w:after="0"/>
            </w:pPr>
            <w:r>
              <w:rPr>
                <w:rFonts w:ascii="Arial" w:hAnsi="Arial"/>
                <w:b w:val="0"/>
                <w:sz w:val="16"/>
              </w:rPr>
              <w:t>Non recommandé comme enveloppe robuste</w:t>
            </w:r>
          </w:p>
        </w:tc>
      </w:tr>
      <w:tr>
        <w:tc>
          <w:tcPr>
            <w:tcW w:type="dxa" w:w="2578"/>
          </w:tcPr>
          <w:p>
            <w:pPr>
              <w:spacing w:after="0"/>
            </w:pPr>
            <w:r>
              <w:rPr>
                <w:rFonts w:ascii="Arial" w:hAnsi="Arial"/>
                <w:b w:val="0"/>
                <w:sz w:val="16"/>
              </w:rPr>
              <w:t>2,5 MW</w:t>
            </w:r>
          </w:p>
        </w:tc>
        <w:tc>
          <w:tcPr>
            <w:tcW w:type="dxa" w:w="2578"/>
          </w:tcPr>
          <w:p>
            <w:pPr>
              <w:spacing w:after="0"/>
            </w:pPr>
            <w:r>
              <w:rPr>
                <w:rFonts w:ascii="Arial" w:hAnsi="Arial"/>
                <w:b w:val="0"/>
                <w:sz w:val="16"/>
              </w:rPr>
              <w:t>Capacité intermédiaire</w:t>
            </w:r>
          </w:p>
        </w:tc>
        <w:tc>
          <w:tcPr>
            <w:tcW w:type="dxa" w:w="2578"/>
          </w:tcPr>
          <w:p>
            <w:pPr>
              <w:spacing w:after="0"/>
            </w:pPr>
            <w:r>
              <w:rPr>
                <w:rFonts w:ascii="Arial" w:hAnsi="Arial"/>
                <w:b w:val="0"/>
                <w:sz w:val="16"/>
              </w:rPr>
              <w:t>Couvre presque le scénario 2050 de référence mais reste très proche du pic réactif.</w:t>
            </w:r>
          </w:p>
        </w:tc>
        <w:tc>
          <w:tcPr>
            <w:tcW w:type="dxa" w:w="2578"/>
          </w:tcPr>
          <w:p>
            <w:pPr>
              <w:spacing w:after="0"/>
            </w:pPr>
            <w:r>
              <w:rPr>
                <w:rFonts w:ascii="Arial" w:hAnsi="Arial"/>
                <w:b w:val="0"/>
                <w:sz w:val="16"/>
              </w:rPr>
              <w:t>Possible si pilotage anticipatif fort et marges locales maîtrisées</w:t>
            </w:r>
          </w:p>
        </w:tc>
      </w:tr>
      <w:tr>
        <w:tc>
          <w:tcPr>
            <w:tcW w:type="dxa" w:w="2578"/>
          </w:tcPr>
          <w:p>
            <w:pPr>
              <w:spacing w:after="0"/>
            </w:pPr>
            <w:r>
              <w:rPr>
                <w:rFonts w:ascii="Arial" w:hAnsi="Arial"/>
                <w:b w:val="0"/>
                <w:sz w:val="16"/>
              </w:rPr>
              <w:t>3 MW</w:t>
            </w:r>
          </w:p>
        </w:tc>
        <w:tc>
          <w:tcPr>
            <w:tcW w:type="dxa" w:w="2578"/>
          </w:tcPr>
          <w:p>
            <w:pPr>
              <w:spacing w:after="0"/>
            </w:pPr>
            <w:r>
              <w:rPr>
                <w:rFonts w:ascii="Arial" w:hAnsi="Arial"/>
                <w:b w:val="0"/>
                <w:sz w:val="16"/>
              </w:rPr>
              <w:t>Capacité robuste</w:t>
            </w:r>
          </w:p>
        </w:tc>
        <w:tc>
          <w:tcPr>
            <w:tcW w:type="dxa" w:w="2578"/>
          </w:tcPr>
          <w:p>
            <w:pPr>
              <w:spacing w:after="0"/>
            </w:pPr>
            <w:r>
              <w:rPr>
                <w:rFonts w:ascii="Arial" w:hAnsi="Arial"/>
                <w:b w:val="0"/>
                <w:sz w:val="16"/>
              </w:rPr>
              <w:t>Aucune saturation dans les scénarios testés de référence ; marge résiduelle en 2050 et stress +4 °C.</w:t>
            </w:r>
          </w:p>
        </w:tc>
        <w:tc>
          <w:tcPr>
            <w:tcW w:type="dxa" w:w="2578"/>
          </w:tcPr>
          <w:p>
            <w:pPr>
              <w:spacing w:after="0"/>
            </w:pPr>
            <w:r>
              <w:rPr>
                <w:rFonts w:ascii="Arial" w:hAnsi="Arial"/>
                <w:b w:val="0"/>
                <w:sz w:val="16"/>
              </w:rPr>
              <w:t>Enveloppe de dimensionnement recommandée pour étude approfondie</w:t>
            </w:r>
          </w:p>
        </w:tc>
      </w:tr>
    </w:tbl>
    <w:p>
      <w:pPr>
        <w:spacing w:after="100"/>
        <w:jc w:val="both"/>
      </w:pPr>
      <w:r>
        <w:rPr>
          <w:rFonts w:ascii="Aptos" w:hAnsi="Aptos"/>
        </w:rPr>
        <w:t>La conclusion de cette partie est volontairement prudente : 3 MW ne signifie pas 3 MW consommés en permanence. Cela signifie que l’enveloppe installée permet d’absorber les pointes liées au passage à 24 °C dans les chambres, aux logements en simple vitrage, aux épisodes climatiques futurs et aux incertitudes du modèle moyen.</w:t>
      </w:r>
    </w:p>
    <w:p>
      <w:pPr>
        <w:pStyle w:val="Heading1"/>
        <w:spacing w:after="100"/>
      </w:pPr>
      <w:r>
        <w:rPr>
          <w:rFonts w:ascii="Aptos" w:hAnsi="Aptos"/>
        </w:rPr>
        <w:t>4.3.14 Formules utilisées</w:t>
      </w:r>
    </w:p>
    <w:p>
      <w:pPr>
        <w:spacing w:after="100"/>
        <w:jc w:val="both"/>
      </w:pPr>
      <w:r>
        <w:rPr>
          <w:rFonts w:ascii="Aptos" w:hAnsi="Aptos"/>
        </w:rPr>
        <w:t>Besoin horaire par sous-groupe :</w:t>
      </w:r>
    </w:p>
    <w:p>
      <w:pPr>
        <w:spacing w:after="100"/>
        <w:jc w:val="both"/>
      </w:pPr>
      <w:r>
        <w:rPr>
          <w:rFonts w:ascii="Aptos" w:hAnsi="Aptos"/>
        </w:rPr>
        <w:t>Q_i(t) = max(0 ; [T_libre,i(t+1) - T_cible,i(t+1)] x C_i)</w:t>
      </w:r>
    </w:p>
    <w:p>
      <w:pPr>
        <w:spacing w:after="100"/>
        <w:jc w:val="both"/>
      </w:pPr>
      <w:r>
        <w:rPr>
          <w:rFonts w:ascii="Aptos" w:hAnsi="Aptos"/>
        </w:rPr>
        <w:t>où C_i = C_total x fraction_surface_i. La puissance appelée totale est la somme des besoins horaires des sous-groupes séjour, chambres et pièces secondaires, eux-mêmes subdivisés entre simple vitrage et double vitrage.</w:t>
      </w:r>
    </w:p>
    <w:p>
      <w:pPr>
        <w:spacing w:after="100"/>
        <w:jc w:val="both"/>
      </w:pPr>
      <w:r>
        <w:rPr>
          <w:rFonts w:ascii="Aptos" w:hAnsi="Aptos"/>
        </w:rPr>
        <w:t>Marge de capacité :</w:t>
      </w:r>
    </w:p>
    <w:p>
      <w:pPr>
        <w:spacing w:after="100"/>
        <w:jc w:val="both"/>
      </w:pPr>
      <w:r>
        <w:rPr>
          <w:rFonts w:ascii="Aptos" w:hAnsi="Aptos"/>
        </w:rPr>
        <w:t>Marge(t) = P_installée - P_appelée(t)</w:t>
      </w:r>
    </w:p>
    <w:p>
      <w:pPr>
        <w:spacing w:after="100"/>
        <w:jc w:val="both"/>
      </w:pPr>
      <w:r>
        <w:rPr>
          <w:rFonts w:ascii="Aptos" w:hAnsi="Aptos"/>
        </w:rPr>
        <w:t>Une heure est considérée saturée lorsque P_appelée(t) &gt; P_installée. Les puissances et les énergies présentées sont calculées sur le pas horaire du CSV.</w:t>
      </w:r>
    </w:p>
    <w:p>
      <w:pPr>
        <w:pStyle w:val="Heading1"/>
        <w:spacing w:after="100"/>
      </w:pPr>
      <w:r>
        <w:rPr>
          <w:rFonts w:ascii="Aptos" w:hAnsi="Aptos"/>
        </w:rPr>
        <w:t>Conclusion de la partie 3</w:t>
      </w:r>
    </w:p>
    <w:p>
      <w:pPr>
        <w:spacing w:after="100"/>
        <w:jc w:val="both"/>
      </w:pPr>
      <w:r>
        <w:rPr>
          <w:rFonts w:ascii="Aptos" w:hAnsi="Aptos"/>
        </w:rPr>
        <w:t>Le modèle dynamique montre que le dimensionnement doit être lu en puissance horaire et non en moyenne. En projection 2050, le scénario réactif chambres à 24 °C génère un pic supérieur à 2,5 MW, tandis qu’un pilotage anticipatif écrête fortement la demande. La capacité 2 MW apparaît fragile, 2,5 MW constitue une limite intermédiaire dépendante du pilotage, et 3 MW offre la marge la plus cohérente pour intégrer les logements sans double vitrage, les chambres à 24 °C et le réchauffement climatique. Cette conclusion reste une enveloppe de pré-dimensionnement à confirmer par une étude technique détaillée logement par logement ou bâtiment par bâtiment.</w:t>
      </w:r>
    </w:p>
    <w:p>
      <w:r>
        <w:rPr>
          <w:rFonts w:ascii="Aptos" w:hAnsi="Aptos"/>
        </w:rPr>
        <w:br w:type="page"/>
      </w:r>
    </w:p>
    <w:p>
      <w:pPr>
        <w:pStyle w:val="Heading1"/>
      </w:pPr>
      <w:r>
        <w:rPr>
          <w:rFonts w:ascii="Arial" w:hAnsi="Arial"/>
          <w:b w:val="0"/>
          <w:i w:val="0"/>
        </w:rPr>
        <w:t>Partie 4 - Conclusion consolidée de dimensionnement V3</w:t>
      </w:r>
    </w:p>
    <w:p>
      <w:r>
        <w:rPr>
          <w:rFonts w:ascii="Arial" w:hAnsi="Arial"/>
          <w:b w:val="0"/>
          <w:i w:val="0"/>
        </w:rPr>
        <w:t>Cette conclusion remplace les anciennes parties de sensibilité et la synthèse finale qui introduisaient le pic moyen corrigé à 1,19 MW. Cette valeur n'est plus retenue comme critère de décision, car elle ne représente pas le cas de pointe dimensionnant mis en évidence par la Partie 3.</w:t>
      </w:r>
    </w:p>
    <w:p>
      <w:pPr>
        <w:pStyle w:val="Heading1"/>
      </w:pPr>
      <w:r>
        <w:rPr>
          <w:rFonts w:ascii="Arial" w:hAnsi="Arial"/>
          <w:b w:val="0"/>
          <w:i w:val="0"/>
        </w:rPr>
        <w:t>4.4.1 Règle de lecture retenue</w:t>
      </w:r>
    </w:p>
    <w:p>
      <w:r>
        <w:rPr>
          <w:rFonts w:ascii="Arial" w:hAnsi="Arial"/>
          <w:b w:val="0"/>
          <w:i w:val="0"/>
        </w:rPr>
        <w:t>La capacité installée est jugée sur le pic non contraint, les heures de saturation et le service rendu aux occupants. Dans le scénario 2050 de la Partie 3, le pic non contraint atteint environ 2,65 MW en pilotage nocturne réactif. C'est ce cas qui dimensionne la puissance, car il correspond au moment où l'on cherche à ramener les chambres à 24 °C la nuit.</w:t>
      </w: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2537"/>
            <w:vAlign w:val="center"/>
          </w:tcPr>
          <w:p>
            <w:r>
              <w:rPr>
                <w:b/>
              </w:rPr>
              <w:t>Capacité</w:t>
            </w:r>
          </w:p>
        </w:tc>
        <w:tc>
          <w:tcPr>
            <w:tcW w:type="dxa" w:w="2537"/>
            <w:vAlign w:val="center"/>
          </w:tcPr>
          <w:p>
            <w:r>
              <w:rPr>
                <w:b/>
              </w:rPr>
              <w:t>Marge 2050 sur pic 2,65 MW</w:t>
            </w:r>
          </w:p>
        </w:tc>
        <w:tc>
          <w:tcPr>
            <w:tcW w:type="dxa" w:w="2537"/>
            <w:vAlign w:val="center"/>
          </w:tcPr>
          <w:p>
            <w:r>
              <w:rPr>
                <w:b/>
              </w:rPr>
              <w:t>Saturation 2050</w:t>
            </w:r>
          </w:p>
        </w:tc>
        <w:tc>
          <w:tcPr>
            <w:tcW w:type="dxa" w:w="2537"/>
            <w:vAlign w:val="center"/>
          </w:tcPr>
          <w:p>
            <w:r>
              <w:rPr>
                <w:b/>
              </w:rPr>
              <w:t>Lecture V3</w:t>
            </w:r>
          </w:p>
        </w:tc>
      </w:tr>
      <w:tr>
        <w:tc>
          <w:tcPr>
            <w:tcW w:type="dxa" w:w="2537"/>
            <w:vAlign w:val="center"/>
          </w:tcPr>
          <w:p>
            <w:r>
              <w:rPr>
                <w:sz w:val="18"/>
              </w:rPr>
              <w:t>2 MW</w:t>
            </w:r>
          </w:p>
        </w:tc>
        <w:tc>
          <w:tcPr>
            <w:tcW w:type="dxa" w:w="2537"/>
            <w:vAlign w:val="center"/>
          </w:tcPr>
          <w:p>
            <w:r>
              <w:rPr>
                <w:sz w:val="18"/>
              </w:rPr>
              <w:t>-0,65 MW</w:t>
            </w:r>
          </w:p>
        </w:tc>
        <w:tc>
          <w:tcPr>
            <w:tcW w:type="dxa" w:w="2537"/>
            <w:vAlign w:val="center"/>
          </w:tcPr>
          <w:p>
            <w:r>
              <w:rPr>
                <w:sz w:val="18"/>
              </w:rPr>
              <w:t>3 h</w:t>
            </w:r>
          </w:p>
        </w:tc>
        <w:tc>
          <w:tcPr>
            <w:tcW w:type="dxa" w:w="2537"/>
            <w:vAlign w:val="center"/>
          </w:tcPr>
          <w:p>
            <w:r>
              <w:rPr>
                <w:sz w:val="18"/>
              </w:rPr>
              <w:t>Insuffisant en pilotage réactif ; peut seulement être discuté avec une stratégie fortement anticipative et une acceptation de limites de confort.</w:t>
            </w:r>
          </w:p>
        </w:tc>
      </w:tr>
      <w:tr>
        <w:tc>
          <w:tcPr>
            <w:tcW w:type="dxa" w:w="2537"/>
            <w:vAlign w:val="center"/>
          </w:tcPr>
          <w:p>
            <w:r>
              <w:rPr>
                <w:sz w:val="18"/>
              </w:rPr>
              <w:t>2,5 MW</w:t>
            </w:r>
          </w:p>
        </w:tc>
        <w:tc>
          <w:tcPr>
            <w:tcW w:type="dxa" w:w="2537"/>
            <w:vAlign w:val="center"/>
          </w:tcPr>
          <w:p>
            <w:r>
              <w:rPr>
                <w:sz w:val="18"/>
              </w:rPr>
              <w:t>-0,15 MW</w:t>
            </w:r>
          </w:p>
        </w:tc>
        <w:tc>
          <w:tcPr>
            <w:tcW w:type="dxa" w:w="2537"/>
            <w:vAlign w:val="center"/>
          </w:tcPr>
          <w:p>
            <w:r>
              <w:rPr>
                <w:sz w:val="18"/>
              </w:rPr>
              <w:t>1 h</w:t>
            </w:r>
          </w:p>
        </w:tc>
        <w:tc>
          <w:tcPr>
            <w:tcW w:type="dxa" w:w="2537"/>
            <w:vAlign w:val="center"/>
          </w:tcPr>
          <w:p>
            <w:r>
              <w:rPr>
                <w:sz w:val="18"/>
              </w:rPr>
              <w:t>Limite : proche du besoin, mais sans réserve robuste pour les logements défavorisés et les nuits les plus chaudes.</w:t>
            </w:r>
          </w:p>
        </w:tc>
      </w:tr>
      <w:tr>
        <w:tc>
          <w:tcPr>
            <w:tcW w:type="dxa" w:w="2537"/>
            <w:vAlign w:val="center"/>
          </w:tcPr>
          <w:p>
            <w:r>
              <w:rPr>
                <w:sz w:val="18"/>
              </w:rPr>
              <w:t>3 MW</w:t>
            </w:r>
          </w:p>
        </w:tc>
        <w:tc>
          <w:tcPr>
            <w:tcW w:type="dxa" w:w="2537"/>
            <w:vAlign w:val="center"/>
          </w:tcPr>
          <w:p>
            <w:r>
              <w:rPr>
                <w:sz w:val="18"/>
              </w:rPr>
              <w:t>+0,35 MW</w:t>
            </w:r>
          </w:p>
        </w:tc>
        <w:tc>
          <w:tcPr>
            <w:tcW w:type="dxa" w:w="2537"/>
            <w:vAlign w:val="center"/>
          </w:tcPr>
          <w:p>
            <w:r>
              <w:rPr>
                <w:sz w:val="18"/>
              </w:rPr>
              <w:t>0 h</w:t>
            </w:r>
          </w:p>
        </w:tc>
        <w:tc>
          <w:tcPr>
            <w:tcW w:type="dxa" w:w="2537"/>
            <w:vAlign w:val="center"/>
          </w:tcPr>
          <w:p>
            <w:r>
              <w:rPr>
                <w:sz w:val="18"/>
              </w:rPr>
              <w:t>Enveloppe cohérente de pré-dimensionnement : marge faible mais positive, suppression de la saturation sur la période simulée.</w:t>
            </w:r>
          </w:p>
        </w:tc>
      </w:tr>
    </w:tbl>
    <w:p>
      <w:pPr>
        <w:pStyle w:val="Heading1"/>
      </w:pPr>
      <w:r>
        <w:rPr>
          <w:rFonts w:ascii="Arial" w:hAnsi="Arial"/>
          <w:b w:val="0"/>
          <w:i w:val="0"/>
        </w:rPr>
        <w:t>4.4.2 Clarification définitive du 1,19 MW</w:t>
      </w:r>
    </w:p>
    <w:p>
      <w:r>
        <w:rPr>
          <w:rFonts w:ascii="Arial" w:hAnsi="Arial"/>
          <w:b/>
          <w:i w:val="0"/>
        </w:rPr>
        <w:t>Le 1,19 MW est supprimé de la conclusion. Il pouvait donner l'impression que 2 MW couvre largement le besoin et que 3 MW serait surdimensionné. Cette lecture est fausse pour l'étude de capacité, parce qu'elle ne décrit pas le scénario réactif de pointe où les chambres deviennent dimensionnantes. La conclusion doit donc s'appuyer sur les résultats de la Partie 3 : 2,65 MW en 2050, 2,82 MW en stress +4 °C, et non sur 1,19 MW.</w:t>
      </w:r>
    </w:p>
    <w:tbl>
      <w:tblPr>
        <w:tblStyle w:val="TableGrid"/>
        <w:tblW w:type="auto" w:w="0"/>
        <w:jc w:val="center"/>
        <w:tblLook w:firstColumn="1" w:firstRow="1" w:lastColumn="0" w:lastRow="0" w:noHBand="0" w:noVBand="1" w:val="04A0"/>
      </w:tblPr>
      <w:tblGrid>
        <w:gridCol w:w="1691"/>
        <w:gridCol w:w="1691"/>
        <w:gridCol w:w="1691"/>
        <w:gridCol w:w="1691"/>
        <w:gridCol w:w="1691"/>
        <w:gridCol w:w="1691"/>
      </w:tblGrid>
      <w:tr>
        <w:tc>
          <w:tcPr>
            <w:tcW w:type="dxa" w:w="1691"/>
            <w:vAlign w:val="center"/>
          </w:tcPr>
          <w:p>
            <w:r>
              <w:rPr>
                <w:b/>
              </w:rPr>
              <w:t>Scénario Partie 3</w:t>
            </w:r>
          </w:p>
        </w:tc>
        <w:tc>
          <w:tcPr>
            <w:tcW w:type="dxa" w:w="1691"/>
            <w:vAlign w:val="center"/>
          </w:tcPr>
          <w:p>
            <w:r>
              <w:rPr>
                <w:b/>
              </w:rPr>
              <w:t>Pic non contraint</w:t>
            </w:r>
          </w:p>
        </w:tc>
        <w:tc>
          <w:tcPr>
            <w:tcW w:type="dxa" w:w="1691"/>
            <w:vAlign w:val="center"/>
          </w:tcPr>
          <w:p>
            <w:r>
              <w:rPr>
                <w:b/>
              </w:rPr>
              <w:t>Marge 2 MW</w:t>
            </w:r>
          </w:p>
        </w:tc>
        <w:tc>
          <w:tcPr>
            <w:tcW w:type="dxa" w:w="1691"/>
            <w:vAlign w:val="center"/>
          </w:tcPr>
          <w:p>
            <w:r>
              <w:rPr>
                <w:b/>
              </w:rPr>
              <w:t>Marge 2,5 MW</w:t>
            </w:r>
          </w:p>
        </w:tc>
        <w:tc>
          <w:tcPr>
            <w:tcW w:type="dxa" w:w="1691"/>
            <w:vAlign w:val="center"/>
          </w:tcPr>
          <w:p>
            <w:r>
              <w:rPr>
                <w:b/>
              </w:rPr>
              <w:t>Marge 3 MW</w:t>
            </w:r>
          </w:p>
        </w:tc>
        <w:tc>
          <w:tcPr>
            <w:tcW w:type="dxa" w:w="1691"/>
            <w:vAlign w:val="center"/>
          </w:tcPr>
          <w:p>
            <w:r>
              <w:rPr>
                <w:b/>
              </w:rPr>
              <w:t>Conclusion</w:t>
            </w:r>
          </w:p>
        </w:tc>
      </w:tr>
      <w:tr>
        <w:tc>
          <w:tcPr>
            <w:tcW w:type="dxa" w:w="1691"/>
            <w:vAlign w:val="center"/>
          </w:tcPr>
          <w:p>
            <w:r>
              <w:rPr>
                <w:sz w:val="18"/>
              </w:rPr>
              <w:t>2026 mesuré</w:t>
            </w:r>
          </w:p>
        </w:tc>
        <w:tc>
          <w:tcPr>
            <w:tcW w:type="dxa" w:w="1691"/>
            <w:vAlign w:val="center"/>
          </w:tcPr>
          <w:p>
            <w:r>
              <w:rPr>
                <w:sz w:val="18"/>
              </w:rPr>
              <w:t>2,41 MW</w:t>
            </w:r>
          </w:p>
        </w:tc>
        <w:tc>
          <w:tcPr>
            <w:tcW w:type="dxa" w:w="1691"/>
            <w:vAlign w:val="center"/>
          </w:tcPr>
          <w:p>
            <w:r>
              <w:rPr>
                <w:sz w:val="18"/>
              </w:rPr>
              <w:t>-0,41 MW</w:t>
            </w:r>
          </w:p>
        </w:tc>
        <w:tc>
          <w:tcPr>
            <w:tcW w:type="dxa" w:w="1691"/>
            <w:vAlign w:val="center"/>
          </w:tcPr>
          <w:p>
            <w:r>
              <w:rPr>
                <w:sz w:val="18"/>
              </w:rPr>
              <w:t>+0,09 MW</w:t>
            </w:r>
          </w:p>
        </w:tc>
        <w:tc>
          <w:tcPr>
            <w:tcW w:type="dxa" w:w="1691"/>
            <w:vAlign w:val="center"/>
          </w:tcPr>
          <w:p>
            <w:r>
              <w:rPr>
                <w:sz w:val="18"/>
              </w:rPr>
              <w:t>+0,59 MW</w:t>
            </w:r>
          </w:p>
        </w:tc>
        <w:tc>
          <w:tcPr>
            <w:tcW w:type="dxa" w:w="1691"/>
            <w:vAlign w:val="center"/>
          </w:tcPr>
          <w:p>
            <w:r>
              <w:rPr>
                <w:sz w:val="18"/>
              </w:rPr>
              <w:t>2 MW déjà insuffisant sur quelques heures.</w:t>
            </w:r>
          </w:p>
        </w:tc>
      </w:tr>
      <w:tr>
        <w:tc>
          <w:tcPr>
            <w:tcW w:type="dxa" w:w="1691"/>
            <w:vAlign w:val="center"/>
          </w:tcPr>
          <w:p>
            <w:r>
              <w:rPr>
                <w:sz w:val="18"/>
              </w:rPr>
              <w:t>2050 +2,2 °C</w:t>
            </w:r>
          </w:p>
        </w:tc>
        <w:tc>
          <w:tcPr>
            <w:tcW w:type="dxa" w:w="1691"/>
            <w:vAlign w:val="center"/>
          </w:tcPr>
          <w:p>
            <w:r>
              <w:rPr>
                <w:sz w:val="18"/>
              </w:rPr>
              <w:t>2,65 MW</w:t>
            </w:r>
          </w:p>
        </w:tc>
        <w:tc>
          <w:tcPr>
            <w:tcW w:type="dxa" w:w="1691"/>
            <w:vAlign w:val="center"/>
          </w:tcPr>
          <w:p>
            <w:r>
              <w:rPr>
                <w:sz w:val="18"/>
              </w:rPr>
              <w:t>-0,65 MW</w:t>
            </w:r>
          </w:p>
        </w:tc>
        <w:tc>
          <w:tcPr>
            <w:tcW w:type="dxa" w:w="1691"/>
            <w:vAlign w:val="center"/>
          </w:tcPr>
          <w:p>
            <w:r>
              <w:rPr>
                <w:sz w:val="18"/>
              </w:rPr>
              <w:t>-0,15 MW</w:t>
            </w:r>
          </w:p>
        </w:tc>
        <w:tc>
          <w:tcPr>
            <w:tcW w:type="dxa" w:w="1691"/>
            <w:vAlign w:val="center"/>
          </w:tcPr>
          <w:p>
            <w:r>
              <w:rPr>
                <w:sz w:val="18"/>
              </w:rPr>
              <w:t>+0,35 MW</w:t>
            </w:r>
          </w:p>
        </w:tc>
        <w:tc>
          <w:tcPr>
            <w:tcW w:type="dxa" w:w="1691"/>
            <w:vAlign w:val="center"/>
          </w:tcPr>
          <w:p>
            <w:r>
              <w:rPr>
                <w:sz w:val="18"/>
              </w:rPr>
              <w:t>3 MW est le premier niveau réellement robuste.</w:t>
            </w:r>
          </w:p>
        </w:tc>
      </w:tr>
      <w:tr>
        <w:tc>
          <w:tcPr>
            <w:tcW w:type="dxa" w:w="1691"/>
            <w:vAlign w:val="center"/>
          </w:tcPr>
          <w:p>
            <w:r>
              <w:rPr>
                <w:sz w:val="18"/>
              </w:rPr>
              <w:t>Stress +4,0 °C</w:t>
            </w:r>
          </w:p>
        </w:tc>
        <w:tc>
          <w:tcPr>
            <w:tcW w:type="dxa" w:w="1691"/>
            <w:vAlign w:val="center"/>
          </w:tcPr>
          <w:p>
            <w:r>
              <w:rPr>
                <w:sz w:val="18"/>
              </w:rPr>
              <w:t>2,82 MW</w:t>
            </w:r>
          </w:p>
        </w:tc>
        <w:tc>
          <w:tcPr>
            <w:tcW w:type="dxa" w:w="1691"/>
            <w:vAlign w:val="center"/>
          </w:tcPr>
          <w:p>
            <w:r>
              <w:rPr>
                <w:sz w:val="18"/>
              </w:rPr>
              <w:t>-0,82 MW</w:t>
            </w:r>
          </w:p>
        </w:tc>
        <w:tc>
          <w:tcPr>
            <w:tcW w:type="dxa" w:w="1691"/>
            <w:vAlign w:val="center"/>
          </w:tcPr>
          <w:p>
            <w:r>
              <w:rPr>
                <w:sz w:val="18"/>
              </w:rPr>
              <w:t>-0,32 MW</w:t>
            </w:r>
          </w:p>
        </w:tc>
        <w:tc>
          <w:tcPr>
            <w:tcW w:type="dxa" w:w="1691"/>
            <w:vAlign w:val="center"/>
          </w:tcPr>
          <w:p>
            <w:r>
              <w:rPr>
                <w:sz w:val="18"/>
              </w:rPr>
              <w:t>+0,18 MW</w:t>
            </w:r>
          </w:p>
        </w:tc>
        <w:tc>
          <w:tcPr>
            <w:tcW w:type="dxa" w:w="1691"/>
            <w:vAlign w:val="center"/>
          </w:tcPr>
          <w:p>
            <w:r>
              <w:rPr>
                <w:sz w:val="18"/>
              </w:rPr>
              <w:t>3 MW reste positif mais avec très peu de marge.</w:t>
            </w:r>
          </w:p>
        </w:tc>
      </w:tr>
    </w:tbl>
    <w:p>
      <w:pPr>
        <w:pStyle w:val="Heading1"/>
      </w:pPr>
      <w:r>
        <w:rPr>
          <w:rFonts w:ascii="Arial" w:hAnsi="Arial"/>
          <w:b w:val="0"/>
          <w:i w:val="0"/>
        </w:rPr>
        <w:t>4.4.3 Conclusion corrigée</w:t>
      </w:r>
    </w:p>
    <w:p>
      <w:r>
        <w:rPr>
          <w:rFonts w:ascii="Arial" w:hAnsi="Arial"/>
          <w:b/>
          <w:i w:val="0"/>
        </w:rPr>
        <w:t>La bonne conclusion n'est pas que 3 MW offre une marge confortable. La bonne conclusion est que 3 MW est la seule capacité testée qui conserve une marge positive dans les scénarios de la Partie 3, y compris lorsque les chambres deviennent le critère dimensionnant. Le besoin n'est donc pas de justifier un surdimensionnement, mais d'éviter une capacité trop juste qui échouerait précisément lors des nuits chaudes.</w:t>
      </w:r>
    </w:p>
    <w:p>
      <w:r>
        <w:rPr>
          <w:rFonts w:ascii="Arial" w:hAnsi="Arial"/>
          <w:b w:val="0"/>
          <w:i w:val="0"/>
        </w:rPr>
        <w:t>Pour la suite de l'étude, le tableau de décision devra présenter pour chaque solution technique : puissance installée, pic non contraint, heures de saturation, nuits chaudes résiduelles, température nocturne maximale résiduelle et énergie froide non servie. Sans ces indicateurs de service rendu, la comparaison entre 2 MW, 2,5 MW et 3 MW reste incomplète.</w:t>
      </w:r>
    </w:p>
    <w:sectPr w:rsidR="00FC693F" w:rsidRPr="0006063C" w:rsidSect="00034616">
      <w:headerReference w:type="default" r:id="rId9"/>
      <w:footerReference w:type="default" r:id="rId10"/>
      <w:pgSz w:w="11906" w:h="16838"/>
      <w:pgMar w:top="794" w:right="879" w:bottom="765"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Document de travail consolidé - valeurs apparentes à confirmer par étude thermique détaillée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595959"/>
        <w:sz w:val="16"/>
      </w:rPr>
      <w:t>FRESHCOP - Chapitre 4 consolidé - modèle thermique, simulations et marges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deconsolidation">
    <w:name w:val="Note de consolidation"/>
    <w:rPr>
      <w:rFonts w:ascii="Arial" w:hAnsi="Arial"/>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src0_rId10_image2.png"/><Relationship Id="rId12" Type="http://schemas.openxmlformats.org/officeDocument/2006/relationships/image" Target="media/src0_rId11_image3.png"/><Relationship Id="rId13" Type="http://schemas.openxmlformats.org/officeDocument/2006/relationships/image" Target="media/src0_rId12_image4.png"/><Relationship Id="rId14" Type="http://schemas.openxmlformats.org/officeDocument/2006/relationships/image" Target="media/src0_rId13_image5.png"/><Relationship Id="rId15" Type="http://schemas.openxmlformats.org/officeDocument/2006/relationships/image" Target="media/src0_rId14_image6.png"/><Relationship Id="rId16" Type="http://schemas.openxmlformats.org/officeDocument/2006/relationships/image" Target="media/src0_rId15_image7.png"/><Relationship Id="rId17" Type="http://schemas.openxmlformats.org/officeDocument/2006/relationships/image" Target="media/src0_rId16_image8.png"/><Relationship Id="rId18" Type="http://schemas.openxmlformats.org/officeDocument/2006/relationships/image" Target="media/src0_rId17_image9.png"/><Relationship Id="rId19" Type="http://schemas.openxmlformats.org/officeDocument/2006/relationships/image" Target="media/src0_rId9_image1.png"/><Relationship Id="rId20" Type="http://schemas.openxmlformats.org/officeDocument/2006/relationships/image" Target="media/src1_rId10_image2.png"/><Relationship Id="rId21" Type="http://schemas.openxmlformats.org/officeDocument/2006/relationships/image" Target="media/src1_rId11_image3.png"/><Relationship Id="rId22" Type="http://schemas.openxmlformats.org/officeDocument/2006/relationships/image" Target="media/src1_rId12_image4.png"/><Relationship Id="rId23" Type="http://schemas.openxmlformats.org/officeDocument/2006/relationships/image" Target="media/src1_rId13_image5.png"/><Relationship Id="rId24" Type="http://schemas.openxmlformats.org/officeDocument/2006/relationships/image" Target="media/src1_rId14_image6.png"/><Relationship Id="rId25" Type="http://schemas.openxmlformats.org/officeDocument/2006/relationships/image" Target="media/src1_rId15_image7.png"/><Relationship Id="rId26" Type="http://schemas.openxmlformats.org/officeDocument/2006/relationships/image" Target="media/src1_rId16_image8.png"/><Relationship Id="rId27" Type="http://schemas.openxmlformats.org/officeDocument/2006/relationships/image" Target="media/src1_rId17_image9.png"/><Relationship Id="rId28" Type="http://schemas.openxmlformats.org/officeDocument/2006/relationships/image" Target="media/src1_rId18_image10.png"/><Relationship Id="rId29" Type="http://schemas.openxmlformats.org/officeDocument/2006/relationships/image" Target="media/src1_rId19_image11.png"/><Relationship Id="rId30" Type="http://schemas.openxmlformats.org/officeDocument/2006/relationships/image" Target="media/src1_rId9_image1.png"/><Relationship Id="rId31" Type="http://schemas.openxmlformats.org/officeDocument/2006/relationships/image" Target="media/src2_rId10_image1.png"/><Relationship Id="rId32" Type="http://schemas.openxmlformats.org/officeDocument/2006/relationships/image" Target="media/src2_rId11_image2.png"/><Relationship Id="rId33" Type="http://schemas.openxmlformats.org/officeDocument/2006/relationships/image" Target="media/src2_rId12_image3.png"/><Relationship Id="rId34" Type="http://schemas.openxmlformats.org/officeDocument/2006/relationships/image" Target="media/src2_rId13_image4.png"/><Relationship Id="rId35" Type="http://schemas.openxmlformats.org/officeDocument/2006/relationships/image" Target="media/src2_rId14_image5.png"/><Relationship Id="rId36" Type="http://schemas.openxmlformats.org/officeDocument/2006/relationships/image" Target="media/src2_rId15_image6.png"/><Relationship Id="rId37" Type="http://schemas.openxmlformats.org/officeDocument/2006/relationships/image" Target="media/src2_rId16_image7.png"/><Relationship Id="rId38" Type="http://schemas.openxmlformats.org/officeDocument/2006/relationships/image" Target="media/src2_rId17_image8.png"/><Relationship Id="rId39" Type="http://schemas.openxmlformats.org/officeDocument/2006/relationships/image" Target="media/src2_rId18_image9.png"/><Relationship Id="rId40" Type="http://schemas.openxmlformats.org/officeDocument/2006/relationships/image" Target="media/src3_rId10_image2.png"/><Relationship Id="rId41" Type="http://schemas.openxmlformats.org/officeDocument/2006/relationships/image" Target="media/src3_rId11_image3.png"/><Relationship Id="rId42" Type="http://schemas.openxmlformats.org/officeDocument/2006/relationships/image" Target="media/src3_rId12_image4.png"/><Relationship Id="rId43" Type="http://schemas.openxmlformats.org/officeDocument/2006/relationships/image" Target="media/src3_rId13_image5.png"/><Relationship Id="rId44" Type="http://schemas.openxmlformats.org/officeDocument/2006/relationships/image" Target="media/src3_rId14_image6.png"/><Relationship Id="rId45" Type="http://schemas.openxmlformats.org/officeDocument/2006/relationships/image" Target="media/src3_rId15_image7.png"/><Relationship Id="rId46" Type="http://schemas.openxmlformats.org/officeDocument/2006/relationships/image" Target="media/src3_rId16_image8.png"/><Relationship Id="rId47" Type="http://schemas.openxmlformats.org/officeDocument/2006/relationships/image" Target="media/src3_rId17_image9.png"/><Relationship Id="rId48" Type="http://schemas.openxmlformats.org/officeDocument/2006/relationships/image" Target="media/src3_rId9_image1.png"/><Relationship Id="rId49" Type="http://schemas.openxmlformats.org/officeDocument/2006/relationships/image" Target="media/src4_rId10_image2.png"/><Relationship Id="rId50" Type="http://schemas.openxmlformats.org/officeDocument/2006/relationships/image" Target="media/src4_rId11_image3.png"/><Relationship Id="rId51" Type="http://schemas.openxmlformats.org/officeDocument/2006/relationships/image" Target="media/src4_rId12_image4.png"/><Relationship Id="rId52" Type="http://schemas.openxmlformats.org/officeDocument/2006/relationships/image" Target="media/src4_rId13_image5.png"/><Relationship Id="rId53" Type="http://schemas.openxmlformats.org/officeDocument/2006/relationships/image" Target="media/src4_rId14_image6.png"/><Relationship Id="rId54" Type="http://schemas.openxmlformats.org/officeDocument/2006/relationships/image" Target="media/src4_rId9_image1.png"/><Relationship Id="rId55" Type="http://schemas.openxmlformats.org/officeDocument/2006/relationships/image" Target="media/image5.png"/><Relationship Id="rId56" Type="http://schemas.openxmlformats.org/officeDocument/2006/relationships/image" Target="media/image6.png"/><Relationship Id="rId57" Type="http://schemas.openxmlformats.org/officeDocument/2006/relationships/image" Target="media/image7.png"/><Relationship Id="rId5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