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word/_rels/footnotes.xml.rels" ContentType="application/vnd.openxmlformats-package.relationship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EPFL Data Management Plan (DMP) Template</w:t>
      </w:r>
    </w:p>
    <w:p>
      <w:pPr>
        <w:pStyle w:val="TOCHeading"/>
        <w:outlineLvl w:val="9"/>
        <w:rPr/>
      </w:pPr>
      <w:r>
        <w:rPr/>
      </w:r>
    </w:p>
    <w:sdt>
      <w:sdtPr>
        <w:docPartObj>
          <w:docPartGallery w:val="Table of Contents"/>
          <w:docPartUnique w:val="true"/>
        </w:docPartObj>
      </w:sdtPr>
      <w:sdtContent>
        <w:p>
          <w:pPr>
            <w:pStyle w:val="TOC1"/>
            <w:tabs>
              <w:tab w:val="clear" w:pos="708"/>
              <w:tab w:val="right" w:pos="9628" w:leader="dot"/>
            </w:tabs>
            <w:rPr/>
          </w:pPr>
          <w:r>
            <w:fldChar w:fldCharType="begin"/>
          </w:r>
          <w:r>
            <w:rPr>
              <w:rStyle w:val="IndexLink"/>
              <w:vanish w:val="false"/>
            </w:rPr>
            <w:instrText xml:space="preserve"> TOC \o "1-1" \u \h</w:instrText>
          </w:r>
          <w:r>
            <w:rPr>
              <w:rStyle w:val="IndexLink"/>
              <w:vanish w:val="false"/>
            </w:rPr>
            <w:fldChar w:fldCharType="separate"/>
          </w:r>
          <w:hyperlink w:anchor="_Toc185095990">
            <w:r>
              <w:rPr>
                <w:rStyle w:val="IndexLink"/>
                <w:vanish w:val="false"/>
              </w:rPr>
              <w:t>Part 1. General Information</w:t>
            </w:r>
            <w:r>
              <w:rPr>
                <w:rStyle w:val="IndexLink"/>
                <w:vanish/>
              </w:rPr>
              <w:tab/>
            </w:r>
            <w:r>
              <w:rPr>
                <w:webHidden/>
              </w:rPr>
              <w:fldChar w:fldCharType="begin"/>
            </w:r>
            <w:r>
              <w:rPr>
                <w:webHidden/>
              </w:rPr>
              <w:instrText xml:space="preserve">PAGEREF _Toc185095990 \h</w:instrText>
            </w:r>
            <w:r>
              <w:rPr>
                <w:webHidden/>
              </w:rPr>
              <w:fldChar w:fldCharType="separate"/>
            </w:r>
            <w:r>
              <w:rPr>
                <w:rStyle w:val="IndexLink"/>
              </w:rPr>
              <w:t>2</w:t>
            </w:r>
            <w:r>
              <w:rPr>
                <w:webHidden/>
              </w:rPr>
              <w:fldChar w:fldCharType="end"/>
            </w:r>
          </w:hyperlink>
        </w:p>
        <w:p>
          <w:pPr>
            <w:pStyle w:val="TOC1"/>
            <w:tabs>
              <w:tab w:val="clear" w:pos="708"/>
              <w:tab w:val="right" w:pos="9628" w:leader="dot"/>
            </w:tabs>
            <w:rPr/>
          </w:pPr>
          <w:hyperlink w:anchor="_Toc185095991">
            <w:r>
              <w:rPr>
                <w:webHidden/>
              </w:rPr>
              <w:fldChar w:fldCharType="begin"/>
            </w:r>
            <w:r>
              <w:rPr>
                <w:webHidden/>
              </w:rPr>
              <w:instrText xml:space="preserve">PAGEREF _Toc185095991 \h</w:instrText>
            </w:r>
            <w:r>
              <w:rPr>
                <w:webHidden/>
              </w:rPr>
              <w:fldChar w:fldCharType="separate"/>
            </w:r>
            <w:r>
              <w:rPr>
                <w:rStyle w:val="IndexLink"/>
              </w:rPr>
              <w:t>Part 2. Data &amp; Code Collection</w:t>
              <w:tab/>
              <w:t>4</w:t>
            </w:r>
            <w:r>
              <w:rPr>
                <w:webHidden/>
              </w:rPr>
              <w:fldChar w:fldCharType="end"/>
            </w:r>
          </w:hyperlink>
        </w:p>
        <w:p>
          <w:pPr>
            <w:pStyle w:val="TOC1"/>
            <w:tabs>
              <w:tab w:val="clear" w:pos="708"/>
              <w:tab w:val="right" w:pos="9628" w:leader="dot"/>
            </w:tabs>
            <w:rPr/>
          </w:pPr>
          <w:hyperlink w:anchor="_Toc185095992">
            <w:r>
              <w:rPr>
                <w:webHidden/>
              </w:rPr>
              <w:fldChar w:fldCharType="begin"/>
            </w:r>
            <w:r>
              <w:rPr>
                <w:webHidden/>
              </w:rPr>
              <w:instrText xml:space="preserve">PAGEREF _Toc185095992 \h</w:instrText>
            </w:r>
            <w:r>
              <w:rPr>
                <w:webHidden/>
              </w:rPr>
              <w:fldChar w:fldCharType="separate"/>
            </w:r>
            <w:r>
              <w:rPr>
                <w:rStyle w:val="IndexLink"/>
              </w:rPr>
              <w:t>Part 3. Data &amp; Code Storage or Management Infrastructure</w:t>
              <w:tab/>
              <w:t>5</w:t>
            </w:r>
            <w:r>
              <w:rPr>
                <w:webHidden/>
              </w:rPr>
              <w:fldChar w:fldCharType="end"/>
            </w:r>
          </w:hyperlink>
        </w:p>
        <w:p>
          <w:pPr>
            <w:pStyle w:val="TOC1"/>
            <w:tabs>
              <w:tab w:val="clear" w:pos="708"/>
              <w:tab w:val="right" w:pos="9628" w:leader="dot"/>
            </w:tabs>
            <w:rPr/>
          </w:pPr>
          <w:hyperlink w:anchor="_Toc185095993">
            <w:r>
              <w:rPr>
                <w:webHidden/>
              </w:rPr>
              <w:fldChar w:fldCharType="begin"/>
            </w:r>
            <w:r>
              <w:rPr>
                <w:webHidden/>
              </w:rPr>
              <w:instrText xml:space="preserve">PAGEREF _Toc185095993 \h</w:instrText>
            </w:r>
            <w:r>
              <w:rPr>
                <w:webHidden/>
              </w:rPr>
              <w:fldChar w:fldCharType="separate"/>
            </w:r>
            <w:r>
              <w:rPr>
                <w:rStyle w:val="IndexLink"/>
              </w:rPr>
              <w:t>Part 4. Data &amp; Code Long Term Preservation</w:t>
              <w:tab/>
              <w:t>6</w:t>
            </w:r>
            <w:r>
              <w:rPr>
                <w:webHidden/>
              </w:rPr>
              <w:fldChar w:fldCharType="end"/>
            </w:r>
          </w:hyperlink>
        </w:p>
        <w:p>
          <w:pPr>
            <w:pStyle w:val="TOC1"/>
            <w:tabs>
              <w:tab w:val="clear" w:pos="708"/>
              <w:tab w:val="right" w:pos="9628" w:leader="dot"/>
            </w:tabs>
            <w:rPr/>
          </w:pPr>
          <w:hyperlink w:anchor="_Toc185095994">
            <w:r>
              <w:rPr>
                <w:webHidden/>
              </w:rPr>
              <w:fldChar w:fldCharType="begin"/>
            </w:r>
            <w:r>
              <w:rPr>
                <w:webHidden/>
              </w:rPr>
              <w:instrText xml:space="preserve">PAGEREF _Toc185095994 \h</w:instrText>
            </w:r>
            <w:r>
              <w:rPr>
                <w:webHidden/>
              </w:rPr>
              <w:fldChar w:fldCharType="separate"/>
            </w:r>
            <w:r>
              <w:rPr>
                <w:rStyle w:val="IndexLink"/>
              </w:rPr>
              <w:t>Annex 1. Open Research Data &amp; Code (ORD)</w:t>
              <w:tab/>
              <w:t>7</w:t>
            </w:r>
            <w:r>
              <w:rPr>
                <w:webHidden/>
              </w:rPr>
              <w:fldChar w:fldCharType="end"/>
            </w:r>
          </w:hyperlink>
        </w:p>
        <w:p>
          <w:pPr>
            <w:pStyle w:val="TOC1"/>
            <w:tabs>
              <w:tab w:val="clear" w:pos="708"/>
              <w:tab w:val="right" w:pos="9628" w:leader="dot"/>
            </w:tabs>
            <w:rPr/>
          </w:pPr>
          <w:hyperlink w:anchor="_Toc185095995">
            <w:r>
              <w:rPr>
                <w:webHidden/>
              </w:rPr>
              <w:fldChar w:fldCharType="begin"/>
            </w:r>
            <w:r>
              <w:rPr>
                <w:webHidden/>
              </w:rPr>
              <w:instrText xml:space="preserve">PAGEREF _Toc185095995 \h</w:instrText>
            </w:r>
            <w:r>
              <w:rPr>
                <w:webHidden/>
              </w:rPr>
              <w:fldChar w:fldCharType="separate"/>
            </w:r>
            <w:r>
              <w:rPr>
                <w:rStyle w:val="IndexLink"/>
              </w:rPr>
              <w:t>Annex 2. Data Protection Analysis</w:t>
              <w:tab/>
              <w:t>8</w:t>
            </w:r>
            <w:r>
              <w:rPr>
                <w:webHidden/>
              </w:rPr>
              <w:fldChar w:fldCharType="end"/>
            </w:r>
          </w:hyperlink>
          <w:r>
            <w:rPr>
              <w:rStyle w:val="IndexLink"/>
            </w:rPr>
            <w:fldChar w:fldCharType="end"/>
          </w:r>
        </w:p>
      </w:sdtContent>
    </w:sdt>
    <w:p>
      <w:pPr>
        <w:pStyle w:val="Normal"/>
        <w:rPr/>
      </w:pPr>
      <w:r>
        <w:rPr/>
      </w:r>
    </w:p>
    <w:p>
      <w:pPr>
        <w:pStyle w:val="Heading2"/>
        <w:rPr/>
      </w:pPr>
      <w:r>
        <w:rPr/>
        <w:t>Goal of a Data Management Plan (DMP)</w:t>
      </w:r>
    </w:p>
    <w:p>
      <w:pPr>
        <w:pStyle w:val="Normal"/>
        <w:rPr/>
      </w:pPr>
      <w:r>
        <w:rPr/>
        <w:t>The main objective of a DMP is to anticipate the project needs and requirements in terms of:</w:t>
      </w:r>
    </w:p>
    <w:p>
      <w:pPr>
        <w:pStyle w:val="ListParagraph"/>
        <w:numPr>
          <w:ilvl w:val="0"/>
          <w:numId w:val="1"/>
        </w:numPr>
        <w:rPr/>
      </w:pPr>
      <w:r>
        <w:rPr/>
        <w:t>resources (e.g., servers, hard drives, data curation and preservation, software tools, etc.)</w:t>
      </w:r>
    </w:p>
    <w:p>
      <w:pPr>
        <w:pStyle w:val="ListParagraph"/>
        <w:numPr>
          <w:ilvl w:val="0"/>
          <w:numId w:val="1"/>
        </w:numPr>
        <w:rPr/>
      </w:pPr>
      <w:r>
        <w:rPr/>
        <w:t>good practices (e.g., standardized documentation, metadata sharing, naming convention, data security, open formats, regular backup, etc.)</w:t>
      </w:r>
    </w:p>
    <w:p>
      <w:pPr>
        <w:pStyle w:val="ListParagraph"/>
        <w:numPr>
          <w:ilvl w:val="0"/>
          <w:numId w:val="1"/>
        </w:numPr>
        <w:rPr/>
      </w:pPr>
      <w:r>
        <w:rPr/>
        <w:t>data protection and ethics authorizations (e.g., submission to the cantonal ethics commission, or to the HREC)</w:t>
      </w:r>
    </w:p>
    <w:p>
      <w:pPr>
        <w:pStyle w:val="Normal"/>
        <w:rPr/>
      </w:pPr>
      <w:r>
        <w:rPr/>
        <w:t>A DMP is a live document supposed to be updated to reflect the actual data management. At the end of a research project, the associated DMP becomes a precious document that enables research reproducibility, allowing other researchers to understand your processes.</w:t>
      </w:r>
    </w:p>
    <w:p>
      <w:pPr>
        <w:pStyle w:val="Heading2"/>
        <w:rPr/>
      </w:pPr>
      <w:r>
        <w:rPr/>
        <w:t>Scope of this document</w:t>
      </w:r>
    </w:p>
    <w:p>
      <w:pPr>
        <w:pStyle w:val="Normal"/>
        <w:rPr/>
      </w:pPr>
      <w:r>
        <w:rPr/>
        <w:t>This DMP template applies to any EPFL research project that produces, collects or processes research data that does not already have a DMP from a funder or publisher. Develop a single DMP for each project to cover its overall approach. When specific issues arise for individual datasets (e.g., openness), clearly identify them. However, depending on the project and research field, some of those issues may not need to be addressed in the DMP.</w:t>
      </w:r>
    </w:p>
    <w:p>
      <w:pPr>
        <w:pStyle w:val="Heading2"/>
        <w:rPr/>
      </w:pPr>
      <w:r>
        <w:rPr/>
        <w:t>How to use of this document – READ CAREFULLY</w:t>
      </w:r>
    </w:p>
    <w:p>
      <w:pPr>
        <w:pStyle w:val="Normal"/>
        <w:rPr/>
      </w:pPr>
      <w:r>
        <w:rPr/>
        <w:t xml:space="preserve">Throughout the DMP, the required information is indicated as Mandatory </w:t>
      </w:r>
      <w:r>
        <w:rPr>
          <w:color w:val="FF0000"/>
        </w:rPr>
        <w:t>[M]</w:t>
      </w:r>
      <w:r>
        <w:rPr/>
        <w:t xml:space="preserve">, Mandatory if applicable </w:t>
      </w:r>
      <w:r>
        <w:rPr>
          <w:color w:val="FF0000"/>
        </w:rPr>
        <w:t>[MA]</w:t>
      </w:r>
      <w:r>
        <w:rPr/>
        <w:t xml:space="preserve">, or Recommended </w:t>
      </w:r>
      <w:r>
        <w:rPr>
          <w:color w:val="FF0000"/>
        </w:rPr>
        <w:t>[R]</w:t>
      </w:r>
      <w:r>
        <w:rPr/>
        <w:t>. In the fields for the answers, if present, replace the text in italic with your own answer or description.</w:t>
      </w:r>
    </w:p>
    <w:p>
      <w:pPr>
        <w:pStyle w:val="ListParagraph"/>
        <w:numPr>
          <w:ilvl w:val="0"/>
          <w:numId w:val="1"/>
        </w:numPr>
        <w:rPr/>
      </w:pPr>
      <w:r>
        <w:rPr/>
        <w:t xml:space="preserve">For DMP review or relevant information on the DMP: contact </w:t>
      </w:r>
      <w:hyperlink r:id="rId2">
        <w:r>
          <w:rPr>
            <w:rStyle w:val="ListLabel19"/>
            <w:color w:val="0563C1"/>
            <w:u w:val="single"/>
          </w:rPr>
          <w:t>researchdata@epfl.ch</w:t>
        </w:r>
      </w:hyperlink>
    </w:p>
    <w:p>
      <w:pPr>
        <w:pStyle w:val="ListParagraph"/>
        <w:numPr>
          <w:ilvl w:val="0"/>
          <w:numId w:val="1"/>
        </w:numPr>
        <w:rPr/>
      </w:pPr>
      <w:r>
        <w:rPr/>
        <w:t xml:space="preserve">For data privacy issues and information on EPFL privacy policy: contact </w:t>
      </w:r>
      <w:hyperlink r:id="rId3">
        <w:r>
          <w:rPr>
            <w:rStyle w:val="ListLabel19"/>
            <w:color w:val="0563C1"/>
            <w:u w:val="single"/>
          </w:rPr>
          <w:t>dpo@epfl.ch</w:t>
        </w:r>
      </w:hyperlink>
    </w:p>
    <w:p>
      <w:pPr>
        <w:pStyle w:val="ListParagraph"/>
        <w:numPr>
          <w:ilvl w:val="0"/>
          <w:numId w:val="1"/>
        </w:numPr>
        <w:rPr/>
      </w:pPr>
      <w:r>
        <w:rPr/>
        <w:t xml:space="preserve">For ethics authorizations or funding information: contact </w:t>
      </w:r>
      <w:hyperlink r:id="rId4">
        <w:r>
          <w:rPr>
            <w:rStyle w:val="ListLabel19"/>
            <w:color w:val="0563C1"/>
            <w:u w:val="single"/>
          </w:rPr>
          <w:t>research@epfl.ch</w:t>
        </w:r>
      </w:hyperlink>
      <w:r>
        <w:rPr/>
        <w:t xml:space="preserve">  </w:t>
      </w:r>
    </w:p>
    <w:p>
      <w:pPr>
        <w:pStyle w:val="ListParagraph"/>
        <w:numPr>
          <w:ilvl w:val="0"/>
          <w:numId w:val="1"/>
        </w:numPr>
        <w:rPr/>
      </w:pPr>
      <w:r>
        <w:rPr/>
        <w:t xml:space="preserve">For industrial collaboration and patent issues: contact </w:t>
      </w:r>
      <w:hyperlink r:id="rId5">
        <w:r>
          <w:rPr>
            <w:rStyle w:val="ListLabel19"/>
            <w:color w:val="0563C1"/>
            <w:u w:val="single"/>
          </w:rPr>
          <w:t>tto@epfl.ch</w:t>
        </w:r>
      </w:hyperlink>
      <w:r>
        <w:rPr/>
        <w:t xml:space="preserve">  </w:t>
      </w:r>
    </w:p>
    <w:p>
      <w:pPr>
        <w:pStyle w:val="Normal"/>
        <w:rPr/>
      </w:pPr>
      <w:r>
        <w:rPr/>
        <w:t xml:space="preserve">If sharing this DMP file with the previous services, please save/rename its shared copy as: </w:t>
      </w:r>
      <w:r>
        <w:rPr>
          <w:i/>
          <w:iCs/>
        </w:rPr>
        <w:t>SURNAME_Firstname_DMP.odt</w:t>
      </w:r>
      <w:r>
        <w:rPr/>
        <w:t>. All personal information contained in the DMP will be treated as confidential, as per EPFL Privacy Policy.</w:t>
      </w:r>
      <w:r>
        <w:br w:type="page"/>
      </w:r>
    </w:p>
    <w:p>
      <w:pPr>
        <w:pStyle w:val="Normal"/>
        <w:spacing w:before="0" w:after="160"/>
        <w:rPr>
          <w:sz w:val="2"/>
          <w:szCs w:val="2"/>
        </w:rPr>
      </w:pPr>
      <w:r>
        <w:rPr>
          <w:sz w:val="2"/>
          <w:szCs w:val="2"/>
        </w:rPr>
      </w:r>
    </w:p>
    <w:p>
      <w:pPr>
        <w:pStyle w:val="Heading1"/>
        <w:rPr/>
      </w:pPr>
      <w:bookmarkStart w:id="0" w:name="_Toc185095990"/>
      <w:r>
        <w:rPr>
          <w:color w:val="FF0000"/>
        </w:rPr>
        <w:t xml:space="preserve">Part 1. </w:t>
      </w:r>
      <w:r>
        <w:rPr/>
        <w:t>General Information</w:t>
      </w:r>
      <w:bookmarkEnd w:id="0"/>
    </w:p>
    <w:p>
      <w:pPr>
        <w:pStyle w:val="Heading2"/>
        <w:rPr/>
      </w:pPr>
      <w:r>
        <w:rPr>
          <w:color w:val="FF0000"/>
        </w:rPr>
        <w:t xml:space="preserve">[M] </w:t>
      </w:r>
      <w:r>
        <w:rPr/>
        <w:t>Personal Information</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1"/>
        <w:gridCol w:w="5671"/>
      </w:tblGrid>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P1a.</w:t>
            </w:r>
            <w:r>
              <w:rPr>
                <w:color w:val="FF0000"/>
              </w:rPr>
              <w:t xml:space="preserve"> </w:t>
            </w:r>
            <w:r>
              <w:rPr/>
              <w:t>Fellow/PI’s full name(s) and email(s)</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 xml:space="preserve">CHAZOTTES Rens, </w:t>
            </w:r>
            <w:hyperlink r:id="rId6">
              <w:r>
                <w:rPr>
                  <w:rStyle w:val="ListLabel20"/>
                  <w:i/>
                  <w:iCs/>
                </w:rPr>
                <w:t>rens.chazottes@epfl.ch</w:t>
              </w:r>
            </w:hyperlink>
          </w:p>
          <w:p>
            <w:pPr>
              <w:pStyle w:val="Textintables"/>
              <w:spacing w:before="120" w:after="120"/>
              <w:rPr>
                <w:i/>
                <w:i/>
                <w:iCs/>
              </w:rPr>
            </w:pPr>
            <w:r>
              <w:rPr>
                <w:i/>
                <w:iCs/>
              </w:rPr>
              <w:t xml:space="preserve">HUGUENOT-NOËL Robin, </w:t>
            </w:r>
            <w:hyperlink r:id="rId7">
              <w:r>
                <w:rPr>
                  <w:rStyle w:val="ListLabel20"/>
                  <w:i/>
                  <w:iCs/>
                </w:rPr>
                <w:t>robin.huguenot-noel@fu-berlin.de</w:t>
              </w:r>
            </w:hyperlink>
          </w:p>
        </w:tc>
      </w:tr>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P1b.</w:t>
            </w:r>
            <w:r>
              <w:rPr>
                <w:color w:val="FF0000"/>
              </w:rPr>
              <w:t xml:space="preserve"> </w:t>
            </w:r>
            <w:r>
              <w:rPr/>
              <w:t>Fellow/PI’s ORCID(s)</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hyperlink r:id="rId8">
              <w:r>
                <w:rPr>
                  <w:rStyle w:val="ListLabel21"/>
                  <w:i/>
                  <w:iCs/>
                  <w:color w:val="0563C1"/>
                  <w:spacing w:val="3"/>
                  <w:u w:val="single"/>
                </w:rPr>
                <w:t>https://orcid.org/0000-0002-4100-2809</w:t>
              </w:r>
            </w:hyperlink>
          </w:p>
          <w:p>
            <w:pPr>
              <w:pStyle w:val="Textintables"/>
              <w:spacing w:lineRule="auto" w:line="240" w:before="120" w:after="120"/>
              <w:rPr/>
            </w:pPr>
            <w:r>
              <w:rPr>
                <w:rStyle w:val="Lienhypertexte1"/>
                <w:i/>
                <w:iCs/>
                <w:spacing w:val="3"/>
              </w:rPr>
              <w:t>https://orcid.org/0000-0001-7594-7061</w:t>
            </w:r>
          </w:p>
        </w:tc>
      </w:tr>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 xml:space="preserve">P1c. </w:t>
            </w:r>
            <w:r>
              <w:rPr/>
              <w:t>DMP contact person’s full name and email</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 xml:space="preserve">CHAZOTTES Rens, </w:t>
            </w:r>
            <w:hyperlink r:id="rId9">
              <w:r>
                <w:rPr>
                  <w:rStyle w:val="ListLabel20"/>
                  <w:i/>
                  <w:iCs/>
                </w:rPr>
                <w:t>rens.chazottes@epfl.ch</w:t>
              </w:r>
            </w:hyperlink>
          </w:p>
        </w:tc>
      </w:tr>
    </w:tbl>
    <w:p>
      <w:pPr>
        <w:pStyle w:val="Normal"/>
        <w:rPr/>
      </w:pPr>
      <w:r>
        <w:rPr/>
      </w:r>
    </w:p>
    <w:p>
      <w:pPr>
        <w:pStyle w:val="Heading2"/>
        <w:rPr/>
      </w:pPr>
      <w:r>
        <w:rPr>
          <w:color w:val="FF0000"/>
        </w:rPr>
        <w:t xml:space="preserve">[M] </w:t>
      </w:r>
      <w:r>
        <w:rPr/>
        <w:t>Project and Fellowship</w:t>
      </w:r>
      <w:r>
        <w:br w:type="page"/>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1"/>
        <w:gridCol w:w="5671"/>
      </w:tblGrid>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pageBreakBefore/>
              <w:spacing w:before="0" w:after="120"/>
              <w:rPr/>
            </w:pPr>
            <w:r>
              <w:rPr>
                <w:b/>
                <w:bCs/>
                <w:color w:val="FF0000"/>
              </w:rPr>
              <w:t xml:space="preserve">P1d. </w:t>
            </w:r>
            <w:r>
              <w:rPr/>
              <w:t>Project title</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Climate Policy and Just Transition: A Comparative Study of Worker Support (JUST-CLIP)</w:t>
            </w:r>
          </w:p>
        </w:tc>
      </w:tr>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P1e.</w:t>
            </w:r>
            <w:r>
              <w:rPr>
                <w:color w:val="FF0000"/>
              </w:rPr>
              <w:t xml:space="preserve"> </w:t>
            </w:r>
            <w:r>
              <w:rPr/>
              <w:t>Project description (short, max 2-3 lines)</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 xml:space="preserve">Using survey experimental techniques, this study first aims to understand the impact of different Just Transition strategies on climate policy support. For this, we distinguish between individual- and community-based approaches and evaluate the relative impact of derived policy mixes. The second arm of this study explores the role of collective organisations in shaping how these policies are perceived by workers. </w:t>
            </w:r>
          </w:p>
        </w:tc>
      </w:tr>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P1f.</w:t>
            </w:r>
            <w:r>
              <w:rPr>
                <w:color w:val="FF0000"/>
              </w:rPr>
              <w:t xml:space="preserve"> </w:t>
            </w:r>
            <w:r>
              <w:rPr/>
              <w:t>Name of fellowship/funding programme</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rPr>
              <w:t>None</w:t>
            </w:r>
          </w:p>
        </w:tc>
      </w:tr>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P1g.</w:t>
            </w:r>
            <w:r>
              <w:rPr>
                <w:color w:val="FF0000"/>
              </w:rPr>
              <w:t xml:space="preserve"> </w:t>
            </w:r>
            <w:r>
              <w:rPr/>
              <w:t>Institution(s) involved</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Ecole Polytechnique Fédérale de Lausanne, Freie Universität Berlin</w:t>
            </w:r>
          </w:p>
        </w:tc>
      </w:tr>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P1h.</w:t>
            </w:r>
            <w:r>
              <w:rPr>
                <w:color w:val="FF0000"/>
              </w:rPr>
              <w:t xml:space="preserve"> </w:t>
            </w:r>
            <w:r>
              <w:rPr/>
              <w:t>Laboratory(s) involved</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Policy and Sustainability Lab (PASU, CDM, EPFL)</w:t>
            </w:r>
          </w:p>
        </w:tc>
      </w:tr>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P1i.</w:t>
            </w:r>
            <w:r>
              <w:rPr>
                <w:color w:val="FF0000"/>
              </w:rPr>
              <w:t xml:space="preserve"> </w:t>
            </w:r>
            <w:r>
              <w:rPr/>
              <w:t>Starting date of the project (estimated if unknown)</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2025-09-01</w:t>
            </w:r>
          </w:p>
        </w:tc>
      </w:tr>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P1j.</w:t>
            </w:r>
            <w:r>
              <w:rPr>
                <w:color w:val="FF0000"/>
              </w:rPr>
              <w:t xml:space="preserve"> </w:t>
            </w:r>
            <w:r>
              <w:rPr/>
              <w:t>How much of the funding will be allocated for data management activities? (Estimated if unknown)</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0€.The project does not require funding</w:t>
            </w:r>
          </w:p>
        </w:tc>
      </w:tr>
    </w:tbl>
    <w:p>
      <w:pPr>
        <w:pStyle w:val="Normal"/>
        <w:rPr/>
      </w:pPr>
      <w:r>
        <w:rPr/>
      </w:r>
    </w:p>
    <w:p>
      <w:pPr>
        <w:pStyle w:val="Heading2"/>
        <w:rPr/>
      </w:pPr>
      <w:r>
        <w:rPr>
          <w:color w:val="FF0000"/>
        </w:rPr>
        <w:t xml:space="preserve">[M] </w:t>
      </w:r>
      <w:r>
        <w:rPr/>
        <w:t>Global context of Research Data</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1"/>
        <w:gridCol w:w="5671"/>
      </w:tblGrid>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P1k.</w:t>
            </w:r>
            <w:r>
              <w:rPr>
                <w:color w:val="FF0000"/>
              </w:rPr>
              <w:t xml:space="preserve"> </w:t>
            </w:r>
            <w:r>
              <w:rPr/>
              <w:t>Could any of the data/code that you create, produce, collect or process contain personal data</w:t>
            </w:r>
            <w:r>
              <w:rPr>
                <w:rStyle w:val="FootnoteReference"/>
              </w:rPr>
              <w:footnoteReference w:id="2"/>
            </w:r>
            <w:r>
              <w:rPr/>
              <w:t>?</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w:t>
            </w:r>
          </w:p>
        </w:tc>
      </w:tr>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P1l.</w:t>
            </w:r>
            <w:r>
              <w:rPr>
                <w:color w:val="FF0000"/>
              </w:rPr>
              <w:t xml:space="preserve"> </w:t>
            </w:r>
            <w:r>
              <w:rPr/>
              <w:t>Could any of the data that you collect, or process contain sensitive data</w:t>
            </w:r>
            <w:r>
              <w:rPr>
                <w:rStyle w:val="FootnoteReference"/>
              </w:rPr>
              <w:footnoteReference w:id="3"/>
            </w:r>
            <w:r>
              <w:rPr/>
              <w:t xml:space="preserve"> or data that you are legally obliged to protect?</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w:t>
            </w:r>
          </w:p>
        </w:tc>
      </w:tr>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P1m.</w:t>
            </w:r>
            <w:r>
              <w:rPr>
                <w:color w:val="FF0000"/>
              </w:rPr>
              <w:t xml:space="preserve"> </w:t>
            </w:r>
            <w:r>
              <w:rPr/>
              <w:t>Could any of the data that you collect, or process contain confidential data or intellectual property of a third party that you are legally obliged to protect?</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No</w:t>
            </w:r>
          </w:p>
        </w:tc>
      </w:tr>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P1n.</w:t>
            </w:r>
            <w:r>
              <w:rPr>
                <w:color w:val="FF0000"/>
              </w:rPr>
              <w:t xml:space="preserve"> </w:t>
            </w:r>
            <w:r>
              <w:rPr/>
              <w:t>Will you publish any of your data/code (Open Research Data)</w:t>
            </w:r>
            <w:r>
              <w:rPr>
                <w:rStyle w:val="FootnoteReference"/>
              </w:rPr>
              <w:footnoteReference w:id="4"/>
            </w:r>
            <w:r>
              <w:rPr/>
              <w:t>?</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w:t>
            </w:r>
          </w:p>
        </w:tc>
      </w:tr>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P1o.</w:t>
            </w:r>
            <w:r>
              <w:rPr>
                <w:color w:val="FF0000"/>
              </w:rPr>
              <w:t xml:space="preserve"> </w:t>
            </w:r>
            <w:r>
              <w:rPr/>
              <w:t>P1o. Are ethics authorizations necessary</w:t>
            </w:r>
            <w:r>
              <w:rPr>
                <w:rStyle w:val="FootnoteReference"/>
              </w:rPr>
              <w:footnoteReference w:id="5"/>
            </w:r>
            <w:r>
              <w:rPr/>
              <w:t xml:space="preserve"> from the competent ethics committee (HREC, AREC)?</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 Not (yet) obtained</w:t>
            </w:r>
          </w:p>
        </w:tc>
      </w:tr>
    </w:tbl>
    <w:p>
      <w:pPr>
        <w:pStyle w:val="Normal"/>
        <w:rPr>
          <w:sz w:val="2"/>
          <w:szCs w:val="2"/>
        </w:rPr>
      </w:pPr>
      <w:r>
        <w:rPr>
          <w:sz w:val="2"/>
          <w:szCs w:val="2"/>
        </w:rPr>
      </w:r>
      <w:r>
        <w:br w:type="page"/>
      </w:r>
    </w:p>
    <w:p>
      <w:pPr>
        <w:pStyle w:val="Heading1"/>
        <w:spacing w:before="0" w:after="160"/>
        <w:rPr/>
      </w:pPr>
      <w:bookmarkStart w:id="1" w:name="_Toc185095991"/>
      <w:r>
        <w:rPr>
          <w:color w:val="FF0000"/>
        </w:rPr>
        <w:t xml:space="preserve">Part 2. </w:t>
      </w:r>
      <w:r>
        <w:rPr/>
        <w:t>Data &amp; Code Collection</w:t>
      </w:r>
      <w:r>
        <w:rPr>
          <w:rStyle w:val="FootnoteReference"/>
        </w:rPr>
        <w:footnoteReference w:id="6"/>
      </w:r>
      <w:bookmarkEnd w:id="1"/>
    </w:p>
    <w:p>
      <w:pPr>
        <w:pStyle w:val="Normal"/>
        <w:rPr/>
      </w:pPr>
      <w:r>
        <w:rPr/>
        <w:t xml:space="preserve">Specify the type of data and code that is acquired, produced, processed or coded during the project, and describe them. Add more rows if necessary. </w:t>
      </w:r>
      <w:r>
        <w:rPr>
          <w:i/>
        </w:rPr>
        <w:t>Text in italics</w:t>
      </w:r>
      <w:r>
        <w:rPr/>
        <w:t xml:space="preserve"> should be deleted.</w:t>
      </w:r>
    </w:p>
    <w:tbl>
      <w:tblPr>
        <w:tblW w:w="9918"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986"/>
        <w:gridCol w:w="1279"/>
        <w:gridCol w:w="1274"/>
        <w:gridCol w:w="1420"/>
        <w:gridCol w:w="1133"/>
        <w:gridCol w:w="1560"/>
        <w:gridCol w:w="1278"/>
        <w:gridCol w:w="986"/>
      </w:tblGrid>
      <w:tr>
        <w:trPr>
          <w:cantSplit w:val="true"/>
        </w:trPr>
        <w:tc>
          <w:tcPr>
            <w:tcW w:w="98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P2a. [M]</w:t>
            </w:r>
            <w:r>
              <w:rPr>
                <w:sz w:val="18"/>
                <w:szCs w:val="18"/>
              </w:rPr>
              <w:br/>
              <w:t>Dataset identifier #</w:t>
            </w:r>
          </w:p>
        </w:tc>
        <w:tc>
          <w:tcPr>
            <w:tcW w:w="1279"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P2b. [M]</w:t>
            </w:r>
            <w:r>
              <w:rPr>
                <w:sz w:val="18"/>
                <w:szCs w:val="18"/>
              </w:rPr>
              <w:br/>
              <w:t>Collection</w:t>
            </w:r>
            <w:r>
              <w:rPr>
                <w:sz w:val="18"/>
                <w:szCs w:val="18"/>
                <w:vertAlign w:val="superscript"/>
              </w:rPr>
              <w:t>5</w:t>
            </w:r>
            <w:r>
              <w:rPr>
                <w:sz w:val="18"/>
                <w:szCs w:val="18"/>
              </w:rPr>
              <w:t xml:space="preserve"> method</w:t>
            </w:r>
          </w:p>
        </w:tc>
        <w:tc>
          <w:tcPr>
            <w:tcW w:w="1274"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P2c. [M]</w:t>
            </w:r>
            <w:r>
              <w:rPr>
                <w:sz w:val="18"/>
                <w:szCs w:val="18"/>
              </w:rPr>
              <w:br/>
              <w:t>Description of dataset, type of data/code</w:t>
            </w:r>
          </w:p>
        </w:tc>
        <w:tc>
          <w:tcPr>
            <w:tcW w:w="142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P2d. [M]</w:t>
            </w:r>
            <w:r>
              <w:rPr>
                <w:sz w:val="18"/>
                <w:szCs w:val="18"/>
              </w:rPr>
              <w:br/>
              <w:t>Origin / source / equipment</w:t>
            </w:r>
          </w:p>
        </w:tc>
        <w:tc>
          <w:tcPr>
            <w:tcW w:w="1133"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P2e. [M]</w:t>
            </w:r>
            <w:r>
              <w:rPr>
                <w:sz w:val="18"/>
                <w:szCs w:val="18"/>
              </w:rPr>
              <w:br/>
              <w:t>Formats</w:t>
            </w:r>
          </w:p>
        </w:tc>
        <w:tc>
          <w:tcPr>
            <w:tcW w:w="156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P2f. [R]</w:t>
            </w:r>
            <w:r>
              <w:rPr>
                <w:sz w:val="18"/>
                <w:szCs w:val="18"/>
              </w:rPr>
              <w:br/>
              <w:t>Description of metadata</w:t>
            </w:r>
          </w:p>
        </w:tc>
        <w:tc>
          <w:tcPr>
            <w:tcW w:w="1278"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P2g. [R]</w:t>
            </w:r>
            <w:r>
              <w:rPr>
                <w:sz w:val="18"/>
                <w:szCs w:val="18"/>
              </w:rPr>
              <w:br/>
            </w:r>
            <w:commentRangeStart w:id="0"/>
            <w:r>
              <w:rPr>
                <w:sz w:val="18"/>
                <w:szCs w:val="18"/>
              </w:rPr>
              <w:t>Naming convention, format</w:t>
            </w:r>
            <w:commentRangeEnd w:id="0"/>
            <w:r>
              <w:commentReference w:id="0"/>
            </w:r>
            <w:r>
              <w:rPr>
                <w:sz w:val="18"/>
                <w:szCs w:val="18"/>
              </w:rPr>
            </w:r>
          </w:p>
        </w:tc>
        <w:tc>
          <w:tcPr>
            <w:tcW w:w="98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P2h. [R]</w:t>
            </w:r>
            <w:r>
              <w:rPr>
                <w:sz w:val="18"/>
                <w:szCs w:val="18"/>
              </w:rPr>
              <w:br/>
              <w:t>Person in charge</w:t>
            </w:r>
          </w:p>
        </w:tc>
      </w:tr>
      <w:tr>
        <w:trPr>
          <w:cantSplit w:val="true"/>
        </w:trPr>
        <w:tc>
          <w:tcPr>
            <w:tcW w:w="98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DT1</w:t>
            </w:r>
          </w:p>
        </w:tc>
        <w:tc>
          <w:tcPr>
            <w:tcW w:w="1279"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Collected data from field studies via an online survey application (Qualtrics) and through unions, employer organization, and social network adds (e.g. Facebook) .</w:t>
            </w:r>
          </w:p>
        </w:tc>
        <w:tc>
          <w:tcPr>
            <w:tcW w:w="1274"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Raw Data is collected by an online survey instrument</w:t>
            </w:r>
          </w:p>
        </w:tc>
        <w:tc>
          <w:tcPr>
            <w:tcW w:w="142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Qualtrics</w:t>
            </w:r>
          </w:p>
        </w:tc>
        <w:tc>
          <w:tcPr>
            <w:tcW w:w="113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w:t>
            </w:r>
          </w:p>
        </w:tc>
        <w:tc>
          <w:tcPr>
            <w:tcW w:w="156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commentRangeStart w:id="1"/>
            <w:r>
              <w:rPr>
                <w:i/>
                <w:iCs/>
                <w:sz w:val="18"/>
                <w:szCs w:val="18"/>
              </w:rPr>
              <w:t>Csv file describing variable and their measurement strategy, and the relationship between variables</w:t>
            </w:r>
            <w:r>
              <w:rPr>
                <w:i/>
                <w:iCs/>
                <w:sz w:val="18"/>
                <w:szCs w:val="18"/>
              </w:rPr>
            </w:r>
            <w:commentRangeEnd w:id="1"/>
            <w:r>
              <w:commentReference w:id="1"/>
            </w:r>
            <w:r>
              <w:rPr>
                <w:i/>
                <w:iCs/>
                <w:sz w:val="18"/>
                <w:szCs w:val="18"/>
              </w:rPr>
              <w:t>. See Appendix (survey instruments)</w:t>
            </w:r>
          </w:p>
        </w:tc>
        <w:tc>
          <w:tcPr>
            <w:tcW w:w="127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JUST-CLIP_DT1_YYYYMMDD.csv</w:t>
            </w:r>
          </w:p>
        </w:tc>
        <w:tc>
          <w:tcPr>
            <w:tcW w:w="98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HUGUENOT-NOEL, Robin</w:t>
            </w:r>
          </w:p>
        </w:tc>
      </w:tr>
      <w:tr>
        <w:trPr>
          <w:cantSplit w:val="true"/>
        </w:trPr>
        <w:tc>
          <w:tcPr>
            <w:tcW w:w="98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COD1</w:t>
            </w:r>
          </w:p>
        </w:tc>
        <w:tc>
          <w:tcPr>
            <w:tcW w:w="1279"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Coded as part of the pseudo-anonymization process</w:t>
            </w:r>
          </w:p>
        </w:tc>
        <w:tc>
          <w:tcPr>
            <w:tcW w:w="1274"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lang w:val="fr-CH"/>
              </w:rPr>
              <w:t>R script code</w:t>
            </w:r>
          </w:p>
        </w:tc>
        <w:tc>
          <w:tcPr>
            <w:tcW w:w="142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Self-coded</w:t>
            </w:r>
          </w:p>
        </w:tc>
        <w:tc>
          <w:tcPr>
            <w:tcW w:w="113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.R</w:t>
            </w:r>
          </w:p>
        </w:tc>
        <w:tc>
          <w:tcPr>
            <w:tcW w:w="156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in-code comments</w:t>
            </w:r>
          </w:p>
        </w:tc>
        <w:tc>
          <w:tcPr>
            <w:tcW w:w="127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JUST-CLIP_COD1_YYYYMMDD.R</w:t>
            </w:r>
          </w:p>
        </w:tc>
        <w:tc>
          <w:tcPr>
            <w:tcW w:w="98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HUGUENOT-NOEL, Robin</w:t>
            </w:r>
          </w:p>
        </w:tc>
      </w:tr>
      <w:tr>
        <w:trPr>
          <w:cantSplit w:val="true"/>
        </w:trPr>
        <w:tc>
          <w:tcPr>
            <w:tcW w:w="98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DT2</w:t>
            </w:r>
          </w:p>
        </w:tc>
        <w:tc>
          <w:tcPr>
            <w:tcW w:w="1279"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PRODUCED BY COD1</w:t>
            </w:r>
          </w:p>
        </w:tc>
        <w:tc>
          <w:tcPr>
            <w:tcW w:w="1274"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Data is produced by COD 1 and contain personalized data and a unique identifier</w:t>
            </w:r>
          </w:p>
        </w:tc>
        <w:tc>
          <w:tcPr>
            <w:tcW w:w="142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Self-produced</w:t>
            </w:r>
          </w:p>
        </w:tc>
        <w:tc>
          <w:tcPr>
            <w:tcW w:w="1133"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w:t>
            </w:r>
          </w:p>
        </w:tc>
        <w:tc>
          <w:tcPr>
            <w:tcW w:w="156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commentRangeStart w:id="2"/>
            <w:r>
              <w:rPr>
                <w:i/>
                <w:iCs/>
                <w:sz w:val="18"/>
                <w:szCs w:val="18"/>
              </w:rPr>
              <w:t xml:space="preserve">csv file with email adresses and unique identifier matching unique identifier in DT3. </w:t>
            </w:r>
            <w:commentRangeEnd w:id="2"/>
            <w:r>
              <w:commentReference w:id="2"/>
            </w:r>
            <w:r>
              <w:rPr>
                <w:i/>
                <w:iCs/>
                <w:sz w:val="18"/>
                <w:szCs w:val="18"/>
              </w:rPr>
            </w:r>
          </w:p>
        </w:tc>
        <w:tc>
          <w:tcPr>
            <w:tcW w:w="1278"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JUST-CLIP_DT2_YYYYMMDD.csv</w:t>
            </w:r>
          </w:p>
        </w:tc>
        <w:tc>
          <w:tcPr>
            <w:tcW w:w="98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HUGUENOT-NOEL, Robin</w:t>
            </w:r>
          </w:p>
        </w:tc>
      </w:tr>
      <w:tr>
        <w:trPr>
          <w:cantSplit w:val="true"/>
        </w:trPr>
        <w:tc>
          <w:tcPr>
            <w:tcW w:w="98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COD2</w:t>
            </w:r>
          </w:p>
        </w:tc>
        <w:tc>
          <w:tcPr>
            <w:tcW w:w="1279"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Coded as part of the cleaning process</w:t>
            </w:r>
          </w:p>
        </w:tc>
        <w:tc>
          <w:tcPr>
            <w:tcW w:w="1274"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lang w:val="fr-CH"/>
              </w:rPr>
              <w:t>R script code</w:t>
            </w:r>
          </w:p>
        </w:tc>
        <w:tc>
          <w:tcPr>
            <w:tcW w:w="1420"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Self-coded</w:t>
            </w:r>
          </w:p>
        </w:tc>
        <w:tc>
          <w:tcPr>
            <w:tcW w:w="1133"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.R</w:t>
            </w:r>
          </w:p>
        </w:tc>
        <w:tc>
          <w:tcPr>
            <w:tcW w:w="1560"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in-code comments</w:t>
            </w:r>
          </w:p>
        </w:tc>
        <w:tc>
          <w:tcPr>
            <w:tcW w:w="1278"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JUST-CLIP_COD2_YYYYMMDD.csv</w:t>
            </w:r>
          </w:p>
        </w:tc>
        <w:tc>
          <w:tcPr>
            <w:tcW w:w="98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rPr>
                <w:i/>
                <w:i/>
                <w:iCs/>
                <w:sz w:val="18"/>
                <w:szCs w:val="18"/>
              </w:rPr>
            </w:pPr>
            <w:r>
              <w:rPr>
                <w:i/>
                <w:iCs/>
                <w:sz w:val="18"/>
                <w:szCs w:val="18"/>
              </w:rPr>
              <w:t>HUGUENOT-NOEL, Robin</w:t>
            </w:r>
          </w:p>
          <w:p>
            <w:pPr>
              <w:pStyle w:val="Textintables"/>
              <w:spacing w:before="120" w:after="120"/>
              <w:rPr>
                <w:i/>
                <w:i/>
                <w:iCs/>
                <w:sz w:val="18"/>
                <w:szCs w:val="18"/>
              </w:rPr>
            </w:pPr>
            <w:r>
              <w:rPr>
                <w:i/>
                <w:iCs/>
                <w:sz w:val="18"/>
                <w:szCs w:val="18"/>
              </w:rPr>
            </w:r>
          </w:p>
        </w:tc>
      </w:tr>
      <w:tr>
        <w:trPr>
          <w:cantSplit w:val="true"/>
        </w:trPr>
        <w:tc>
          <w:tcPr>
            <w:tcW w:w="98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DT3</w:t>
            </w:r>
          </w:p>
        </w:tc>
        <w:tc>
          <w:tcPr>
            <w:tcW w:w="1279"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PRODUCED BY COD2</w:t>
            </w:r>
          </w:p>
        </w:tc>
        <w:tc>
          <w:tcPr>
            <w:tcW w:w="1274"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Cleaned and pseudo-anonymized data is produced by COD2 and a unique identifier</w:t>
            </w:r>
          </w:p>
        </w:tc>
        <w:tc>
          <w:tcPr>
            <w:tcW w:w="142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Self-produced</w:t>
            </w:r>
          </w:p>
        </w:tc>
        <w:tc>
          <w:tcPr>
            <w:tcW w:w="1133"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w:t>
            </w:r>
          </w:p>
        </w:tc>
        <w:tc>
          <w:tcPr>
            <w:tcW w:w="156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 file describing variable and their measurement strategy, and the relationship between variables</w:t>
            </w:r>
          </w:p>
        </w:tc>
        <w:tc>
          <w:tcPr>
            <w:tcW w:w="1278"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JUST-CLIP_DT3_YYYYMMDD.csv</w:t>
            </w:r>
          </w:p>
        </w:tc>
        <w:tc>
          <w:tcPr>
            <w:tcW w:w="98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HUGUENOT-NOEL, Robin</w:t>
            </w:r>
          </w:p>
        </w:tc>
      </w:tr>
      <w:tr>
        <w:trPr>
          <w:cantSplit w:val="true"/>
        </w:trPr>
        <w:tc>
          <w:tcPr>
            <w:tcW w:w="98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DT4</w:t>
            </w:r>
          </w:p>
        </w:tc>
        <w:tc>
          <w:tcPr>
            <w:tcW w:w="1279"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PRODUCED MANUALLY</w:t>
            </w:r>
          </w:p>
        </w:tc>
        <w:tc>
          <w:tcPr>
            <w:tcW w:w="1274"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Full anonymization of data DT3. Unique ids (that linked personal data with DT1) and zip codes are deleted</w:t>
            </w:r>
          </w:p>
        </w:tc>
        <w:tc>
          <w:tcPr>
            <w:tcW w:w="142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Self-produced</w:t>
            </w:r>
          </w:p>
        </w:tc>
        <w:tc>
          <w:tcPr>
            <w:tcW w:w="1133"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w:t>
            </w:r>
          </w:p>
        </w:tc>
        <w:tc>
          <w:tcPr>
            <w:tcW w:w="156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 file describing variable and their measurement strategy, and the relationship between variables</w:t>
            </w:r>
          </w:p>
        </w:tc>
        <w:tc>
          <w:tcPr>
            <w:tcW w:w="1278"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JUST-CLIP_DT4_YYYYMMDD.csv</w:t>
            </w:r>
          </w:p>
        </w:tc>
        <w:tc>
          <w:tcPr>
            <w:tcW w:w="98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HUGUENOT-NOEL, Robin</w:t>
            </w:r>
          </w:p>
        </w:tc>
      </w:tr>
    </w:tbl>
    <w:p>
      <w:pPr>
        <w:pStyle w:val="Normal"/>
        <w:rPr/>
      </w:pPr>
      <w:r>
        <w:rPr/>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1"/>
        <w:gridCol w:w="5671"/>
      </w:tblGrid>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P2i [M].</w:t>
            </w:r>
            <w:r>
              <w:rPr>
                <w:color w:val="FF0000"/>
              </w:rPr>
              <w:t xml:space="preserve"> </w:t>
            </w:r>
            <w:r>
              <w:rPr/>
              <w:t>Does any of the dataset contains personal data?</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w:t>
            </w:r>
          </w:p>
        </w:tc>
      </w:tr>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before="120" w:after="120"/>
              <w:rPr>
                <w:sz w:val="18"/>
                <w:szCs w:val="18"/>
              </w:rPr>
            </w:pPr>
            <w:r>
              <w:rPr>
                <w:sz w:val="18"/>
                <w:szCs w:val="18"/>
              </w:rPr>
              <w:t>Specify the dataset(s) containing personal data</w:t>
            </w:r>
          </w:p>
          <w:p>
            <w:pPr>
              <w:pStyle w:val="Textintables"/>
              <w:spacing w:lineRule="auto" w:line="240" w:before="120" w:after="120"/>
              <w:rPr/>
            </w:pPr>
            <w:r>
              <w:rPr>
                <w:i/>
                <w:iCs/>
                <w:sz w:val="16"/>
                <w:szCs w:val="16"/>
              </w:rPr>
              <w:t>Note: ensure Annex 2: Data Protection Analysis is filled out accordingly</w:t>
            </w:r>
            <w:r>
              <w:rPr>
                <w:i/>
                <w:iCs/>
                <w:sz w:val="18"/>
                <w:szCs w:val="18"/>
              </w:rPr>
              <w:t>.</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DT1  AND DT2</w:t>
            </w:r>
          </w:p>
        </w:tc>
      </w:tr>
    </w:tbl>
    <w:p>
      <w:pPr>
        <w:pStyle w:val="Heading2"/>
        <w:rPr/>
      </w:pPr>
      <w:r>
        <w:rPr/>
        <w:t>Understandability of Acquired, Produced, Processed or Coded Data</w:t>
      </w:r>
    </w:p>
    <w:p>
      <w:pPr>
        <w:pStyle w:val="Explaining"/>
        <w:rPr/>
      </w:pPr>
      <w:r>
        <w:rPr/>
        <w:t xml:space="preserve">Describe how you make your datasets understandable for yourself and for others. </w:t>
      </w:r>
      <w:r>
        <w:rPr>
          <w:i/>
        </w:rPr>
        <w:t>Text in italics</w:t>
      </w:r>
      <w:r>
        <w:rPr/>
        <w:t xml:space="preserve"> should be deleted.</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1"/>
        <w:gridCol w:w="5671"/>
      </w:tblGrid>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P2j.[R]</w:t>
            </w:r>
            <w:r>
              <w:rPr>
                <w:color w:val="FF0000"/>
              </w:rPr>
              <w:t xml:space="preserve"> </w:t>
            </w:r>
            <w:r>
              <w:rPr/>
              <w:t>For whom are you collecting</w:t>
            </w:r>
            <w:r>
              <w:rPr>
                <w:vertAlign w:val="superscript"/>
              </w:rPr>
              <w:t>5</w:t>
            </w:r>
            <w:r>
              <w:rPr/>
              <w:t xml:space="preserve"> this data/code?</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The data is collected for the PI and only for research purposes. An anon</w:t>
            </w:r>
            <w:r>
              <w:rPr>
                <w:i/>
                <w:iCs/>
              </w:rPr>
              <w:t>y</w:t>
            </w:r>
            <w:r>
              <w:rPr>
                <w:i/>
                <w:iCs/>
              </w:rPr>
              <w:t>mized version will be shared to the academic community for its reuse.</w:t>
            </w:r>
          </w:p>
        </w:tc>
      </w:tr>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bookmarkStart w:id="2" w:name="RANGE!A3"/>
            <w:r>
              <w:rPr>
                <w:b/>
                <w:bCs/>
                <w:color w:val="FF0000"/>
              </w:rPr>
              <w:t>P2k. [MA]</w:t>
            </w:r>
            <w:r>
              <w:rPr>
                <w:color w:val="FF0000"/>
              </w:rPr>
              <w:t xml:space="preserve"> </w:t>
            </w:r>
            <w:r>
              <w:rPr/>
              <w:t>What documentation do you provide with your data/code for your audience to make data/code understandable for future reuse?</w:t>
            </w:r>
            <w:bookmarkEnd w:id="2"/>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commentRangeStart w:id="3"/>
            <w:r>
              <w:rPr>
                <w:i/>
                <w:iCs/>
              </w:rPr>
              <w:t>The survey instrument will be provided (See Appendix for the survey instrument content)</w:t>
            </w:r>
          </w:p>
          <w:p>
            <w:pPr>
              <w:pStyle w:val="Textintables"/>
              <w:spacing w:before="120" w:after="120"/>
              <w:rPr>
                <w:i/>
                <w:i/>
                <w:iCs/>
              </w:rPr>
            </w:pPr>
            <w:r>
              <w:rPr>
                <w:i/>
                <w:iCs/>
              </w:rPr>
              <w:t>Metadata, in a csv file, will be provided to explain all variables that have been processed through COD1</w:t>
            </w:r>
            <w:commentRangeEnd w:id="3"/>
            <w:r>
              <w:commentReference w:id="3"/>
            </w:r>
            <w:r>
              <w:rPr>
                <w:i/>
                <w:iCs/>
              </w:rPr>
            </w:r>
          </w:p>
        </w:tc>
      </w:tr>
      <w:tr>
        <w:trPr>
          <w:trHeight w:val="20" w:hRule="atLeast"/>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P2l. [R]</w:t>
            </w:r>
            <w:r>
              <w:rPr>
                <w:color w:val="FF0000"/>
              </w:rPr>
              <w:t xml:space="preserve"> </w:t>
            </w:r>
            <w:r>
              <w:rPr/>
              <w:t>How will you ensure the quality of your data/code?</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commentRangeStart w:id="4"/>
            <w:r>
              <w:rPr>
                <w:i/>
                <w:iCs/>
              </w:rPr>
              <w:t>The survey instrument is being assessed by key experts in the field.</w:t>
            </w:r>
            <w:commentRangeEnd w:id="4"/>
            <w:r>
              <w:commentReference w:id="4"/>
            </w:r>
            <w:r>
              <w:rPr>
                <w:i/>
                <w:iCs/>
              </w:rPr>
            </w:r>
          </w:p>
        </w:tc>
      </w:tr>
    </w:tbl>
    <w:p>
      <w:pPr>
        <w:pStyle w:val="Normal"/>
        <w:rPr>
          <w:sz w:val="2"/>
          <w:szCs w:val="2"/>
        </w:rPr>
      </w:pPr>
      <w:r>
        <w:rPr>
          <w:sz w:val="2"/>
          <w:szCs w:val="2"/>
        </w:rPr>
      </w:r>
      <w:r>
        <w:br w:type="page"/>
      </w:r>
    </w:p>
    <w:p>
      <w:pPr>
        <w:pStyle w:val="Heading1"/>
        <w:spacing w:before="0" w:after="160"/>
        <w:rPr/>
      </w:pPr>
      <w:bookmarkStart w:id="3" w:name="_Toc185095992"/>
      <w:r>
        <w:rPr>
          <w:color w:val="FF0000"/>
        </w:rPr>
        <w:t xml:space="preserve">Part 3. </w:t>
      </w:r>
      <w:r>
        <w:rPr/>
        <w:t>Data &amp; Code Storage or Management Infrastructure</w:t>
      </w:r>
      <w:bookmarkEnd w:id="3"/>
    </w:p>
    <w:p>
      <w:pPr>
        <w:pStyle w:val="Normal"/>
        <w:rPr/>
      </w:pPr>
      <w:r>
        <w:rPr>
          <w:color w:val="000000"/>
        </w:rPr>
        <w:t xml:space="preserve">For column </w:t>
      </w:r>
      <w:r>
        <w:rPr>
          <w:i/>
          <w:iCs/>
          <w:color w:val="000000"/>
        </w:rPr>
        <w:t>P3g</w:t>
      </w:r>
      <w:r>
        <w:rPr>
          <w:color w:val="000000"/>
        </w:rPr>
        <w:t xml:space="preserve">, refer </w:t>
      </w:r>
      <w:r>
        <w:rPr>
          <w:iCs/>
          <w:color w:val="000000"/>
        </w:rPr>
        <w:t xml:space="preserve">to the </w:t>
      </w:r>
      <w:r>
        <w:rPr/>
        <w:t xml:space="preserve">dataset identifiers # in </w:t>
      </w:r>
      <w:r>
        <w:rPr>
          <w:i/>
          <w:iCs/>
        </w:rPr>
        <w:t>P2a</w:t>
      </w:r>
      <w:r>
        <w:rPr/>
        <w:t xml:space="preserve"> when discussing the same data or code. Add new rows as necessary. </w:t>
      </w:r>
      <w:r>
        <w:rPr>
          <w:i/>
        </w:rPr>
        <w:t>Text in italics</w:t>
      </w:r>
      <w:r>
        <w:rPr/>
        <w:t xml:space="preserve"> should be deleted.</w:t>
      </w:r>
    </w:p>
    <w:tbl>
      <w:tblPr>
        <w:tblW w:w="9911"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1098"/>
        <w:gridCol w:w="1416"/>
        <w:gridCol w:w="1415"/>
        <w:gridCol w:w="1452"/>
        <w:gridCol w:w="1383"/>
        <w:gridCol w:w="1731"/>
        <w:gridCol w:w="1415"/>
      </w:tblGrid>
      <w:tr>
        <w:trPr>
          <w:cantSplit w:val="true"/>
        </w:trPr>
        <w:tc>
          <w:tcPr>
            <w:tcW w:w="1098"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P3a. [M]</w:t>
            </w:r>
            <w:r>
              <w:rPr>
                <w:sz w:val="18"/>
                <w:szCs w:val="18"/>
              </w:rPr>
              <w:br/>
              <w:t>Storage or management system</w:t>
            </w:r>
          </w:p>
        </w:tc>
        <w:tc>
          <w:tcPr>
            <w:tcW w:w="141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P3b. [M]</w:t>
            </w:r>
            <w:r>
              <w:rPr>
                <w:sz w:val="18"/>
                <w:szCs w:val="18"/>
              </w:rPr>
              <w:br/>
              <w:t>Role of system</w:t>
            </w:r>
          </w:p>
        </w:tc>
        <w:tc>
          <w:tcPr>
            <w:tcW w:w="141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P3c. [M]</w:t>
            </w:r>
            <w:r>
              <w:rPr>
                <w:sz w:val="18"/>
                <w:szCs w:val="18"/>
              </w:rPr>
              <w:br/>
              <w:t>Backup strategy</w:t>
            </w:r>
          </w:p>
        </w:tc>
        <w:tc>
          <w:tcPr>
            <w:tcW w:w="145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P3d. [M]</w:t>
            </w:r>
            <w:r>
              <w:rPr>
                <w:sz w:val="18"/>
                <w:szCs w:val="18"/>
              </w:rPr>
              <w:br/>
              <w:t>System provider(s)</w:t>
            </w:r>
          </w:p>
        </w:tc>
        <w:tc>
          <w:tcPr>
            <w:tcW w:w="1383"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P3e. [M]</w:t>
            </w:r>
            <w:r>
              <w:rPr>
                <w:sz w:val="18"/>
                <w:szCs w:val="18"/>
              </w:rPr>
              <w:br/>
              <w:t>Access rights management</w:t>
            </w:r>
          </w:p>
        </w:tc>
        <w:tc>
          <w:tcPr>
            <w:tcW w:w="173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P3f. [M]</w:t>
            </w:r>
            <w:r>
              <w:rPr>
                <w:sz w:val="18"/>
                <w:szCs w:val="18"/>
              </w:rPr>
              <w:br/>
              <w:t>Estimated</w:t>
              <w:br/>
              <w:t>size of dataset</w:t>
            </w:r>
          </w:p>
        </w:tc>
        <w:tc>
          <w:tcPr>
            <w:tcW w:w="141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P3g. [MA]</w:t>
            </w:r>
            <w:r>
              <w:rPr>
                <w:sz w:val="18"/>
                <w:szCs w:val="18"/>
              </w:rPr>
              <w:br/>
              <w:t>Associated datasets (# from P2a)</w:t>
            </w:r>
          </w:p>
        </w:tc>
      </w:tr>
      <w:tr>
        <w:trPr>
          <w:cantSplit w:val="true"/>
        </w:trPr>
        <w:tc>
          <w:tcPr>
            <w:tcW w:w="109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Qualtrics Management System</w:t>
            </w:r>
          </w:p>
        </w:tc>
        <w:tc>
          <w:tcPr>
            <w:tcW w:w="141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Storing raw data</w:t>
            </w:r>
          </w:p>
        </w:tc>
        <w:tc>
          <w:tcPr>
            <w:tcW w:w="141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Every two weeks, raw data are downloaded and processed manually. The raw data are immediately processed and deleted after the process</w:t>
            </w:r>
            <w:r>
              <w:rPr>
                <w:i/>
                <w:iCs/>
                <w:sz w:val="18"/>
                <w:szCs w:val="18"/>
              </w:rPr>
              <w:t>ing</w:t>
            </w:r>
            <w:r>
              <w:rPr>
                <w:i/>
                <w:iCs/>
                <w:sz w:val="18"/>
                <w:szCs w:val="18"/>
              </w:rPr>
              <w:t xml:space="preserve"> is done.</w:t>
            </w:r>
          </w:p>
        </w:tc>
        <w:tc>
          <w:tcPr>
            <w:tcW w:w="14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Manufacturer hosted</w:t>
            </w:r>
          </w:p>
        </w:tc>
        <w:tc>
          <w:tcPr>
            <w:tcW w:w="138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Via user authentication on qualtrics app. They hold strict privacy policy in compliance with GDPR and specific policy for Agreement breaches (</w:t>
            </w:r>
            <w:hyperlink r:id="rId10">
              <w:r>
                <w:rPr>
                  <w:rStyle w:val="ListLabel22"/>
                  <w:i/>
                  <w:iCs/>
                  <w:color w:val="0563C1"/>
                  <w:sz w:val="18"/>
                  <w:szCs w:val="18"/>
                  <w:u w:val="single"/>
                </w:rPr>
                <w:t>https://success.qualtrics.com/rs/542-FMF-412/images/Qualtrics%20GTC%20DPA%20%28for%20Online%29%20Template%20250523-MJR.pdf?version=0</w:t>
              </w:r>
            </w:hyperlink>
            <w:r>
              <w:rPr>
                <w:i/>
                <w:iCs/>
                <w:sz w:val="18"/>
                <w:szCs w:val="18"/>
              </w:rPr>
              <w:t>)</w:t>
            </w:r>
          </w:p>
        </w:tc>
        <w:tc>
          <w:tcPr>
            <w:tcW w:w="173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Around 100Mo</w:t>
            </w:r>
          </w:p>
        </w:tc>
        <w:tc>
          <w:tcPr>
            <w:tcW w:w="141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DT1</w:t>
            </w:r>
          </w:p>
        </w:tc>
      </w:tr>
      <w:tr>
        <w:trPr>
          <w:cantSplit w:val="true"/>
        </w:trPr>
        <w:tc>
          <w:tcPr>
            <w:tcW w:w="109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EPFL’s NAS</w:t>
            </w:r>
          </w:p>
        </w:tc>
        <w:tc>
          <w:tcPr>
            <w:tcW w:w="141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Data processing, Versioning, Storing, Collaboration,</w:t>
            </w:r>
          </w:p>
        </w:tc>
        <w:tc>
          <w:tcPr>
            <w:tcW w:w="1415"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sz w:val="18"/>
                <w:szCs w:val="18"/>
              </w:rPr>
              <w:t>Native backup and snapshot process of the EPFL’s NAS,</w:t>
              <w:br/>
              <w:t>PI computers and encrypted/password protected hardware</w:t>
            </w:r>
          </w:p>
        </w:tc>
        <w:tc>
          <w:tcPr>
            <w:tcW w:w="14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EPFL’s NAS</w:t>
            </w:r>
          </w:p>
        </w:tc>
        <w:tc>
          <w:tcPr>
            <w:tcW w:w="138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Native access rights management provided by the EPFL’s NAS based on GASPAR authentication dependent of the project.</w:t>
            </w:r>
          </w:p>
        </w:tc>
        <w:tc>
          <w:tcPr>
            <w:tcW w:w="173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Around 100 Mo</w:t>
            </w:r>
          </w:p>
        </w:tc>
        <w:tc>
          <w:tcPr>
            <w:tcW w:w="141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DT2, 3, and 4</w:t>
            </w:r>
          </w:p>
          <w:p>
            <w:pPr>
              <w:pStyle w:val="Textintables"/>
              <w:spacing w:before="120" w:after="120"/>
              <w:rPr>
                <w:i/>
                <w:i/>
                <w:iCs/>
                <w:sz w:val="18"/>
                <w:szCs w:val="18"/>
              </w:rPr>
            </w:pPr>
            <w:r>
              <w:rPr>
                <w:i/>
                <w:iCs/>
                <w:sz w:val="18"/>
                <w:szCs w:val="18"/>
              </w:rPr>
              <w:t>COD1 and 2</w:t>
            </w:r>
          </w:p>
        </w:tc>
      </w:tr>
    </w:tbl>
    <w:p>
      <w:pPr>
        <w:pStyle w:val="Normal"/>
        <w:rPr/>
      </w:pPr>
      <w:r>
        <w:rPr/>
      </w:r>
      <w:r>
        <w:br w:type="page"/>
      </w:r>
    </w:p>
    <w:p>
      <w:pPr>
        <w:pStyle w:val="Normal"/>
        <w:spacing w:before="0" w:after="160"/>
        <w:rPr>
          <w:sz w:val="2"/>
          <w:szCs w:val="2"/>
        </w:rPr>
      </w:pPr>
      <w:r>
        <w:rPr>
          <w:sz w:val="2"/>
          <w:szCs w:val="2"/>
        </w:rPr>
      </w:r>
    </w:p>
    <w:p>
      <w:pPr>
        <w:pStyle w:val="Heading1"/>
        <w:rPr/>
      </w:pPr>
      <w:bookmarkStart w:id="4" w:name="_Toc185095993"/>
      <w:r>
        <w:rPr>
          <w:color w:val="FF0000"/>
        </w:rPr>
        <w:t xml:space="preserve">Part 4. </w:t>
      </w:r>
      <w:r>
        <w:rPr/>
        <w:t>Data &amp; Code Long Term Preservation</w:t>
      </w:r>
      <w:r>
        <w:rPr>
          <w:rStyle w:val="FootnoteReference"/>
        </w:rPr>
        <w:footnoteReference w:id="7"/>
      </w:r>
      <w:bookmarkEnd w:id="4"/>
    </w:p>
    <w:p>
      <w:pPr>
        <w:pStyle w:val="Normal"/>
        <w:rPr/>
      </w:pPr>
      <w:r>
        <w:rPr/>
        <w:t xml:space="preserve">It is expected that the preservation for all datasets of </w:t>
      </w:r>
      <w:r>
        <w:rPr>
          <w:i/>
          <w:iCs/>
        </w:rPr>
        <w:t>Part 2</w:t>
      </w:r>
      <w:r>
        <w:rPr/>
        <w:t xml:space="preserve"> is discussed here. For column </w:t>
      </w:r>
      <w:r>
        <w:rPr>
          <w:i/>
          <w:iCs/>
        </w:rPr>
        <w:t>P4a</w:t>
      </w:r>
      <w:r>
        <w:rPr/>
        <w:t xml:space="preserve">, use all and the same identifiers # as in </w:t>
      </w:r>
      <w:r>
        <w:rPr>
          <w:i/>
          <w:iCs/>
        </w:rPr>
        <w:t>P2a</w:t>
      </w:r>
      <w:r>
        <w:rPr/>
        <w:t>.</w:t>
      </w:r>
    </w:p>
    <w:tbl>
      <w:tblPr>
        <w:tblW w:w="9918"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1128"/>
        <w:gridCol w:w="1137"/>
        <w:gridCol w:w="1274"/>
        <w:gridCol w:w="1279"/>
        <w:gridCol w:w="1417"/>
        <w:gridCol w:w="1417"/>
        <w:gridCol w:w="1278"/>
        <w:gridCol w:w="986"/>
      </w:tblGrid>
      <w:tr>
        <w:trPr>
          <w:cantSplit w:val="true"/>
        </w:trPr>
        <w:tc>
          <w:tcPr>
            <w:tcW w:w="1128"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P4a. [MA]</w:t>
            </w:r>
            <w:r>
              <w:rPr>
                <w:sz w:val="18"/>
                <w:szCs w:val="18"/>
              </w:rPr>
              <w:br/>
              <w:t># (same as P2a.)</w:t>
            </w:r>
          </w:p>
        </w:tc>
        <w:tc>
          <w:tcPr>
            <w:tcW w:w="113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P4b. [M]</w:t>
            </w:r>
            <w:r>
              <w:rPr>
                <w:sz w:val="18"/>
                <w:szCs w:val="18"/>
              </w:rPr>
              <w:br/>
              <w:t>What will be preserved?</w:t>
            </w:r>
          </w:p>
        </w:tc>
        <w:tc>
          <w:tcPr>
            <w:tcW w:w="1274"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P4c. [M]</w:t>
            </w:r>
            <w:r>
              <w:rPr>
                <w:sz w:val="18"/>
                <w:szCs w:val="18"/>
              </w:rPr>
              <w:br/>
              <w:t>Preservation purpose</w:t>
            </w:r>
          </w:p>
        </w:tc>
        <w:tc>
          <w:tcPr>
            <w:tcW w:w="1279"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P4d. [M]</w:t>
            </w:r>
            <w:r>
              <w:rPr>
                <w:sz w:val="18"/>
                <w:szCs w:val="18"/>
              </w:rPr>
              <w:br/>
              <w:t>Retention Period</w:t>
            </w:r>
          </w:p>
        </w:tc>
        <w:tc>
          <w:tcPr>
            <w:tcW w:w="141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P4e. [M]</w:t>
            </w:r>
            <w:r>
              <w:rPr>
                <w:sz w:val="18"/>
                <w:szCs w:val="18"/>
              </w:rPr>
              <w:br/>
              <w:t>Deletion process of the preserved data</w:t>
            </w:r>
          </w:p>
        </w:tc>
        <w:tc>
          <w:tcPr>
            <w:tcW w:w="141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P4f. [MA]</w:t>
            </w:r>
            <w:r>
              <w:rPr>
                <w:sz w:val="18"/>
                <w:szCs w:val="18"/>
              </w:rPr>
              <w:br/>
              <w:t>Preservation infrastructure</w:t>
            </w:r>
          </w:p>
        </w:tc>
        <w:tc>
          <w:tcPr>
            <w:tcW w:w="1278"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P4g. [R]</w:t>
            </w:r>
            <w:r>
              <w:rPr>
                <w:sz w:val="18"/>
                <w:szCs w:val="18"/>
              </w:rPr>
              <w:br/>
              <w:t>When/How often will preservation be done?</w:t>
            </w:r>
          </w:p>
        </w:tc>
        <w:tc>
          <w:tcPr>
            <w:tcW w:w="98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P4h. [M]</w:t>
            </w:r>
            <w:r>
              <w:rPr>
                <w:sz w:val="18"/>
                <w:szCs w:val="18"/>
              </w:rPr>
              <w:br/>
              <w:t>Person in charge</w:t>
            </w:r>
          </w:p>
        </w:tc>
      </w:tr>
      <w:tr>
        <w:trPr>
          <w:cantSplit w:val="true"/>
        </w:trPr>
        <w:tc>
          <w:tcPr>
            <w:tcW w:w="112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DT4</w:t>
            </w:r>
          </w:p>
        </w:tc>
        <w:tc>
          <w:tcPr>
            <w:tcW w:w="113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Full anonymized dataset</w:t>
            </w:r>
          </w:p>
        </w:tc>
        <w:tc>
          <w:tcPr>
            <w:tcW w:w="1274"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Sharing with the research community: transparency and reproducibility</w:t>
            </w:r>
          </w:p>
        </w:tc>
        <w:tc>
          <w:tcPr>
            <w:tcW w:w="1279"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 xml:space="preserve"> </w:t>
            </w:r>
            <w:r>
              <w:rPr>
                <w:i/>
                <w:iCs/>
                <w:sz w:val="18"/>
                <w:szCs w:val="18"/>
              </w:rPr>
              <w:t>Indefinetely (subject to OSF terms of service)</w:t>
            </w:r>
          </w:p>
        </w:tc>
        <w:tc>
          <w:tcPr>
            <w:tcW w:w="141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None</w:t>
            </w:r>
          </w:p>
        </w:tc>
        <w:tc>
          <w:tcPr>
            <w:tcW w:w="141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lang w:val="it-IT"/>
              </w:rPr>
            </w:pPr>
            <w:r>
              <w:rPr>
                <w:i/>
                <w:iCs/>
                <w:sz w:val="18"/>
                <w:szCs w:val="18"/>
                <w:lang w:val="it-IT"/>
              </w:rPr>
              <w:t>OSF Platform</w:t>
            </w:r>
          </w:p>
        </w:tc>
        <w:tc>
          <w:tcPr>
            <w:tcW w:w="127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Once, at publication stage</w:t>
            </w:r>
          </w:p>
        </w:tc>
        <w:tc>
          <w:tcPr>
            <w:tcW w:w="98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HUEGUENOT-NOEL, Robin</w:t>
            </w:r>
          </w:p>
        </w:tc>
      </w:tr>
    </w:tbl>
    <w:p>
      <w:pPr>
        <w:pStyle w:val="Normal"/>
        <w:rPr/>
      </w:pPr>
      <w:r>
        <w:rPr/>
      </w:r>
    </w:p>
    <w:p>
      <w:pPr>
        <w:pStyle w:val="Heading2"/>
        <w:rPr/>
      </w:pPr>
      <w:r>
        <w:rPr>
          <w:color w:val="FF0000"/>
        </w:rPr>
        <w:t xml:space="preserve">[R] </w:t>
      </w:r>
      <w:r>
        <w:rPr/>
        <w:t>How is preservation achieved</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1"/>
        <w:gridCol w:w="5671"/>
      </w:tblGrid>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P4i.</w:t>
            </w:r>
            <w:r>
              <w:rPr>
                <w:color w:val="000000"/>
              </w:rPr>
              <w:t xml:space="preserve"> What data curation process(es) need(s) to be applied to your data/code (whether it will be published or not) to make them reusable in the long run?</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xamplesChar"/>
                <w:i w:val="false"/>
                <w:iCs/>
              </w:rPr>
              <w:t>Metadata</w:t>
            </w:r>
            <w:r>
              <w:rPr>
                <w:i/>
                <w:iCs/>
              </w:rPr>
              <w:t xml:space="preserve"> improvement and full anonymization of the dataset</w:t>
            </w:r>
          </w:p>
        </w:tc>
      </w:tr>
    </w:tbl>
    <w:p>
      <w:pPr>
        <w:pStyle w:val="Normal"/>
        <w:rPr/>
      </w:pPr>
      <w:r>
        <w:rPr/>
      </w:r>
      <w:r>
        <w:br w:type="page"/>
      </w:r>
    </w:p>
    <w:p>
      <w:pPr>
        <w:pStyle w:val="Normal"/>
        <w:spacing w:before="0" w:after="160"/>
        <w:rPr>
          <w:sz w:val="2"/>
          <w:szCs w:val="2"/>
        </w:rPr>
      </w:pPr>
      <w:r>
        <w:rPr>
          <w:sz w:val="2"/>
          <w:szCs w:val="2"/>
        </w:rPr>
      </w:r>
    </w:p>
    <w:p>
      <w:pPr>
        <w:pStyle w:val="Heading1"/>
        <w:rPr/>
      </w:pPr>
      <w:bookmarkStart w:id="5" w:name="_Toc185095994"/>
      <w:r>
        <w:rPr>
          <w:color w:val="FF0000"/>
        </w:rPr>
        <w:t xml:space="preserve">Annex 1. </w:t>
      </w:r>
      <w:r>
        <w:rPr/>
        <w:t>Open Research Data &amp; Code (ORD)</w:t>
      </w:r>
      <w:bookmarkEnd w:id="5"/>
    </w:p>
    <w:p>
      <w:pPr>
        <w:pStyle w:val="Normal"/>
        <w:rPr/>
      </w:pPr>
      <w:r>
        <w:rPr/>
        <w:t>Use this part when datasets are disseminated</w:t>
      </w:r>
      <w:r>
        <w:rPr>
          <w:rStyle w:val="FootnoteReference"/>
        </w:rPr>
        <w:footnoteReference w:id="8"/>
      </w:r>
      <w:r>
        <w:rPr/>
        <w:t xml:space="preserve"> in a publicly findable platform or repository</w:t>
      </w:r>
      <w:r>
        <w:rPr>
          <w:rStyle w:val="FootnoteReference"/>
        </w:rPr>
        <w:footnoteReference w:id="9"/>
      </w:r>
      <w:r>
        <w:rPr/>
        <w:t>. The EPFL recommends following the principle that “Data should be as open as possible, as restricted as necessary” (Karel Luyben, President EOSC Association).</w:t>
      </w:r>
    </w:p>
    <w:p>
      <w:pPr>
        <w:pStyle w:val="Heading2"/>
        <w:rPr/>
      </w:pPr>
      <w:r>
        <w:rPr>
          <w:color w:val="FF0000"/>
        </w:rPr>
        <w:t xml:space="preserve">[M] </w:t>
      </w:r>
      <w:r>
        <w:rPr/>
        <w:t>Intended Purpose of Opening Up the Datasets</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1"/>
        <w:gridCol w:w="5671"/>
      </w:tblGrid>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A1a.</w:t>
            </w:r>
            <w:r>
              <w:rPr>
                <w:color w:val="000000"/>
              </w:rPr>
              <w:t xml:space="preserve"> What is the intended purpose of opening your data/code?</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Anonamyzed dataset will be publicly available for non-commercial purposes for transparency, and reproducibility of research practices.</w:t>
            </w:r>
          </w:p>
        </w:tc>
      </w:tr>
    </w:tbl>
    <w:p>
      <w:pPr>
        <w:pStyle w:val="Normal"/>
        <w:rPr/>
      </w:pPr>
      <w:r>
        <w:rPr/>
      </w:r>
    </w:p>
    <w:p>
      <w:pPr>
        <w:pStyle w:val="Heading2"/>
        <w:rPr/>
      </w:pPr>
      <w:r>
        <w:rPr/>
        <w:t>List of All Datasets (Data and Code) That Will Be Opened, Where and How</w:t>
      </w:r>
    </w:p>
    <w:p>
      <w:pPr>
        <w:pStyle w:val="Normal"/>
        <w:rPr/>
      </w:pPr>
      <w:r>
        <w:rPr/>
        <w:t xml:space="preserve">For column </w:t>
      </w:r>
      <w:r>
        <w:rPr>
          <w:i/>
          <w:iCs/>
        </w:rPr>
        <w:t>A1b</w:t>
      </w:r>
      <w:r>
        <w:rPr/>
        <w:t xml:space="preserve">, use all and the same identifiers # as in </w:t>
      </w:r>
      <w:r>
        <w:rPr>
          <w:i/>
          <w:iCs/>
        </w:rPr>
        <w:t>P2a</w:t>
      </w:r>
      <w:r>
        <w:rPr/>
        <w:t>.</w:t>
      </w:r>
    </w:p>
    <w:tbl>
      <w:tblPr>
        <w:tblW w:w="9911"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1270"/>
        <w:gridCol w:w="1028"/>
        <w:gridCol w:w="1125"/>
        <w:gridCol w:w="1426"/>
        <w:gridCol w:w="1857"/>
        <w:gridCol w:w="1352"/>
        <w:gridCol w:w="1852"/>
      </w:tblGrid>
      <w:tr>
        <w:trPr>
          <w:cantSplit w:val="true"/>
        </w:trPr>
        <w:tc>
          <w:tcPr>
            <w:tcW w:w="127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A1b. [MA]</w:t>
            </w:r>
            <w:r>
              <w:rPr>
                <w:color w:val="FF0000"/>
              </w:rPr>
              <w:br/>
            </w:r>
            <w:r>
              <w:rPr/>
              <w:t xml:space="preserve">Associated datasets </w:t>
              <w:br/>
              <w:t>(# from P2a)</w:t>
            </w:r>
          </w:p>
        </w:tc>
        <w:tc>
          <w:tcPr>
            <w:tcW w:w="1028"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A1c. [M]</w:t>
            </w:r>
            <w:r>
              <w:rPr>
                <w:b/>
                <w:bCs/>
              </w:rPr>
              <w:br/>
            </w:r>
            <w:r>
              <w:rPr/>
              <w:t>Title</w:t>
            </w:r>
          </w:p>
        </w:tc>
        <w:tc>
          <w:tcPr>
            <w:tcW w:w="112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A1d. [M]</w:t>
            </w:r>
            <w:r>
              <w:rPr/>
              <w:br/>
              <w:t>Author(s)</w:t>
            </w:r>
          </w:p>
        </w:tc>
        <w:tc>
          <w:tcPr>
            <w:tcW w:w="142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A1e. [M]</w:t>
            </w:r>
            <w:r>
              <w:rPr/>
              <w:br/>
              <w:t>Type/Formats</w:t>
            </w:r>
          </w:p>
        </w:tc>
        <w:tc>
          <w:tcPr>
            <w:tcW w:w="185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A1f. [M]</w:t>
            </w:r>
            <w:r>
              <w:rPr/>
              <w:br/>
              <w:t>Repository/Platform</w:t>
            </w:r>
          </w:p>
        </w:tc>
        <w:tc>
          <w:tcPr>
            <w:tcW w:w="135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A1g. [M]</w:t>
            </w:r>
            <w:r>
              <w:rPr/>
              <w:br/>
              <w:t>License</w:t>
            </w:r>
          </w:p>
        </w:tc>
        <w:tc>
          <w:tcPr>
            <w:tcW w:w="185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A1h. [MA]</w:t>
            </w:r>
            <w:r>
              <w:rPr>
                <w:sz w:val="18"/>
                <w:szCs w:val="18"/>
              </w:rPr>
              <w:br/>
              <w:t>Anonymization process</w:t>
            </w:r>
            <w:r>
              <w:rPr>
                <w:rStyle w:val="FootnoteReference"/>
                <w:sz w:val="18"/>
                <w:szCs w:val="18"/>
              </w:rPr>
              <w:footnoteReference w:id="10"/>
            </w:r>
            <w:r>
              <w:rPr>
                <w:sz w:val="18"/>
                <w:szCs w:val="18"/>
              </w:rPr>
              <w:t>, if necessary</w:t>
            </w:r>
          </w:p>
        </w:tc>
      </w:tr>
      <w:tr>
        <w:trPr>
          <w:cantSplit w:val="true"/>
        </w:trPr>
        <w:tc>
          <w:tcPr>
            <w:tcW w:w="12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sz w:val="18"/>
                <w:szCs w:val="18"/>
              </w:rPr>
              <w:t>DT4</w:t>
            </w:r>
          </w:p>
          <w:p>
            <w:pPr>
              <w:pStyle w:val="Textintables"/>
              <w:rPr/>
            </w:pPr>
            <w:r>
              <w:rPr/>
            </w:r>
          </w:p>
          <w:p>
            <w:pPr>
              <w:pStyle w:val="Textintables"/>
              <w:spacing w:lineRule="auto" w:line="240" w:before="120" w:after="120"/>
              <w:rPr/>
            </w:pPr>
            <w:r>
              <w:rPr/>
            </w:r>
          </w:p>
        </w:tc>
        <w:tc>
          <w:tcPr>
            <w:tcW w:w="102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r>
              <w:rPr>
                <w:sz w:val="18"/>
                <w:szCs w:val="18"/>
              </w:rPr>
              <w:t>Just Transition Policies Packages, Unions, and Workers Support</w:t>
            </w:r>
          </w:p>
        </w:tc>
        <w:tc>
          <w:tcPr>
            <w:tcW w:w="112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HUGUENOT-NOEL, Robin</w:t>
            </w:r>
          </w:p>
        </w:tc>
        <w:tc>
          <w:tcPr>
            <w:tcW w:w="142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r>
              <w:rPr>
                <w:sz w:val="18"/>
                <w:szCs w:val="18"/>
              </w:rPr>
              <w:t>.csv</w:t>
            </w:r>
          </w:p>
        </w:tc>
        <w:tc>
          <w:tcPr>
            <w:tcW w:w="185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commentRangeStart w:id="5"/>
            <w:r>
              <w:rPr>
                <w:sz w:val="18"/>
                <w:szCs w:val="18"/>
              </w:rPr>
              <w:t>OSF Platform</w:t>
            </w:r>
            <w:commentRangeEnd w:id="5"/>
            <w:r>
              <w:commentReference w:id="5"/>
            </w:r>
            <w:r>
              <w:rPr>
                <w:sz w:val="18"/>
                <w:szCs w:val="18"/>
              </w:rPr>
            </w:r>
          </w:p>
        </w:tc>
        <w:tc>
          <w:tcPr>
            <w:tcW w:w="13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commentRangeStart w:id="6"/>
            <w:r>
              <w:rPr>
                <w:sz w:val="18"/>
                <w:szCs w:val="18"/>
              </w:rPr>
              <w:t>CC BY-NC 4.0</w:t>
            </w:r>
          </w:p>
          <w:p>
            <w:pPr>
              <w:pStyle w:val="Textintables"/>
              <w:spacing w:before="120" w:after="120"/>
              <w:rPr>
                <w:sz w:val="18"/>
                <w:szCs w:val="18"/>
              </w:rPr>
            </w:pPr>
            <w:r>
              <w:rPr>
                <w:sz w:val="18"/>
                <w:szCs w:val="18"/>
              </w:rPr>
              <w:t>Creative Commons Attribution-NonCommercial 4.0 International</w:t>
            </w:r>
            <w:commentRangeEnd w:id="6"/>
            <w:r>
              <w:commentReference w:id="6"/>
            </w:r>
            <w:r>
              <w:rPr>
                <w:sz w:val="18"/>
                <w:szCs w:val="18"/>
              </w:rPr>
            </w:r>
          </w:p>
        </w:tc>
        <w:tc>
          <w:tcPr>
            <w:tcW w:w="18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commentRangeStart w:id="7"/>
            <w:r>
              <w:rPr>
                <w:sz w:val="18"/>
                <w:szCs w:val="18"/>
              </w:rPr>
              <w:t>All directs and non-direct identifiers will be removed from DT1 and DT2 datasets to produce DT4 that will be fully anonymized by this process.</w:t>
            </w:r>
            <w:r>
              <w:rPr>
                <w:sz w:val="18"/>
                <w:szCs w:val="18"/>
              </w:rPr>
            </w:r>
            <w:commentRangeEnd w:id="7"/>
            <w:r>
              <w:commentReference w:id="7"/>
            </w:r>
            <w:r>
              <w:rPr>
                <w:sz w:val="18"/>
                <w:szCs w:val="18"/>
              </w:rPr>
              <w:t>Zip codes will be removed,</w:t>
            </w:r>
          </w:p>
        </w:tc>
      </w:tr>
    </w:tbl>
    <w:p>
      <w:pPr>
        <w:pStyle w:val="Normal"/>
        <w:rPr/>
      </w:pPr>
      <w:r>
        <w:rPr/>
      </w:r>
    </w:p>
    <w:p>
      <w:pPr>
        <w:pStyle w:val="Heading2"/>
        <w:rPr/>
      </w:pPr>
      <w:r>
        <w:rPr>
          <w:color w:val="FF0000"/>
        </w:rPr>
        <w:t xml:space="preserve">[R] </w:t>
      </w:r>
      <w:r>
        <w:rPr/>
        <w:t>Engaging the Research Community in Reusing your Dataset(s)</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1"/>
        <w:gridCol w:w="5671"/>
      </w:tblGrid>
      <w:tr>
        <w:trPr>
          <w:cantSplit w:val="true"/>
        </w:trPr>
        <w:tc>
          <w:tcPr>
            <w:tcW w:w="4241"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A1i.</w:t>
            </w:r>
            <w:r>
              <w:rPr>
                <w:color w:val="000000"/>
              </w:rPr>
              <w:t xml:space="preserve"> What actions (if any) do you plan to promote or facilitate the reuse of published open data?</w:t>
            </w:r>
          </w:p>
        </w:tc>
        <w:tc>
          <w:tcPr>
            <w:tcW w:w="5671"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 xml:space="preserve">The underlying dataset is published with meta-data once the dataset is </w:t>
            </w:r>
            <w:r>
              <w:rPr>
                <w:b/>
                <w:bCs/>
                <w:i/>
                <w:iCs/>
                <w:szCs w:val="22"/>
                <w:u w:val="single"/>
              </w:rPr>
              <w:t>fully anonymized</w:t>
            </w:r>
            <w:r>
              <w:rPr>
                <w:i/>
                <w:iCs/>
                <w:szCs w:val="22"/>
              </w:rPr>
              <w:t>.</w:t>
            </w:r>
          </w:p>
          <w:p>
            <w:pPr>
              <w:pStyle w:val="Textintables"/>
              <w:spacing w:before="120" w:after="120"/>
              <w:rPr>
                <w:lang w:val="en-FR"/>
              </w:rPr>
            </w:pPr>
            <w:r>
              <w:rPr/>
              <w:t xml:space="preserve">To promote the reuse of published open data, we will deposit datasets and code on OSF Platform, which supports the FAIR principles and increases visibility through indexing and search APIs. It issues DOI, supports metadata and supports GitHub integrations for adequate data &amp; code reproducibility. All materials will be shared under a </w:t>
            </w:r>
            <w:r>
              <w:rPr>
                <w:b/>
                <w:bCs/>
              </w:rPr>
              <w:t xml:space="preserve">CC BY-NC 4.0 license </w:t>
            </w:r>
            <w:r>
              <w:rPr/>
              <w:t xml:space="preserve">to to allow reuse with attribution while restricting commercial exploitation. </w:t>
            </w:r>
            <w:r>
              <w:rPr>
                <w:lang w:val="en-FR"/>
              </w:rPr>
              <w:t>This restriction ensures that the outputs are used primarily for academic and public-interest purposes, aligning with the ethical use of sensitive or publicly funded data.</w:t>
            </w:r>
            <w:r>
              <w:rPr/>
              <w:t xml:space="preserve"> In addition, we plan to share data availability on platforms like LinkedIn to highlight its relevance and potential applications. We will provide clear documentation and usage guides to support accessibility and encourage collaborations and discussions to foster further reuse and improvement.</w:t>
            </w:r>
          </w:p>
        </w:tc>
      </w:tr>
    </w:tbl>
    <w:p>
      <w:pPr>
        <w:pStyle w:val="Heading1"/>
        <w:rPr>
          <w:b w:val="false"/>
          <w:bCs w:val="false"/>
          <w:sz w:val="2"/>
          <w:szCs w:val="2"/>
        </w:rPr>
      </w:pPr>
      <w:r>
        <w:rPr>
          <w:b w:val="false"/>
          <w:bCs w:val="false"/>
          <w:sz w:val="2"/>
          <w:szCs w:val="2"/>
        </w:rPr>
      </w:r>
      <w:r>
        <w:br w:type="page"/>
      </w:r>
    </w:p>
    <w:p>
      <w:pPr>
        <w:pStyle w:val="Heading1"/>
        <w:spacing w:before="0" w:after="160"/>
        <w:rPr/>
      </w:pPr>
      <w:bookmarkStart w:id="6" w:name="_Toc185095995"/>
      <w:r>
        <w:rPr>
          <w:color w:val="FF0000"/>
        </w:rPr>
        <w:t xml:space="preserve">Annex 2. </w:t>
      </w:r>
      <w:r>
        <w:rPr/>
        <w:t>Data Protection Analysis</w:t>
      </w:r>
      <w:bookmarkEnd w:id="6"/>
    </w:p>
    <w:p>
      <w:pPr>
        <w:pStyle w:val="Heading2"/>
        <w:rPr/>
      </w:pPr>
      <w:r>
        <w:rPr>
          <w:color w:val="FF0000"/>
        </w:rPr>
        <w:t xml:space="preserve">[M] </w:t>
      </w:r>
      <w:r>
        <w:rPr/>
        <w:t>Data and Datasets Collected and/or Produced</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0"/>
        <w:gridCol w:w="858"/>
        <w:gridCol w:w="4815"/>
      </w:tblGrid>
      <w:tr>
        <w:trPr>
          <w:cantSplit w:val="true"/>
        </w:trPr>
        <w:tc>
          <w:tcPr>
            <w:tcW w:w="424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A2a.</w:t>
            </w:r>
            <w:r>
              <w:rPr>
                <w:color w:val="000000"/>
              </w:rPr>
              <w:t xml:space="preserve"> How many participants will be included??</w:t>
            </w:r>
          </w:p>
        </w:tc>
        <w:tc>
          <w:tcPr>
            <w:tcW w:w="5673" w:type="dxa"/>
            <w:gridSpan w:val="2"/>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1500</w:t>
            </w:r>
          </w:p>
        </w:tc>
      </w:tr>
      <w:tr>
        <w:trPr>
          <w:cantSplit w:val="true"/>
        </w:trPr>
        <w:tc>
          <w:tcPr>
            <w:tcW w:w="424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A2b.</w:t>
            </w:r>
            <w:r>
              <w:rPr>
                <w:color w:val="000000"/>
              </w:rPr>
              <w:t xml:space="preserve"> Participants’ geographical location: do you consider only Swiss residents? UE residents? Others?</w:t>
            </w:r>
          </w:p>
        </w:tc>
        <w:tc>
          <w:tcPr>
            <w:tcW w:w="5673" w:type="dxa"/>
            <w:gridSpan w:val="2"/>
            <w:tcBorders>
              <w:top w:val="single" w:sz="4" w:space="0" w:color="BFBFBF"/>
              <w:left w:val="single" w:sz="4" w:space="0" w:color="BFBFBF"/>
              <w:bottom w:val="single" w:sz="4" w:space="0" w:color="BFBFBF"/>
              <w:right w:val="single" w:sz="4" w:space="0" w:color="BFBFBF"/>
            </w:tcBorders>
          </w:tcPr>
          <w:p>
            <w:pPr>
              <w:pStyle w:val="Textintables"/>
              <w:spacing w:before="120" w:after="120"/>
              <w:rPr>
                <w:szCs w:val="22"/>
              </w:rPr>
            </w:pPr>
            <w:r>
              <w:rPr>
                <w:szCs w:val="22"/>
              </w:rPr>
              <w:t>France, Germany, Italy, Spain, Poland</w:t>
            </w:r>
          </w:p>
        </w:tc>
      </w:tr>
      <w:tr>
        <w:trPr>
          <w:cantSplit w:val="true"/>
        </w:trPr>
        <w:tc>
          <w:tcPr>
            <w:tcW w:w="424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A2c.</w:t>
            </w:r>
            <w:r>
              <w:rPr>
                <w:color w:val="FF0000"/>
              </w:rPr>
              <w:t xml:space="preserve"> </w:t>
            </w:r>
            <w:r>
              <w:rPr/>
              <w:t>Consent: have you planned to get or already obtained the subjects’ consent?</w:t>
            </w:r>
          </w:p>
        </w:tc>
        <w:tc>
          <w:tcPr>
            <w:tcW w:w="858"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5"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szCs w:val="22"/>
              </w:rPr>
              <w:t>The online survey contains a first page with the information sheet and a second page with the consent form. Only participants who consent to the project will be allowed to participate in the survey.</w:t>
            </w:r>
          </w:p>
        </w:tc>
      </w:tr>
    </w:tbl>
    <w:p>
      <w:pPr>
        <w:pStyle w:val="Normal"/>
        <w:rPr/>
      </w:pPr>
      <w:r>
        <w:rPr/>
      </w:r>
    </w:p>
    <w:p>
      <w:pPr>
        <w:pStyle w:val="Heading2"/>
        <w:rPr/>
      </w:pPr>
      <w:r>
        <w:rPr>
          <w:color w:val="FF0000"/>
        </w:rPr>
        <w:t xml:space="preserve">[M] </w:t>
      </w:r>
      <w:r>
        <w:rPr/>
        <w:t>Assessment Of 'Probably High-Risk' Data Processing (9 Criteria)</w:t>
      </w:r>
    </w:p>
    <w:p>
      <w:pPr>
        <w:pStyle w:val="Normal"/>
        <w:rPr/>
      </w:pPr>
      <w:r>
        <w:rPr/>
        <w:t>Under the current FADP (in force since September 1, 2023), the data controller (i.e., the person who determines the purpose and means of data processing) must conduct a Data Protection Impact Assessment (DPIA) if the processing poses high risks to data subjects. Additionally, if the GDPR applies to your project and two or more of the following criteria are met, a DPIA is required.</w:t>
      </w:r>
    </w:p>
    <w:tbl>
      <w:tblPr>
        <w:tblW w:w="9911"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5"/>
        <w:gridCol w:w="853"/>
        <w:gridCol w:w="4813"/>
      </w:tblGrid>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A2d.</w:t>
            </w:r>
            <w:r>
              <w:rPr>
                <w:color w:val="FF0000"/>
              </w:rPr>
              <w:t xml:space="preserve"> </w:t>
            </w:r>
            <w:r>
              <w:rPr/>
              <w:t>(1) The data processing involves: Evaluation or scoring, including profiling and predicting</w:t>
            </w:r>
            <w:r>
              <w:rPr>
                <w:rStyle w:val="FootnoteReference"/>
              </w:rPr>
              <w:footnoteReference w:id="11"/>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lang w:eastAsia="fr-CH"/>
              </w:rPr>
              <w:t>Data involves questions regarding personal preferences, political opinions, personal interests and economic situations, and location.</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A2e.</w:t>
            </w:r>
            <w:r>
              <w:rPr>
                <w:color w:val="FF0000"/>
              </w:rPr>
              <w:t xml:space="preserve"> </w:t>
            </w:r>
            <w:r>
              <w:rPr/>
              <w:t>(2) The data processing involves: Automated decision making with legal or similar significant effect</w:t>
            </w:r>
            <w:r>
              <w:rPr>
                <w:rStyle w:val="FootnoteReference"/>
              </w:rPr>
              <w:footnoteReference w:id="12"/>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A2f.</w:t>
            </w:r>
            <w:r>
              <w:rPr>
                <w:color w:val="FF0000"/>
              </w:rPr>
              <w:t xml:space="preserve"> </w:t>
            </w:r>
            <w:r>
              <w:rPr/>
              <w:t>(3) The data processing involves: Systematic monitoring to observe, monitor or control data subjects</w:t>
            </w:r>
            <w:r>
              <w:rPr>
                <w:rStyle w:val="FootnoteReference"/>
              </w:rPr>
              <w:footnoteReference w:id="13"/>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A2g.</w:t>
            </w:r>
            <w:r>
              <w:rPr>
                <w:color w:val="FF0000"/>
              </w:rPr>
              <w:t xml:space="preserve"> </w:t>
            </w:r>
            <w:r>
              <w:rPr/>
              <w:t>(4) The data processing involves: Personal or sensitive data</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t>Data involves email addresses, gender, and location. Sensitive data includes political opinions, and opinions regarding unions and employers.</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A2h.</w:t>
            </w:r>
            <w:r>
              <w:rPr>
                <w:color w:val="FF0000"/>
              </w:rPr>
              <w:t xml:space="preserve"> </w:t>
            </w:r>
            <w:r>
              <w:rPr/>
              <w:t>(5) The data processing involves: Data processed on a large scale</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A2i.</w:t>
            </w:r>
            <w:r>
              <w:rPr>
                <w:color w:val="FF0000"/>
              </w:rPr>
              <w:t xml:space="preserve"> </w:t>
            </w:r>
            <w:r>
              <w:rPr/>
              <w:t>(6) The data processing involves: Matching or combining datasets</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 xml:space="preserve">A2j. </w:t>
            </w:r>
            <w:r>
              <w:rPr/>
              <w:t>(7) The data processing involves: Data concerning vulnerable subjects</w:t>
            </w:r>
            <w:r>
              <w:rPr>
                <w:rStyle w:val="FootnoteReference"/>
              </w:rPr>
              <w:footnoteReference w:id="14"/>
            </w:r>
            <w:r>
              <w:rPr/>
              <w:t xml:space="preserve"> (e.g., children, adults lacking capacity, pregnant women, …)</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A2k.</w:t>
            </w:r>
            <w:r>
              <w:rPr>
                <w:color w:val="FF0000"/>
              </w:rPr>
              <w:t xml:space="preserve"> </w:t>
            </w:r>
            <w:r>
              <w:rPr/>
              <w:t>(8) The data processing involves: Innovative use or applying new technological or organizational solutions</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A2l.</w:t>
            </w:r>
            <w:r>
              <w:rPr>
                <w:color w:val="FF0000"/>
              </w:rPr>
              <w:t xml:space="preserve"> </w:t>
            </w:r>
            <w:r>
              <w:rPr/>
              <w:t>(9)The processing in itself “prevents data subjects from exercising a right or using a service or a contract”</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bl>
    <w:p>
      <w:pPr>
        <w:pStyle w:val="Normal"/>
        <w:rPr/>
      </w:pPr>
      <w:r>
        <w:rPr/>
      </w:r>
    </w:p>
    <w:p>
      <w:pPr>
        <w:pStyle w:val="Heading2"/>
        <w:rPr/>
      </w:pPr>
      <w:r>
        <w:rPr>
          <w:color w:val="FF0000"/>
        </w:rPr>
        <w:t xml:space="preserve">[M] </w:t>
      </w:r>
      <w:r>
        <w:rPr/>
        <w:t>Security Measures</w:t>
      </w:r>
    </w:p>
    <w:tbl>
      <w:tblPr>
        <w:tblW w:w="9911"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5"/>
        <w:gridCol w:w="853"/>
        <w:gridCol w:w="4813"/>
      </w:tblGrid>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A2m.</w:t>
            </w:r>
            <w:r>
              <w:rPr>
                <w:color w:val="FF0000"/>
              </w:rPr>
              <w:t xml:space="preserve"> </w:t>
            </w:r>
            <w:r>
              <w:rPr/>
              <w:t>Is the data processed in a manner that ensures appropriate security</w:t>
            </w:r>
            <w:r>
              <w:rPr>
                <w:rStyle w:val="FootnoteReference"/>
              </w:rPr>
              <w:footnoteReference w:id="15"/>
            </w:r>
            <w:r>
              <w:rPr/>
              <w:t xml:space="preserve"> of the personal data using appropriate technical or organizational measures?</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lang w:eastAsia="fr-CH"/>
              </w:rPr>
              <w:t>Personal data will be pseudo-anonymized and stored in a separate dataset in a protected folder. Sensitive data and personal data will never be stored in the same location or in the same dataset. They will be linked through a unique identifier for the duration of the research. Only the honest brokers of the project will have the access to the correspondence table.</w:t>
            </w:r>
          </w:p>
          <w:p>
            <w:pPr>
              <w:pStyle w:val="Textintables"/>
              <w:spacing w:lineRule="auto" w:line="240" w:before="120" w:after="120"/>
              <w:rPr/>
            </w:pPr>
            <w:r>
              <w:rPr>
                <w:i/>
                <w:lang w:eastAsia="fr-CH"/>
              </w:rPr>
              <w:t>Data will only be shared to the broader scientific community once, at the publication phase, and if and only if, the data is fully anonymized. The full anonymization process involves the deletion of all direct and indirect identifiers.</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A2n</w:t>
            </w:r>
            <w:r>
              <w:rPr/>
              <w:t>. Which technical and organizational measures do you plan to ensure IT security?</w:t>
            </w:r>
          </w:p>
        </w:tc>
        <w:tc>
          <w:tcPr>
            <w:tcW w:w="5666" w:type="dxa"/>
            <w:gridSpan w:val="2"/>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Raw data will be kept within the Qualtrics system. Active data will never be stored in the same location as sensitive and personnal data. Personal data will be stored in a password-protected folder inside the EPFL NAS system and on encrypted and password protected hardware. Only the honest brokers of the project will have access to it.</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A2o.</w:t>
            </w:r>
            <w:r>
              <w:rPr>
                <w:color w:val="FF0000"/>
              </w:rPr>
              <w:t xml:space="preserve"> </w:t>
            </w:r>
            <w:r>
              <w:rPr/>
              <w:t>How do you ensure that technical and organizational measures are appropriate and correctly implemented regarding the risks?</w:t>
            </w:r>
          </w:p>
        </w:tc>
        <w:tc>
          <w:tcPr>
            <w:tcW w:w="5666" w:type="dxa"/>
            <w:gridSpan w:val="2"/>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The data processing is following legal requirements. Furthermore, it will be assessed by data management experts within the PI’s institution.</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A2p</w:t>
            </w:r>
            <w:r>
              <w:rPr/>
              <w:t>. Do you plan to share personal research data with another EPFL entity?</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i/>
                <w:i/>
                <w:iCs/>
                <w:szCs w:val="22"/>
              </w:rPr>
            </w:pPr>
            <w:r>
              <w:rPr>
                <w:i/>
                <w:iCs/>
                <w:szCs w:val="22"/>
              </w:rPr>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A2q.</w:t>
            </w:r>
            <w:r>
              <w:rPr>
                <w:color w:val="FF0000"/>
              </w:rPr>
              <w:t xml:space="preserve"> </w:t>
            </w:r>
            <w:r>
              <w:rPr>
                <w:color w:val="000000"/>
              </w:rPr>
              <w:t>Do you plan to share personal research data with anyone outside of EPFL?</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EU, Frei Universitat Berlin</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A2r.</w:t>
            </w:r>
            <w:r>
              <w:rPr>
                <w:color w:val="FF0000"/>
              </w:rPr>
              <w:t xml:space="preserve"> </w:t>
            </w:r>
            <w:r>
              <w:rPr/>
              <w:t>Do you plan to work with a data processor</w:t>
            </w:r>
            <w:r>
              <w:rPr>
                <w:rStyle w:val="FootnoteReference"/>
              </w:rPr>
              <w:footnoteReference w:id="16"/>
            </w:r>
            <w:r>
              <w:rPr/>
              <w:t>?</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A2s.</w:t>
            </w:r>
            <w:r>
              <w:rPr>
                <w:color w:val="FF0000"/>
              </w:rPr>
              <w:t xml:space="preserve"> </w:t>
            </w:r>
            <w:r>
              <w:rPr/>
              <w:t>Do you have a process in place for granting and revoking appropriate user access (incl. privileged access rights and roles)?</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Personal data will never be accessed by any other persons than the authorized PI.</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 xml:space="preserve">A2t. </w:t>
            </w:r>
            <w:r>
              <w:rPr/>
              <w:t>Do you have standards for isolating sensitive data and procedures or technologies in place to protect it from unauthorized access and tampering?</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Sensitive data are stored in the EPFL NAS system subjected to access right restrictions (gaspar based) and within a password and encrypted hardware.</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A2u.</w:t>
            </w:r>
            <w:r>
              <w:rPr>
                <w:color w:val="FF0000"/>
              </w:rPr>
              <w:t xml:space="preserve"> </w:t>
            </w:r>
            <w:r>
              <w:rPr/>
              <w:t>Do you plan to implement Privacy-by-Design or by-Default</w:t>
            </w:r>
            <w:r>
              <w:rPr>
                <w:rStyle w:val="FootnoteReference"/>
              </w:rPr>
              <w:footnoteReference w:id="17"/>
            </w:r>
            <w:r>
              <w:rPr/>
              <w:t>?</w:t>
            </w:r>
          </w:p>
        </w:tc>
        <w:tc>
          <w:tcPr>
            <w:tcW w:w="85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Privacy-by-design</w:t>
            </w:r>
          </w:p>
        </w:tc>
      </w:tr>
      <w:tr>
        <w:trPr>
          <w:cantSplit w:val="true"/>
        </w:trPr>
        <w:tc>
          <w:tcPr>
            <w:tcW w:w="424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A2v.</w:t>
            </w:r>
            <w:r>
              <w:rPr>
                <w:color w:val="FF0000"/>
              </w:rPr>
              <w:t xml:space="preserve"> </w:t>
            </w:r>
            <w:r>
              <w:rPr/>
              <w:t>How do you plan to ensure the traceability of personal data?</w:t>
            </w:r>
            <w:r>
              <w:rPr>
                <w:rStyle w:val="FootnoteReference"/>
              </w:rPr>
              <w:footnoteReference w:id="18"/>
            </w:r>
          </w:p>
        </w:tc>
        <w:tc>
          <w:tcPr>
            <w:tcW w:w="5666" w:type="dxa"/>
            <w:gridSpan w:val="2"/>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szCs w:val="22"/>
              </w:rPr>
              <w:t>Manual event logs repository</w:t>
            </w:r>
          </w:p>
        </w:tc>
      </w:tr>
    </w:tbl>
    <w:p>
      <w:pPr>
        <w:pStyle w:val="Normal"/>
        <w:widowControl/>
        <w:suppressAutoHyphens w:val="true"/>
        <w:bidi w:val="0"/>
        <w:spacing w:lineRule="auto" w:line="252" w:before="0" w:after="160"/>
        <w:jc w:val="left"/>
        <w:rPr/>
      </w:pPr>
      <w:r>
        <w:rPr/>
      </w:r>
    </w:p>
    <w:sectPr>
      <w:headerReference w:type="even" r:id="rId11"/>
      <w:headerReference w:type="default" r:id="rId12"/>
      <w:headerReference w:type="first" r:id="rId13"/>
      <w:footerReference w:type="even" r:id="rId14"/>
      <w:footerReference w:type="default" r:id="rId15"/>
      <w:footerReference w:type="first" r:id="rId16"/>
      <w:footnotePr>
        <w:numFmt w:val="decimal"/>
      </w:footnotePr>
      <w:type w:val="nextPage"/>
      <w:pgSz w:w="11906" w:h="16838"/>
      <w:pgMar w:left="1134" w:right="1134" w:gutter="0" w:header="709" w:top="1364" w:footer="709" w:bottom="1276"/>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ristopher Tremblay" w:date="2025-07-08T14:52:00Z" w:initials="C">
    <w:p w14:paraId="01000000">
      <w:pPr>
        <w:overflowPunct w:val="false"/>
        <w:spacing w:before="212" w:after="0" w:lineRule="auto" w:line="240"/>
        <w:rPr/>
      </w:pPr>
      <w:r>
        <w:rPr>
          <w:rFonts w:ascii="Liberation Serif" w:hAnsi="Liberation Serif" w:eastAsia="DejaVu Sans" w:cs="DejaVu Sans"/>
          <w:kern w:val="0"/>
          <w:sz w:val="24"/>
          <w:szCs w:val="24"/>
          <w:lang w:val="en-US" w:eastAsia="en-US" w:bidi="en-US"/>
        </w:rPr>
        <w:t>Clearly define naming logic for files (e.g., projectname_DT1_YYYYMMDD.csv) and variables (snake_case, camelCase, etc.)</w:t>
      </w:r>
    </w:p>
  </w:comment>
  <w:comment w:id="1" w:author="Christopher Tremblay" w:date="2025-07-08T14:40:00Z" w:initials="C">
    <w:p>
      <w:pPr>
        <w:overflowPunct w:val="false"/>
        <w:spacing w:before="212" w:after="0" w:lineRule="auto" w:line="240"/>
        <w:rPr/>
      </w:pPr>
      <w:r>
        <w:rPr>
          <w:rFonts w:ascii="Liberation Serif" w:hAnsi="Liberation Serif" w:eastAsia="DejaVu Sans" w:cs="DejaVu Sans"/>
          <w:kern w:val="0"/>
          <w:sz w:val="24"/>
          <w:szCs w:val="24"/>
          <w:lang w:val="en-US" w:eastAsia="en-US" w:bidi="en-US"/>
        </w:rPr>
        <w:t>If you already know the variables, you</w:t>
      </w:r>
    </w:p>
    <w:p w14:paraId="02000000">
      <w:pPr>
        <w:overflowPunct w:val="false"/>
        <w:spacing w:before="212" w:after="0" w:lineRule="auto" w:line="240"/>
        <w:rPr/>
      </w:pPr>
      <w:r>
        <w:rPr>
          <w:rFonts w:ascii="Liberation Serif" w:hAnsi="Liberation Serif" w:eastAsia="DejaVu Sans" w:cs="DejaVu Sans"/>
          <w:kern w:val="0"/>
          <w:sz w:val="24"/>
          <w:szCs w:val="24"/>
          <w:lang w:val="en-US" w:eastAsia="en-US" w:bidi="en-US"/>
        </w:rPr>
        <w:t>can put them here and if you are using a metadata standard put it here also</w:t>
      </w:r>
    </w:p>
  </w:comment>
  <w:comment w:id="2" w:author="Christopher Tremblay" w:date="2025-07-15T09:09:00Z" w:initials="C">
    <w:p>
      <w:pPr>
        <w:overflowPunct w:val="true"/>
        <w:spacing w:before="0" w:after="0" w:lineRule="auto" w:line="240"/>
        <w:rPr/>
      </w:pPr>
      <w:r>
        <w:rPr>
          <w:rFonts w:ascii="Liberation Serif" w:hAnsi="Liberation Serif" w:eastAsia="DejaVu Sans" w:cs="DejaVu Sans"/>
          <w:kern w:val="0"/>
          <w:sz w:val="24"/>
          <w:szCs w:val="24"/>
          <w:lang w:val="en-US" w:eastAsia="en-US" w:bidi="en-US"/>
        </w:rPr>
        <w:t>Here it would be nice to say that it will be the same as above but to specify those personal data evoked just before with something like:</w:t>
      </w:r>
    </w:p>
    <w:p>
      <w:pPr>
        <w:overflowPunct w:val="true"/>
        <w:spacing w:before="0" w:after="0" w:lineRule="auto" w:line="240"/>
        <w:rPr/>
      </w:pPr>
      <w:r>
        <w:rPr>
          <w:rFonts w:ascii="Liberation Serif" w:hAnsi="Liberation Serif" w:eastAsia="DejaVu Sans" w:cs="DejaVu Sans"/>
          <w:kern w:val="0"/>
          <w:sz w:val="24"/>
          <w:szCs w:val="24"/>
          <w:lang w:val="en-US" w:eastAsia="en-US" w:bidi="en-US"/>
        </w:rPr>
        <w:t>"Still contains mail, zip code, .."</w:t>
      </w:r>
    </w:p>
    <w:p w14:paraId="03000000">
      <w:pPr>
        <w:overflowPunct w:val="true"/>
        <w:spacing w:before="0" w:after="0" w:lineRule="auto" w:line="240"/>
        <w:rPr/>
      </w:pPr>
      <w:r>
        <w:rPr>
          <w:rFonts w:ascii="Liberation Serif" w:hAnsi="Liberation Serif" w:eastAsia="DejaVu Sans" w:cs="DejaVu Sans"/>
          <w:kern w:val="0"/>
          <w:sz w:val="24"/>
          <w:szCs w:val="24"/>
          <w:lang w:val="en-US" w:eastAsia="en-US" w:bidi="en-US"/>
        </w:rPr>
      </w:r>
    </w:p>
  </w:comment>
  <w:comment w:id="3" w:author="Christopher Tremblay" w:date="2025-07-08T14:53:00Z" w:initials="C">
    <w:p w14:paraId="04000000">
      <w:pPr>
        <w:overflowPunct w:val="false"/>
        <w:spacing w:before="212" w:after="0" w:lineRule="auto" w:line="240"/>
        <w:rPr/>
      </w:pPr>
      <w:r>
        <w:rPr>
          <w:rFonts w:ascii="Liberation Serif" w:hAnsi="Liberation Serif" w:eastAsia="DejaVu Sans" w:cs="DejaVu Sans"/>
          <w:kern w:val="0"/>
          <w:sz w:val="24"/>
          <w:szCs w:val="24"/>
          <w:lang w:val="en-US" w:eastAsia="en-US" w:bidi="en-US"/>
        </w:rPr>
        <w:t>You can specify the use of data dictionnary or codebook</w:t>
      </w:r>
    </w:p>
  </w:comment>
  <w:comment w:id="4" w:author="Christopher Tremblay" w:date="2025-07-08T14:40:00Z" w:initials="C">
    <w:p>
      <w:pPr>
        <w:overflowPunct w:val="false"/>
        <w:spacing w:before="212" w:after="0" w:lineRule="auto" w:line="240"/>
        <w:rPr/>
      </w:pPr>
      <w:r>
        <w:rPr>
          <w:rFonts w:ascii="Liberation Serif" w:hAnsi="Liberation Serif" w:eastAsia="DejaVu Sans" w:cs="DejaVu Sans"/>
          <w:kern w:val="0"/>
          <w:sz w:val="24"/>
          <w:szCs w:val="24"/>
          <w:lang w:val="en-US" w:eastAsia="en-US" w:bidi="en-US"/>
        </w:rPr>
        <w:t>You can also describe here the</w:t>
      </w:r>
    </w:p>
    <w:p w14:paraId="05000000">
      <w:pPr>
        <w:overflowPunct w:val="false"/>
        <w:spacing w:before="212" w:after="0" w:lineRule="auto" w:line="240"/>
        <w:rPr/>
      </w:pPr>
      <w:r>
        <w:rPr>
          <w:rFonts w:ascii="Liberation Serif" w:hAnsi="Liberation Serif" w:eastAsia="DejaVu Sans" w:cs="DejaVu Sans"/>
          <w:kern w:val="0"/>
          <w:sz w:val="24"/>
          <w:szCs w:val="24"/>
          <w:lang w:val="en-US" w:eastAsia="en-US" w:bidi="en-US"/>
        </w:rPr>
        <w:t>cleaning process talked about</w:t>
      </w:r>
    </w:p>
  </w:comment>
  <w:comment w:id="5" w:author="Christopher Tremblay" w:date="2025-07-08T14:43:00Z" w:initials="C">
    <w:p w14:paraId="06000000">
      <w:pPr>
        <w:overflowPunct w:val="false"/>
        <w:spacing w:before="212" w:after="0" w:lineRule="auto" w:line="240"/>
        <w:rPr/>
      </w:pPr>
      <w:r>
        <w:rPr>
          <w:rFonts w:ascii="Liberation Serif" w:hAnsi="Liberation Serif" w:eastAsia="DejaVu Sans" w:cs="DejaVu Sans"/>
          <w:kern w:val="0"/>
          <w:sz w:val="24"/>
          <w:szCs w:val="24"/>
          <w:lang w:val="en-US" w:eastAsia="en-US" w:bidi="en-US"/>
        </w:rPr>
        <w:t>YOu can also use Zenodo</w:t>
      </w:r>
    </w:p>
  </w:comment>
  <w:comment w:id="6" w:author="Christopher Tremblay" w:date="2025-07-08T14:55:00Z" w:initials="C">
    <w:p w14:paraId="07000000">
      <w:pPr>
        <w:overflowPunct w:val="false"/>
        <w:spacing w:before="212" w:after="0" w:lineRule="auto" w:line="240"/>
        <w:rPr/>
      </w:pPr>
      <w:r>
        <w:rPr>
          <w:rFonts w:ascii="Liberation Serif" w:hAnsi="Liberation Serif" w:eastAsia="DejaVu Sans" w:cs="DejaVu Sans"/>
          <w:kern w:val="0"/>
          <w:sz w:val="24"/>
          <w:szCs w:val="24"/>
          <w:lang w:val="en-US" w:eastAsia="en-US" w:bidi="en-US"/>
        </w:rPr>
        <w:t>This is fine but if you want broader reuse consider using CC BY 4.0. In any case you should justify the choice of license with a sentence</w:t>
      </w:r>
    </w:p>
  </w:comment>
  <w:comment w:id="7" w:author="Christopher Tremblay" w:date="2025-07-15T09:16:00Z" w:initials="C">
    <w:p w14:paraId="08000000">
      <w:pPr>
        <w:overflowPunct w:val="true"/>
        <w:spacing w:before="0" w:after="0" w:lineRule="auto" w:line="240"/>
        <w:rPr/>
      </w:pPr>
      <w:r>
        <w:rPr>
          <w:rFonts w:ascii="Liberation Serif" w:hAnsi="Liberation Serif" w:eastAsia="DejaVu Sans" w:cs="DejaVu Sans"/>
          <w:kern w:val="0"/>
          <w:sz w:val="24"/>
          <w:szCs w:val="24"/>
          <w:lang w:val="en-US" w:eastAsia="en-US" w:bidi="en-US"/>
        </w:rPr>
        <w:t>You could add here which fields will be deleted for sure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Ex w15:paraId="04000000" w15:done="1"/>
  <w15:commentEx w15:paraId="05000000" w15:done="1"/>
  <w15:commentEx w15:paraId="06000000" w15:done="1"/>
  <w15:commentEx w15:paraId="07000000" w15:done="1"/>
  <w15:commentEx w15:paraId="08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Liberation Sans">
    <w:altName w:val="Arial"/>
    <w:charset w:val="01"/>
    <w:family w:val="roman"/>
    <w:pitch w:val="variable"/>
  </w:font>
  <w:font w:name="Aptos Display">
    <w:charset w:val="01"/>
    <w:family w:val="roman"/>
    <w:pitch w:val="variable"/>
  </w:font>
  <w:font w:name="Times New Roman">
    <w:charset w:val="01"/>
    <w:family w:val="roman"/>
    <w:pitch w:val="variable"/>
  </w:font>
  <w:font w:name="Arial">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center" w:pos="4819" w:leader="none"/>
        <w:tab w:val="right" w:pos="9638" w:leader="none"/>
      </w:tabs>
      <w:rPr/>
    </w:pPr>
    <w:r>
      <w:rPr>
        <w:sz w:val="15"/>
        <w:szCs w:val="15"/>
        <w:lang w:val="fr-CH"/>
      </w:rPr>
      <w:t>Bibliothèque</w:t>
      <w:tab/>
      <w:t xml:space="preserve">page </w:t>
    </w:r>
    <w:r>
      <w:rPr>
        <w:sz w:val="15"/>
        <w:szCs w:val="15"/>
        <w:lang w:val="fr-CH"/>
      </w:rPr>
      <w:fldChar w:fldCharType="begin"/>
    </w:r>
    <w:r>
      <w:rPr>
        <w:sz w:val="15"/>
        <w:szCs w:val="15"/>
        <w:lang w:val="fr-CH"/>
      </w:rPr>
      <w:instrText xml:space="preserve"> PAGE </w:instrText>
    </w:r>
    <w:r>
      <w:rPr>
        <w:sz w:val="15"/>
        <w:szCs w:val="15"/>
        <w:lang w:val="fr-CH"/>
      </w:rPr>
      <w:fldChar w:fldCharType="separate"/>
    </w:r>
    <w:r>
      <w:rPr>
        <w:sz w:val="15"/>
        <w:szCs w:val="15"/>
        <w:lang w:val="fr-CH"/>
      </w:rPr>
      <w:t>12</w:t>
    </w:r>
    <w:r>
      <w:rPr>
        <w:sz w:val="15"/>
        <w:szCs w:val="15"/>
        <w:lang w:val="fr-CH"/>
      </w:rPr>
      <w:fldChar w:fldCharType="end"/>
    </w:r>
    <w:r>
      <w:rPr>
        <w:sz w:val="15"/>
        <w:szCs w:val="15"/>
        <w:lang w:val="fr-CH"/>
      </w:rPr>
      <w:t xml:space="preserve"> of </w:t>
    </w:r>
    <w:r>
      <w:rPr>
        <w:sz w:val="15"/>
        <w:szCs w:val="15"/>
        <w:lang w:val="fr-CH"/>
      </w:rPr>
      <w:fldChar w:fldCharType="begin"/>
    </w:r>
    <w:r>
      <w:rPr>
        <w:sz w:val="15"/>
        <w:szCs w:val="15"/>
        <w:lang w:val="fr-CH"/>
      </w:rPr>
      <w:instrText xml:space="preserve"> NUMPAGES </w:instrText>
    </w:r>
    <w:r>
      <w:rPr>
        <w:sz w:val="15"/>
        <w:szCs w:val="15"/>
        <w:lang w:val="fr-CH"/>
      </w:rPr>
      <w:fldChar w:fldCharType="separate"/>
    </w:r>
    <w:r>
      <w:rPr>
        <w:sz w:val="15"/>
        <w:szCs w:val="15"/>
        <w:lang w:val="fr-CH"/>
      </w:rPr>
      <w:t>12</w:t>
    </w:r>
    <w:r>
      <w:rPr>
        <w:sz w:val="15"/>
        <w:szCs w:val="15"/>
        <w:lang w:val="fr-CH"/>
      </w:rPr>
      <w:fldChar w:fldCharType="end"/>
    </w:r>
    <w:r>
      <w:rPr>
        <w:lang w:val="fr-CH"/>
      </w:rPr>
      <w:tab/>
    </w:r>
    <w:hyperlink r:id="rId1">
      <w:r>
        <w:rPr>
          <w:rStyle w:val="ListLabel23"/>
          <w:color w:val="0563C1"/>
          <w:sz w:val="15"/>
          <w:szCs w:val="15"/>
          <w:u w:val="single"/>
          <w:lang w:val="fr-CH"/>
        </w:rPr>
        <w:t>researchdata@epfl.ch</w:t>
      </w:r>
    </w:hyperlink>
  </w:p>
  <w:p>
    <w:pPr>
      <w:pStyle w:val="Footer"/>
      <w:tabs>
        <w:tab w:val="clear" w:pos="9072"/>
        <w:tab w:val="center" w:pos="4536" w:leader="none"/>
        <w:tab w:val="right" w:pos="9638" w:leader="none"/>
      </w:tabs>
      <w:rPr/>
    </w:pPr>
    <w:r>
      <w:rPr>
        <w:sz w:val="15"/>
        <w:szCs w:val="15"/>
      </w:rPr>
      <w:t>Research Data Management Team</w:t>
      <w:tab/>
      <w:tab/>
    </w:r>
    <w:hyperlink r:id="rId2">
      <w:r>
        <w:rPr>
          <w:rStyle w:val="ListLabel24"/>
          <w:color w:val="0563C1"/>
          <w:sz w:val="15"/>
          <w:szCs w:val="15"/>
          <w:u w:val="single"/>
        </w:rPr>
        <w:t>go.epfl.ch/rdm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center" w:pos="4819" w:leader="none"/>
        <w:tab w:val="right" w:pos="9638" w:leader="none"/>
      </w:tabs>
      <w:rPr/>
    </w:pPr>
    <w:r>
      <w:rPr>
        <w:sz w:val="15"/>
        <w:szCs w:val="15"/>
        <w:lang w:val="fr-CH"/>
      </w:rPr>
      <w:t>Bibliothèque</w:t>
      <w:tab/>
      <w:t xml:space="preserve">page </w:t>
    </w:r>
    <w:r>
      <w:rPr>
        <w:sz w:val="15"/>
        <w:szCs w:val="15"/>
        <w:lang w:val="fr-CH"/>
      </w:rPr>
      <w:fldChar w:fldCharType="begin"/>
    </w:r>
    <w:r>
      <w:rPr>
        <w:sz w:val="15"/>
        <w:szCs w:val="15"/>
        <w:lang w:val="fr-CH"/>
      </w:rPr>
      <w:instrText xml:space="preserve"> PAGE </w:instrText>
    </w:r>
    <w:r>
      <w:rPr>
        <w:sz w:val="15"/>
        <w:szCs w:val="15"/>
        <w:lang w:val="fr-CH"/>
      </w:rPr>
      <w:fldChar w:fldCharType="separate"/>
    </w:r>
    <w:r>
      <w:rPr>
        <w:sz w:val="15"/>
        <w:szCs w:val="15"/>
        <w:lang w:val="fr-CH"/>
      </w:rPr>
      <w:t>12</w:t>
    </w:r>
    <w:r>
      <w:rPr>
        <w:sz w:val="15"/>
        <w:szCs w:val="15"/>
        <w:lang w:val="fr-CH"/>
      </w:rPr>
      <w:fldChar w:fldCharType="end"/>
    </w:r>
    <w:r>
      <w:rPr>
        <w:sz w:val="15"/>
        <w:szCs w:val="15"/>
        <w:lang w:val="fr-CH"/>
      </w:rPr>
      <w:t xml:space="preserve"> of </w:t>
    </w:r>
    <w:r>
      <w:rPr>
        <w:sz w:val="15"/>
        <w:szCs w:val="15"/>
        <w:lang w:val="fr-CH"/>
      </w:rPr>
      <w:fldChar w:fldCharType="begin"/>
    </w:r>
    <w:r>
      <w:rPr>
        <w:sz w:val="15"/>
        <w:szCs w:val="15"/>
        <w:lang w:val="fr-CH"/>
      </w:rPr>
      <w:instrText xml:space="preserve"> NUMPAGES </w:instrText>
    </w:r>
    <w:r>
      <w:rPr>
        <w:sz w:val="15"/>
        <w:szCs w:val="15"/>
        <w:lang w:val="fr-CH"/>
      </w:rPr>
      <w:fldChar w:fldCharType="separate"/>
    </w:r>
    <w:r>
      <w:rPr>
        <w:sz w:val="15"/>
        <w:szCs w:val="15"/>
        <w:lang w:val="fr-CH"/>
      </w:rPr>
      <w:t>12</w:t>
    </w:r>
    <w:r>
      <w:rPr>
        <w:sz w:val="15"/>
        <w:szCs w:val="15"/>
        <w:lang w:val="fr-CH"/>
      </w:rPr>
      <w:fldChar w:fldCharType="end"/>
    </w:r>
    <w:r>
      <w:rPr>
        <w:lang w:val="fr-CH"/>
      </w:rPr>
      <w:tab/>
    </w:r>
    <w:hyperlink r:id="rId1">
      <w:r>
        <w:rPr>
          <w:rStyle w:val="ListLabel23"/>
          <w:color w:val="0563C1"/>
          <w:sz w:val="15"/>
          <w:szCs w:val="15"/>
          <w:u w:val="single"/>
          <w:lang w:val="fr-CH"/>
        </w:rPr>
        <w:t>researchdata@epfl.ch</w:t>
      </w:r>
    </w:hyperlink>
  </w:p>
  <w:p>
    <w:pPr>
      <w:pStyle w:val="Footer"/>
      <w:tabs>
        <w:tab w:val="clear" w:pos="9072"/>
        <w:tab w:val="center" w:pos="4536" w:leader="none"/>
        <w:tab w:val="right" w:pos="9638" w:leader="none"/>
      </w:tabs>
      <w:rPr/>
    </w:pPr>
    <w:r>
      <w:rPr>
        <w:sz w:val="15"/>
        <w:szCs w:val="15"/>
      </w:rPr>
      <w:t>Research Data Management Team</w:t>
      <w:tab/>
      <w:tab/>
    </w:r>
    <w:hyperlink r:id="rId2">
      <w:r>
        <w:rPr>
          <w:rStyle w:val="ListLabel24"/>
          <w:color w:val="0563C1"/>
          <w:sz w:val="15"/>
          <w:szCs w:val="15"/>
          <w:u w:val="single"/>
        </w:rPr>
        <w:t>go.epfl.ch/rdm</w:t>
      </w:r>
    </w:hyperlink>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widowControl w:val="false"/>
        <w:spacing w:before="0" w:after="120"/>
        <w:rPr>
          <w:lang w:val="en-US"/>
        </w:rPr>
      </w:pPr>
      <w:r>
        <w:rPr>
          <w:rStyle w:val="FootnoteCharacters2"/>
        </w:rPr>
        <w:footnoteRef/>
      </w:r>
      <w:r>
        <w:rPr>
          <w:szCs w:val="20"/>
          <w:lang w:val="en-US"/>
        </w:rPr>
        <w:t xml:space="preserve"> </w:t>
      </w:r>
      <w:r>
        <w:rPr>
          <w:szCs w:val="20"/>
          <w:lang w:val="en-US"/>
        </w:rPr>
        <w:t xml:space="preserve">Personal data: information that relates to an identified or identifiable individual. Not only data that can directly identify a person (e.g., name) is considered personal data, but also data that can make a person identifiable through the combination of data (e.g., combining age, e-mail address and information related to usage of social networks may allow identifying a person). You should consider that information together with all the means reasonably likely to be used by either you or any other person to identify that individual. See also </w:t>
      </w:r>
      <w:r>
        <w:fldChar w:fldCharType="begin"/>
      </w:r>
      <w:r>
        <w:rPr>
          <w:rStyle w:val="Hyperlink"/>
          <w:b/>
          <w:szCs w:val="20"/>
          <w:bCs/>
          <w:lang w:val="en-US"/>
        </w:rPr>
        <w:instrText xml:space="preserve"> HYPERLINK "https://www.fedlex.admin.ch/eli/cc/1993/1945_1945_1945/en" \l "art_3"</w:instrText>
      </w:r>
      <w:r>
        <w:rPr>
          <w:rStyle w:val="Hyperlink"/>
          <w:b/>
          <w:szCs w:val="20"/>
          <w:bCs/>
          <w:lang w:val="en-US"/>
        </w:rPr>
        <w:fldChar w:fldCharType="separate"/>
      </w:r>
      <w:r>
        <w:rPr>
          <w:rStyle w:val="Hyperlink"/>
          <w:b/>
          <w:bCs/>
          <w:szCs w:val="20"/>
          <w:lang w:val="en-US"/>
        </w:rPr>
        <w:t>Art. 3</w:t>
      </w:r>
      <w:r>
        <w:rPr>
          <w:rStyle w:val="Hyperlink"/>
          <w:b/>
          <w:szCs w:val="20"/>
          <w:bCs/>
          <w:lang w:val="en-US"/>
        </w:rPr>
        <w:fldChar w:fldCharType="end"/>
      </w:r>
      <w:r>
        <w:rPr>
          <w:szCs w:val="20"/>
          <w:lang w:val="en-US"/>
        </w:rPr>
        <w:t>.c of the FADP Swiss law.</w:t>
      </w:r>
    </w:p>
  </w:footnote>
  <w:footnote w:id="3">
    <w:p>
      <w:pPr>
        <w:pStyle w:val="Footnote"/>
        <w:widowControl w:val="false"/>
        <w:spacing w:before="0" w:after="120"/>
        <w:rPr>
          <w:lang w:val="en-US"/>
        </w:rPr>
      </w:pPr>
      <w:r>
        <w:rPr>
          <w:rStyle w:val="FootnoteCharacters2"/>
        </w:rPr>
        <w:footnoteRef/>
      </w:r>
      <w:r>
        <w:rPr>
          <w:lang w:val="en-US"/>
        </w:rPr>
        <w:t xml:space="preserve"> </w:t>
      </w:r>
      <w:r>
        <w:rPr>
          <w:lang w:val="en-US"/>
        </w:rPr>
        <w:t xml:space="preserve">Sensitive data: information that includes but is not limited to religious, ideological, political or trade union-related views or activities; health, genetic, biometric, or concerning the intimate sphere or the racial origin; ethnic data or social security measures; administrative or criminal proceedings and sanctions. See also </w:t>
      </w:r>
      <w:r>
        <w:fldChar w:fldCharType="begin"/>
      </w:r>
      <w:r>
        <w:rPr>
          <w:rStyle w:val="Hyperlink"/>
          <w:b/>
          <w:bCs/>
          <w:lang w:val="en-US"/>
        </w:rPr>
        <w:instrText xml:space="preserve"> HYPERLINK "https://www.fedlex.admin.ch/eli/cc/1993/1945_1945_1945/en" \l "art_3"</w:instrText>
      </w:r>
      <w:r>
        <w:rPr>
          <w:rStyle w:val="Hyperlink"/>
          <w:b/>
          <w:bCs/>
          <w:lang w:val="en-US"/>
        </w:rPr>
        <w:fldChar w:fldCharType="separate"/>
      </w:r>
      <w:r>
        <w:rPr>
          <w:rStyle w:val="Hyperlink"/>
          <w:b/>
          <w:bCs/>
          <w:lang w:val="en-US"/>
        </w:rPr>
        <w:t>Art. 3</w:t>
      </w:r>
      <w:r>
        <w:rPr>
          <w:rStyle w:val="Hyperlink"/>
          <w:b/>
          <w:bCs/>
          <w:lang w:val="en-US"/>
        </w:rPr>
        <w:fldChar w:fldCharType="end"/>
      </w:r>
      <w:r>
        <w:rPr>
          <w:lang w:val="en-US"/>
        </w:rPr>
        <w:t>.c of the FADP Swiss law.</w:t>
      </w:r>
    </w:p>
  </w:footnote>
  <w:footnote w:id="4">
    <w:p>
      <w:pPr>
        <w:pStyle w:val="Footnote"/>
        <w:widowControl w:val="false"/>
        <w:spacing w:before="0" w:after="120"/>
        <w:rPr>
          <w:lang w:val="en-US"/>
        </w:rPr>
      </w:pPr>
      <w:r>
        <w:rPr>
          <w:rStyle w:val="FootnoteCharacters2"/>
        </w:rPr>
        <w:footnoteRef/>
      </w:r>
      <w:r>
        <w:rPr>
          <w:lang w:val="en-US"/>
        </w:rPr>
        <w:t xml:space="preserve"> </w:t>
      </w:r>
      <w:r>
        <w:rPr>
          <w:lang w:val="en-US"/>
        </w:rPr>
        <w:t>Either because of an obligation (e.g., funder or publisher requirement), because it is the norm in your community, or because you are co</w:t>
      </w:r>
      <w:r>
        <w:rPr>
          <w:szCs w:val="16"/>
          <w:lang w:val="en-US"/>
        </w:rPr>
        <w:t>mmitted to doing so yourself.</w:t>
      </w:r>
    </w:p>
  </w:footnote>
  <w:footnote w:id="5">
    <w:p>
      <w:pPr>
        <w:pStyle w:val="FootnoteText"/>
        <w:rPr/>
      </w:pPr>
      <w:r>
        <w:rPr>
          <w:rStyle w:val="FootnoteCharacters2"/>
        </w:rPr>
        <w:footnoteRef/>
      </w:r>
      <w:r>
        <w:rPr/>
        <w:t xml:space="preserve"> </w:t>
      </w:r>
      <w:r>
        <w:rPr/>
        <w:t xml:space="preserve">Please, check the compliance in the EPFL Research ethics webpage: </w:t>
      </w:r>
      <w:hyperlink r:id="rId1">
        <w:r>
          <w:rPr>
            <w:rStyle w:val="Hyperlink"/>
          </w:rPr>
          <w:t>www.epfl.ch/research/ethic-statement/compliance</w:t>
        </w:r>
      </w:hyperlink>
    </w:p>
  </w:footnote>
  <w:footnote w:id="6">
    <w:p>
      <w:pPr>
        <w:pStyle w:val="Footnote"/>
        <w:spacing w:before="0" w:after="120"/>
        <w:rPr>
          <w:lang w:val="it-CH"/>
        </w:rPr>
      </w:pPr>
      <w:r>
        <w:rPr>
          <w:rStyle w:val="FootnoteCharacters2"/>
        </w:rPr>
        <w:footnoteRef/>
      </w:r>
      <w:r>
        <w:rPr>
          <w:lang w:val="en-US"/>
        </w:rPr>
        <w:t xml:space="preserve"> </w:t>
      </w:r>
      <w:r>
        <w:rPr>
          <w:lang w:val="en-US"/>
        </w:rPr>
        <w:t>Acquired, produced, processed, or coded.</w:t>
      </w:r>
    </w:p>
  </w:footnote>
  <w:footnote w:id="7">
    <w:p>
      <w:pPr>
        <w:pStyle w:val="FootnoteText"/>
        <w:rPr/>
      </w:pPr>
      <w:r>
        <w:rPr>
          <w:rStyle w:val="FootnoteCharacters2"/>
        </w:rPr>
        <w:footnoteRef/>
      </w:r>
      <w:r>
        <w:rPr/>
        <w:t xml:space="preserve"> </w:t>
      </w:r>
      <w:r>
        <w:rPr/>
        <w:t xml:space="preserve">Digital preservation can be defined as a "series of managed activities necessary to ensure continued access to digital materials for as long as necessary" </w:t>
      </w:r>
      <w:hyperlink r:id="rId2">
        <w:r>
          <w:rPr>
            <w:rStyle w:val="Hyperlink"/>
            <w:lang w:val="en-GB"/>
          </w:rPr>
          <w:t>(Digital Preservation Handbook)</w:t>
        </w:r>
      </w:hyperlink>
      <w:r>
        <w:rPr/>
        <w:t>.</w:t>
      </w:r>
    </w:p>
  </w:footnote>
  <w:footnote w:id="8">
    <w:p>
      <w:pPr>
        <w:pStyle w:val="FootnoteText"/>
        <w:spacing w:before="0" w:after="120"/>
        <w:rPr/>
      </w:pPr>
      <w:r>
        <w:rPr>
          <w:rStyle w:val="FootnoteCharacters2"/>
        </w:rPr>
        <w:footnoteRef/>
      </w:r>
      <w:r>
        <w:rPr/>
        <w:t xml:space="preserve"> </w:t>
      </w:r>
      <w:r>
        <w:rPr/>
        <w:t>Some types of data (e.g., non-anonymized, relevant for patent, double use technology, …) cannot be published: it is recommended to publish at least the description of those data.</w:t>
      </w:r>
    </w:p>
  </w:footnote>
  <w:footnote w:id="9">
    <w:p>
      <w:pPr>
        <w:pStyle w:val="FootnoteText"/>
        <w:spacing w:before="0" w:after="120"/>
        <w:rPr/>
      </w:pPr>
      <w:r>
        <w:rPr>
          <w:rStyle w:val="FootnoteCharacters2"/>
        </w:rPr>
        <w:footnoteRef/>
      </w:r>
      <w:r>
        <w:rPr>
          <w:sz w:val="18"/>
          <w:szCs w:val="18"/>
        </w:rPr>
        <w:t xml:space="preserve"> </w:t>
      </w:r>
      <w:r>
        <w:rPr/>
        <w:t xml:space="preserve">For definitions and suggestions of data dissemination platforms, check the online comparative table at </w:t>
      </w:r>
      <w:hyperlink r:id="rId3">
        <w:r>
          <w:rPr>
            <w:rStyle w:val="Hyperlink"/>
          </w:rPr>
          <w:t>go.epfl.ch/datarepo.</w:t>
        </w:r>
      </w:hyperlink>
    </w:p>
  </w:footnote>
  <w:footnote w:id="10">
    <w:p>
      <w:pPr>
        <w:pStyle w:val="FootnoteText"/>
        <w:spacing w:before="0" w:after="120"/>
        <w:rPr/>
      </w:pPr>
      <w:r>
        <w:rPr>
          <w:rStyle w:val="FootnoteCharacters2"/>
        </w:rPr>
        <w:footnoteRef/>
      </w:r>
      <w:r>
        <w:rPr/>
        <w:t xml:space="preserve"> </w:t>
      </w:r>
      <w:r>
        <w:rPr/>
        <w:t>Pseudonymized: the identifying information (surname, date of birth, ...) is replaced by a code (e.g., hashing); the key to recover the information, while kept secure, can still be used to identify the person. Anonymized: the personal identity is sufficiently protected by reducing the information, preventing anyone from re-identifying the person, unless they go to great lengths to do so.</w:t>
      </w:r>
    </w:p>
  </w:footnote>
  <w:footnote w:id="11">
    <w:p>
      <w:pPr>
        <w:pStyle w:val="Footnote"/>
        <w:widowControl w:val="false"/>
        <w:spacing w:before="0" w:after="120"/>
        <w:rPr/>
      </w:pPr>
      <w:r>
        <w:rPr>
          <w:rStyle w:val="FootnoteCharacters2"/>
        </w:rPr>
        <w:footnoteRef/>
      </w:r>
      <w:r>
        <w:rPr>
          <w:lang w:val="en-US"/>
        </w:rPr>
        <w:t xml:space="preserve"> </w:t>
      </w:r>
      <w:r>
        <w:rPr>
          <w:rFonts w:eastAsia="Calibri"/>
          <w:lang w:val="en-US"/>
        </w:rPr>
        <w:t>Especially important if it involves “aspects concerning the data subject's performance at work, economic situation, health, personal preferences or interests, reliability or behavior, location or movements”</w:t>
      </w:r>
    </w:p>
  </w:footnote>
  <w:footnote w:id="12">
    <w:p>
      <w:pPr>
        <w:pStyle w:val="Footnote"/>
        <w:widowControl w:val="false"/>
        <w:spacing w:before="0" w:after="120"/>
        <w:rPr/>
      </w:pPr>
      <w:r>
        <w:rPr>
          <w:rStyle w:val="FootnoteCharacters2"/>
        </w:rPr>
        <w:footnoteRef/>
      </w:r>
      <w:r>
        <w:rPr>
          <w:lang w:val="en-US"/>
        </w:rPr>
        <w:t xml:space="preserve"> </w:t>
      </w:r>
      <w:r>
        <w:rPr>
          <w:rFonts w:eastAsia="Calibri"/>
          <w:lang w:val="en-US"/>
        </w:rPr>
        <w:t>Processing that aims at taking decisions on data subjects producing “legal effects concerning the natural person” or which “similarly significantly affects the natural person”</w:t>
      </w:r>
    </w:p>
  </w:footnote>
  <w:footnote w:id="13">
    <w:p>
      <w:pPr>
        <w:pStyle w:val="Footnote"/>
        <w:widowControl w:val="false"/>
        <w:spacing w:before="0" w:after="120"/>
        <w:rPr>
          <w:lang w:val="it-CH"/>
        </w:rPr>
      </w:pPr>
      <w:r>
        <w:rPr>
          <w:rStyle w:val="FootnoteCharacters2"/>
        </w:rPr>
        <w:footnoteRef/>
      </w:r>
      <w:r>
        <w:rPr>
          <w:lang w:val="en-US"/>
        </w:rPr>
        <w:t xml:space="preserve"> </w:t>
      </w:r>
      <w:r>
        <w:rPr>
          <w:rFonts w:eastAsia="Calibri"/>
          <w:lang w:val="en-US"/>
        </w:rPr>
        <w:t>Including data collected through networks or “a systematic monitoring of a publicly accessible area”</w:t>
      </w:r>
    </w:p>
  </w:footnote>
  <w:footnote w:id="14">
    <w:p>
      <w:pPr>
        <w:pStyle w:val="FootnoteText"/>
        <w:rPr/>
      </w:pPr>
      <w:r>
        <w:rPr>
          <w:rStyle w:val="FootnoteCharacters2"/>
        </w:rPr>
        <w:footnoteRef/>
      </w:r>
      <w:r>
        <w:rPr/>
        <w:t xml:space="preserve"> </w:t>
      </w:r>
      <w:r>
        <w:rPr/>
        <w:t xml:space="preserve">Vulnerability situations may involve: physical or cognitive impairment; subordination to an authority figure or formal authority; social discrimination; stigmatization; unfavorable socio-economic conditions; increased physical or psychological sensitivity to interventions planned in research. The Swiss law defines certain people as </w:t>
      </w:r>
      <w:r>
        <w:fldChar w:fldCharType="begin"/>
      </w:r>
      <w:r>
        <w:rPr>
          <w:rStyle w:val="Hyperlink"/>
        </w:rPr>
        <w:instrText xml:space="preserve"> HYPERLINK "https://www.fedlex.admin.ch/eli/cc/2013/617/en" \l "chap_3"</w:instrText>
      </w:r>
      <w:r>
        <w:rPr>
          <w:rStyle w:val="Hyperlink"/>
        </w:rPr>
        <w:fldChar w:fldCharType="separate"/>
      </w:r>
      <w:r>
        <w:rPr>
          <w:rStyle w:val="Hyperlink"/>
        </w:rPr>
        <w:t>particularly vulnerable</w:t>
      </w:r>
      <w:r>
        <w:rPr>
          <w:rStyle w:val="Hyperlink"/>
        </w:rPr>
        <w:fldChar w:fldCharType="end"/>
      </w:r>
      <w:r>
        <w:rPr/>
        <w:t>, thus requiring special protection.</w:t>
      </w:r>
    </w:p>
  </w:footnote>
  <w:footnote w:id="15">
    <w:p>
      <w:pPr>
        <w:pStyle w:val="Footnote"/>
        <w:widowControl w:val="false"/>
        <w:spacing w:before="0" w:after="120"/>
        <w:rPr/>
      </w:pPr>
      <w:r>
        <w:rPr>
          <w:rStyle w:val="FootnoteCharacters2"/>
        </w:rPr>
        <w:footnoteRef/>
      </w:r>
      <w:r>
        <w:rPr>
          <w:lang w:val="en-US"/>
        </w:rPr>
        <w:t xml:space="preserve"> </w:t>
      </w:r>
      <w:r>
        <w:rPr>
          <w:lang w:val="en-US"/>
        </w:rPr>
        <w:t xml:space="preserve">This might include </w:t>
      </w:r>
      <w:r>
        <w:rPr>
          <w:rFonts w:eastAsia="Calibri"/>
          <w:lang w:val="en-US"/>
        </w:rPr>
        <w:t>protection against unauthorized or unlawful processing and against accidental loss, destruction, or damage.</w:t>
      </w:r>
    </w:p>
  </w:footnote>
  <w:footnote w:id="16">
    <w:p>
      <w:pPr>
        <w:pStyle w:val="Footnote"/>
        <w:widowControl w:val="false"/>
        <w:spacing w:before="0" w:after="120"/>
        <w:rPr/>
      </w:pPr>
      <w:r>
        <w:rPr>
          <w:rStyle w:val="FootnoteCharacters2"/>
        </w:rPr>
        <w:footnoteRef/>
      </w:r>
      <w:r>
        <w:rPr>
          <w:lang w:val="en-US"/>
        </w:rPr>
        <w:t xml:space="preserve"> </w:t>
      </w:r>
      <w:r>
        <w:rPr>
          <w:rFonts w:eastAsia="Calibri"/>
          <w:lang w:val="en-US"/>
        </w:rPr>
        <w:t>E.g., private company or other entity that carries out the data processing on the behalf of your research group or laboratory.</w:t>
      </w:r>
    </w:p>
  </w:footnote>
  <w:footnote w:id="17">
    <w:p>
      <w:pPr>
        <w:pStyle w:val="FootnoteText"/>
        <w:spacing w:before="0" w:after="120"/>
        <w:rPr/>
      </w:pPr>
      <w:r>
        <w:rPr>
          <w:rStyle w:val="FootnoteCharacters2"/>
        </w:rPr>
        <w:footnoteRef/>
      </w:r>
      <w:r>
        <w:rPr/>
        <w:t xml:space="preserve"> </w:t>
      </w:r>
      <w:r>
        <w:rPr/>
        <w:t xml:space="preserve">Privacy by Designs: if personal or sensitive data are involved, privacy measures are taken since the initial research stages and throughout its complete development. Privacy by default: if the research includes choices for individuals on how much personal data they share, the default settings should be the most privacy friendly ones. See also </w:t>
      </w:r>
      <w:hyperlink r:id="rId4">
        <w:r>
          <w:rPr>
            <w:rStyle w:val="Hyperlink"/>
          </w:rPr>
          <w:t>https://gdpr.eu/article-25-data-protection-by-design</w:t>
        </w:r>
      </w:hyperlink>
      <w:r>
        <w:rPr/>
        <w:t>.</w:t>
      </w:r>
    </w:p>
  </w:footnote>
  <w:footnote w:id="18">
    <w:p>
      <w:pPr>
        <w:pStyle w:val="Footnote"/>
        <w:widowControl w:val="false"/>
        <w:spacing w:before="0" w:after="120"/>
        <w:rPr>
          <w:lang w:val="en-US"/>
        </w:rPr>
      </w:pPr>
      <w:r>
        <w:rPr>
          <w:rStyle w:val="FootnoteCharacters2"/>
        </w:rPr>
        <w:footnoteRef/>
      </w:r>
      <w:r>
        <w:rPr>
          <w:lang w:val="en-US"/>
        </w:rPr>
        <w:t xml:space="preserve"> </w:t>
      </w:r>
      <w:r>
        <w:rPr>
          <w:rFonts w:eastAsia="Calibri"/>
          <w:lang w:val="en-US"/>
        </w:rPr>
        <w:t>Within the scope of the new FADP, you must keep the event logs related to personal data processing for a period of 2 years.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spacing w:before="120" w:after="160"/>
      <w:jc w:val="right"/>
      <w:rPr/>
    </w:pPr>
    <w:r>
      <w:rPr/>
      <w:t>EPFL v3.4 – Dec 2024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spacing w:before="120" w:after="160"/>
      <w:jc w:val="right"/>
      <w:rPr/>
    </w:pPr>
    <w:r>
      <w:rPr/>
      <w:t>EPFL v3.4 – Dec 2024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rial" w:hAnsi="Arial" w:cs="Arial" w:hint="default"/>
        <w:color w:val="FF0000"/>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8"/>
  <w:autoHyphenation w:val="true"/>
  <w:hyphenationZone w:val="425"/>
  <w:footnotePr>
    <w:numFmt w:val="decimal"/>
    <w:footnote w:id="0"/>
    <w:footnote w:id="1"/>
  </w:footnotePr>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2"/>
        <w:szCs w:val="22"/>
        <w:lang w:val="fr-C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160"/>
      <w:jc w:val="left"/>
    </w:pPr>
    <w:rPr>
      <w:rFonts w:ascii="Arial" w:hAnsi="Arial" w:eastAsia="Arial" w:cs="Arial"/>
      <w:color w:val="auto"/>
      <w:kern w:val="2"/>
      <w:sz w:val="20"/>
      <w:szCs w:val="20"/>
      <w:lang w:val="en-US" w:eastAsia="fr-FR" w:bidi="ar-SA"/>
    </w:rPr>
  </w:style>
  <w:style w:type="paragraph" w:styleId="Heading1">
    <w:name w:val="Heading 1"/>
    <w:basedOn w:val="Normal"/>
    <w:next w:val="Normal"/>
    <w:uiPriority w:val="9"/>
    <w:qFormat/>
    <w:pPr>
      <w:spacing w:before="240" w:after="160"/>
      <w:outlineLvl w:val="0"/>
    </w:pPr>
    <w:rPr>
      <w:b/>
      <w:bCs/>
      <w:sz w:val="28"/>
      <w:szCs w:val="28"/>
    </w:rPr>
  </w:style>
  <w:style w:type="paragraph" w:styleId="Heading2">
    <w:name w:val="Heading 2"/>
    <w:basedOn w:val="Heading1"/>
    <w:next w:val="Normal"/>
    <w:uiPriority w:val="9"/>
    <w:unhideWhenUsed/>
    <w:qFormat/>
    <w:pPr>
      <w:outlineLvl w:val="1"/>
    </w:pPr>
    <w:rPr>
      <w:sz w:val="24"/>
      <w:szCs w:val="24"/>
    </w:rPr>
  </w:style>
  <w:style w:type="paragraph" w:styleId="Heading3">
    <w:name w:val="Heading 3"/>
    <w:basedOn w:val="Normal"/>
    <w:next w:val="Normal"/>
    <w:uiPriority w:val="9"/>
    <w:semiHidden/>
    <w:unhideWhenUsed/>
    <w:qFormat/>
    <w:pPr>
      <w:keepNext w:val="true"/>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val="true"/>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val="true"/>
      <w:keepLines/>
      <w:spacing w:before="40" w:after="0"/>
      <w:outlineLvl w:val="5"/>
    </w:pPr>
    <w:rPr>
      <w:rFonts w:eastAsia="Times New Roman" w:cs="Times New Roman"/>
      <w:i/>
      <w:iCs/>
      <w:color w:val="595959"/>
    </w:rPr>
  </w:style>
  <w:style w:type="paragraph" w:styleId="Heading7">
    <w:name w:val="Heading 7"/>
    <w:basedOn w:val="Normal"/>
    <w:next w:val="Normal"/>
    <w:qFormat/>
    <w:pPr>
      <w:keepNext w:val="true"/>
      <w:keepLines/>
      <w:spacing w:before="40" w:after="0"/>
      <w:outlineLvl w:val="6"/>
    </w:pPr>
    <w:rPr>
      <w:rFonts w:eastAsia="Times New Roman" w:cs="Times New Roman"/>
      <w:color w:val="595959"/>
    </w:rPr>
  </w:style>
  <w:style w:type="paragraph" w:styleId="Heading8">
    <w:name w:val="Heading 8"/>
    <w:basedOn w:val="Normal"/>
    <w:next w:val="Normal"/>
    <w:qFormat/>
    <w:pPr>
      <w:keepNext w:val="true"/>
      <w:keepLines/>
      <w:spacing w:before="0" w:after="0"/>
      <w:outlineLvl w:val="7"/>
    </w:pPr>
    <w:rPr>
      <w:rFonts w:eastAsia="Times New Roman" w:cs="Times New Roman"/>
      <w:i/>
      <w:iCs/>
      <w:color w:val="272727"/>
    </w:rPr>
  </w:style>
  <w:style w:type="paragraph" w:styleId="Heading9">
    <w:name w:val="Heading 9"/>
    <w:basedOn w:val="Normal"/>
    <w:next w:val="Normal"/>
    <w:qFormat/>
    <w:pPr>
      <w:keepNext w:val="true"/>
      <w:keepLines/>
      <w:spacing w:before="0" w:after="0"/>
      <w:outlineLvl w:val="8"/>
    </w:pPr>
    <w:rPr>
      <w:rFonts w:eastAsia="Times New Roman" w:cs="Times New Roman"/>
      <w:color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Pr>
      <w:rFonts w:ascii="Arial" w:hAnsi="Arial" w:eastAsia="Arial" w:cs="Arial"/>
      <w:b/>
      <w:bCs/>
      <w:sz w:val="28"/>
      <w:szCs w:val="28"/>
      <w:lang w:val="en-US" w:eastAsia="fr-FR"/>
    </w:rPr>
  </w:style>
  <w:style w:type="character" w:styleId="Heading2Char" w:customStyle="1">
    <w:name w:val="Heading 2 Char"/>
    <w:basedOn w:val="DefaultParagraphFont"/>
    <w:qFormat/>
    <w:rPr>
      <w:rFonts w:ascii="Arial" w:hAnsi="Arial" w:eastAsia="Arial" w:cs="Arial"/>
      <w:b/>
      <w:bCs/>
      <w:sz w:val="24"/>
      <w:szCs w:val="24"/>
      <w:lang w:val="en-US" w:eastAsia="fr-FR"/>
    </w:rPr>
  </w:style>
  <w:style w:type="character" w:styleId="Heading3Char" w:customStyle="1">
    <w:name w:val="Heading 3 Char"/>
    <w:basedOn w:val="DefaultParagraphFont"/>
    <w:qFormat/>
    <w:rPr>
      <w:rFonts w:eastAsia="Times New Roman" w:cs="Times New Roman"/>
      <w:color w:val="0F4761"/>
      <w:sz w:val="28"/>
      <w:szCs w:val="28"/>
    </w:rPr>
  </w:style>
  <w:style w:type="character" w:styleId="Heading4Char" w:customStyle="1">
    <w:name w:val="Heading 4 Char"/>
    <w:basedOn w:val="DefaultParagraphFont"/>
    <w:qFormat/>
    <w:rPr>
      <w:rFonts w:eastAsia="Times New Roman" w:cs="Times New Roman"/>
      <w:i/>
      <w:iCs/>
      <w:color w:val="0F4761"/>
    </w:rPr>
  </w:style>
  <w:style w:type="character" w:styleId="Heading5Char" w:customStyle="1">
    <w:name w:val="Heading 5 Char"/>
    <w:basedOn w:val="DefaultParagraphFont"/>
    <w:qFormat/>
    <w:rPr>
      <w:rFonts w:eastAsia="Times New Roman" w:cs="Times New Roman"/>
      <w:color w:val="0F4761"/>
    </w:rPr>
  </w:style>
  <w:style w:type="character" w:styleId="Heading6Char" w:customStyle="1">
    <w:name w:val="Heading 6 Char"/>
    <w:basedOn w:val="DefaultParagraphFont"/>
    <w:qFormat/>
    <w:rPr>
      <w:rFonts w:eastAsia="Times New Roman" w:cs="Times New Roman"/>
      <w:i/>
      <w:iCs/>
      <w:color w:val="595959"/>
    </w:rPr>
  </w:style>
  <w:style w:type="character" w:styleId="Heading7Char" w:customStyle="1">
    <w:name w:val="Heading 7 Char"/>
    <w:basedOn w:val="DefaultParagraphFont"/>
    <w:qFormat/>
    <w:rPr>
      <w:rFonts w:eastAsia="Times New Roman" w:cs="Times New Roman"/>
      <w:color w:val="595959"/>
    </w:rPr>
  </w:style>
  <w:style w:type="character" w:styleId="Heading8Char" w:customStyle="1">
    <w:name w:val="Heading 8 Char"/>
    <w:basedOn w:val="DefaultParagraphFont"/>
    <w:qFormat/>
    <w:rPr>
      <w:rFonts w:eastAsia="Times New Roman" w:cs="Times New Roman"/>
      <w:i/>
      <w:iCs/>
      <w:color w:val="272727"/>
    </w:rPr>
  </w:style>
  <w:style w:type="character" w:styleId="Heading9Char" w:customStyle="1">
    <w:name w:val="Heading 9 Char"/>
    <w:basedOn w:val="DefaultParagraphFont"/>
    <w:qFormat/>
    <w:rPr>
      <w:rFonts w:eastAsia="Times New Roman" w:cs="Times New Roman"/>
      <w:color w:val="272727"/>
    </w:rPr>
  </w:style>
  <w:style w:type="character" w:styleId="TitleChar" w:customStyle="1">
    <w:name w:val="Title Char"/>
    <w:basedOn w:val="DefaultParagraphFont"/>
    <w:qFormat/>
    <w:rPr>
      <w:rFonts w:ascii="Arial" w:hAnsi="Arial" w:eastAsia="Times New Roman" w:cs="Arial"/>
      <w:b/>
      <w:bCs/>
      <w:spacing w:val="-10"/>
      <w:kern w:val="2"/>
      <w:sz w:val="36"/>
      <w:szCs w:val="36"/>
      <w:lang w:val="en-US" w:eastAsia="fr-FR"/>
    </w:rPr>
  </w:style>
  <w:style w:type="character" w:styleId="SubtitleChar" w:customStyle="1">
    <w:name w:val="Subtitle Char"/>
    <w:basedOn w:val="DefaultParagraphFont"/>
    <w:qFormat/>
    <w:rPr>
      <w:rFonts w:eastAsia="Times New Roman" w:cs="Times New Roman"/>
      <w:color w:val="595959"/>
      <w:spacing w:val="15"/>
      <w:sz w:val="28"/>
      <w:szCs w:val="28"/>
    </w:rPr>
  </w:style>
  <w:style w:type="character" w:styleId="QuoteChar" w:customStyle="1">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styleId="IntenseQuoteChar" w:customStyle="1">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styleId="HeaderChar" w:customStyle="1">
    <w:name w:val="Header Char"/>
    <w:basedOn w:val="DefaultParagraphFont"/>
    <w:qFormat/>
    <w:rPr/>
  </w:style>
  <w:style w:type="character" w:styleId="FooterChar" w:customStyle="1">
    <w:name w:val="Footer Char"/>
    <w:basedOn w:val="DefaultParagraphFont"/>
    <w:qFormat/>
    <w:rPr/>
  </w:style>
  <w:style w:type="character" w:styleId="Lienhypertexte1" w:customStyle="1">
    <w:name w:val="Lien hypertexte1"/>
    <w:basedOn w:val="DefaultParagraphFont"/>
    <w:qFormat/>
    <w:rPr>
      <w:color w:val="0563C1"/>
      <w:u w:val="single"/>
    </w:rPr>
  </w:style>
  <w:style w:type="character" w:styleId="FollowedHyperlink">
    <w:name w:val="FollowedHyperlink"/>
    <w:basedOn w:val="DefaultParagraphFont"/>
    <w:rPr>
      <w:color w:val="96607D"/>
      <w:u w:val="single"/>
    </w:rPr>
  </w:style>
  <w:style w:type="character" w:styleId="UnresolvedMention">
    <w:name w:val="Unresolved Mention"/>
    <w:basedOn w:val="DefaultParagraphFont"/>
    <w:qFormat/>
    <w:rPr>
      <w:color w:val="605E5C"/>
      <w:shd w:fill="E1DFDD" w:val="clear"/>
    </w:rPr>
  </w:style>
  <w:style w:type="character" w:styleId="HeaderFooterChar" w:customStyle="1">
    <w:name w:val="Header/Footer Char"/>
    <w:basedOn w:val="FooterChar"/>
    <w:qFormat/>
    <w:rPr>
      <w:rFonts w:ascii="Arial" w:hAnsi="Arial" w:eastAsia="Arial" w:cs="Arial"/>
      <w:sz w:val="16"/>
      <w:szCs w:val="16"/>
      <w:lang w:val="en-US" w:eastAsia="fr-FR"/>
    </w:rPr>
  </w:style>
  <w:style w:type="character" w:styleId="ExplainingChar" w:customStyle="1">
    <w:name w:val="Explaining Char"/>
    <w:basedOn w:val="DefaultParagraphFont"/>
    <w:qFormat/>
    <w:rPr>
      <w:rFonts w:ascii="Arial" w:hAnsi="Arial" w:eastAsia="Arial" w:cs="Arial"/>
      <w:lang w:val="en-US"/>
    </w:rPr>
  </w:style>
  <w:style w:type="character" w:styleId="FootnoteTextChar" w:customStyle="1">
    <w:name w:val="Footnote Text Char"/>
    <w:basedOn w:val="DefaultParagraphFont"/>
    <w:qFormat/>
    <w:rPr>
      <w:rFonts w:ascii="Arial" w:hAnsi="Arial" w:eastAsia="Arial" w:cs="Arial"/>
      <w:sz w:val="16"/>
      <w:szCs w:val="20"/>
      <w:lang w:val="en-US" w:eastAsia="fr-FR"/>
    </w:rPr>
  </w:style>
  <w:style w:type="character" w:styleId="FootnoteCharacters" w:customStyle="1">
    <w:name w:val="Footnote Characters"/>
    <w:qFormat/>
    <w:rPr/>
  </w:style>
  <w:style w:type="character" w:styleId="Appelnotedebasdep1" w:customStyle="1">
    <w:name w:val="Appel note de bas de p.1"/>
    <w:qFormat/>
    <w:rPr>
      <w:vertAlign w:val="superscript"/>
    </w:rPr>
  </w:style>
  <w:style w:type="character" w:styleId="EndnoteCharacters" w:customStyle="1">
    <w:name w:val="Endnote Characters"/>
    <w:qFormat/>
    <w:rPr/>
  </w:style>
  <w:style w:type="character" w:styleId="ExamplesChar" w:customStyle="1">
    <w:name w:val="Examples Char"/>
    <w:basedOn w:val="DefaultParagraphFont"/>
    <w:qFormat/>
    <w:rPr>
      <w:rFonts w:ascii="Arial" w:hAnsi="Arial" w:eastAsia="Arial" w:cs="Arial"/>
      <w:i/>
      <w:szCs w:val="24"/>
      <w:lang w:val="en-US" w:eastAsia="fr-CH"/>
    </w:rPr>
  </w:style>
  <w:style w:type="character" w:styleId="annotationreference">
    <w:name w:val="annotation reference"/>
    <w:basedOn w:val="DefaultParagraphFont"/>
    <w:uiPriority w:val="99"/>
    <w:semiHidden/>
    <w:unhideWhenUsed/>
    <w:qFormat/>
    <w:rsid w:val="00742995"/>
    <w:rPr>
      <w:sz w:val="16"/>
      <w:szCs w:val="16"/>
    </w:rPr>
  </w:style>
  <w:style w:type="character" w:styleId="CommentaireCar" w:customStyle="1">
    <w:name w:val="Commentaire Car"/>
    <w:basedOn w:val="DefaultParagraphFont"/>
    <w:link w:val="AnnotationText"/>
    <w:uiPriority w:val="99"/>
    <w:semiHidden/>
    <w:qFormat/>
    <w:rsid w:val="00742995"/>
    <w:rPr>
      <w:rFonts w:ascii="Arial" w:hAnsi="Arial" w:eastAsia="Arial" w:cs="Arial"/>
      <w:sz w:val="20"/>
      <w:szCs w:val="20"/>
      <w:lang w:val="en-US" w:eastAsia="fr-FR"/>
    </w:rPr>
  </w:style>
  <w:style w:type="character" w:styleId="ObjetducommentaireCar" w:customStyle="1">
    <w:name w:val="Objet du commentaire Car"/>
    <w:basedOn w:val="CommentaireCar"/>
    <w:link w:val="annotationsubject"/>
    <w:uiPriority w:val="99"/>
    <w:semiHidden/>
    <w:qFormat/>
    <w:rsid w:val="00742995"/>
    <w:rPr>
      <w:rFonts w:ascii="Arial" w:hAnsi="Arial" w:eastAsia="Arial" w:cs="Arial"/>
      <w:b/>
      <w:bCs/>
      <w:sz w:val="20"/>
      <w:szCs w:val="20"/>
      <w:lang w:val="en-US" w:eastAsia="fr-FR"/>
    </w:rPr>
  </w:style>
  <w:style w:type="character" w:styleId="IndexLink" w:customStyle="1">
    <w:name w:val="Index Link"/>
    <w:qFormat/>
    <w:rPr/>
  </w:style>
  <w:style w:type="character" w:styleId="LineNumber">
    <w:name w:val="Line Number"/>
    <w:rPr/>
  </w:style>
  <w:style w:type="character" w:styleId="EndnoteCharacters1">
    <w:name w:val="Endnote Characters1"/>
    <w:qFormat/>
    <w:rPr>
      <w:vertAlign w:val="superscript"/>
    </w:rPr>
  </w:style>
  <w:style w:type="character" w:styleId="EndnoteCharacters2">
    <w:name w:val="Endnote Characters2"/>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character" w:styleId="FootnoteCharacters1">
    <w:name w:val="Footnote Characters1"/>
    <w:qFormat/>
    <w:rPr/>
  </w:style>
  <w:style w:type="character" w:styleId="FootnoteCharacters2">
    <w:name w:val="Footnote Characters2"/>
    <w:qFormat/>
    <w:rPr>
      <w:vertAlign w:val="superscript"/>
    </w:rPr>
  </w:style>
  <w:style w:type="character" w:styleId="FootnoteReference">
    <w:name w:val="Footnote Reference"/>
    <w:rPr>
      <w:vertAlign w:val="superscript"/>
    </w:rPr>
  </w:style>
  <w:style w:type="paragraph" w:styleId="Heading" w:customStyle="1">
    <w:name w:val="Heading"/>
    <w:basedOn w:val="Standard"/>
    <w:next w:val="Textbody"/>
    <w:qFormat/>
    <w:pPr>
      <w:keepNext w:val="true"/>
      <w:spacing w:before="240" w:after="160"/>
    </w:pPr>
    <w:rPr>
      <w:rFonts w:ascii="Liberation Sans" w:hAnsi="Liberation Sans" w:eastAsia="Noto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Standard" w:customStyle="1">
    <w:name w:val="Standard"/>
    <w:qFormat/>
    <w:pPr>
      <w:widowControl/>
      <w:suppressAutoHyphens w:val="true"/>
      <w:bidi w:val="0"/>
      <w:spacing w:before="0" w:after="120"/>
      <w:jc w:val="left"/>
      <w:textAlignment w:val="baseline"/>
    </w:pPr>
    <w:rPr>
      <w:rFonts w:ascii="Arial" w:hAnsi="Arial" w:eastAsia="Arial" w:cs="Arial"/>
      <w:color w:val="auto"/>
      <w:kern w:val="0"/>
      <w:sz w:val="24"/>
      <w:szCs w:val="22"/>
      <w:lang w:val="fr-CH" w:eastAsia="en-US" w:bidi="ar-SA"/>
    </w:rPr>
  </w:style>
  <w:style w:type="paragraph" w:styleId="Textbody" w:customStyle="1">
    <w:name w:val="Text body"/>
    <w:basedOn w:val="Standard"/>
    <w:qFormat/>
    <w:pPr>
      <w:spacing w:lineRule="auto" w:line="276" w:before="0" w:after="140"/>
    </w:pPr>
    <w:rPr/>
  </w:style>
  <w:style w:type="paragraph" w:styleId="Title">
    <w:name w:val="Title"/>
    <w:basedOn w:val="Normal"/>
    <w:next w:val="Normal"/>
    <w:uiPriority w:val="10"/>
    <w:qFormat/>
    <w:pPr>
      <w:spacing w:lineRule="auto" w:line="240" w:before="0" w:after="80"/>
      <w:contextualSpacing/>
    </w:pPr>
    <w:rPr>
      <w:rFonts w:eastAsia="Times New Roman"/>
      <w:b/>
      <w:bCs/>
      <w:spacing w:val="-10"/>
      <w:sz w:val="36"/>
      <w:szCs w:val="36"/>
    </w:rPr>
  </w:style>
  <w:style w:type="paragraph" w:styleId="Subtitle">
    <w:name w:val="Subtitle"/>
    <w:basedOn w:val="Normal"/>
    <w:next w:val="Normal"/>
    <w:uiPriority w:val="11"/>
    <w:qFormat/>
    <w:pPr/>
    <w:rPr>
      <w:rFonts w:eastAsia="Times New Roman"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HeaderandFooter" w:customStyle="1">
    <w:name w:val="Header and Footer"/>
    <w:basedOn w:val="Standard"/>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HeaderFooter" w:customStyle="1">
    <w:name w:val="Header/Footer"/>
    <w:basedOn w:val="Footer"/>
    <w:qFormat/>
    <w:pPr>
      <w:spacing w:before="120" w:after="160"/>
      <w:jc w:val="right"/>
    </w:pPr>
    <w:rPr>
      <w:sz w:val="16"/>
      <w:szCs w:val="16"/>
    </w:rPr>
  </w:style>
  <w:style w:type="paragraph" w:styleId="IndexHeading">
    <w:name w:val="Index Heading"/>
    <w:basedOn w:val="Heading"/>
    <w:pPr/>
    <w:rPr/>
  </w:style>
  <w:style w:type="paragraph" w:styleId="TOCHeading">
    <w:name w:val="TOC Heading"/>
    <w:basedOn w:val="Heading1"/>
    <w:next w:val="Normal"/>
    <w:qFormat/>
    <w:pPr>
      <w:keepNext w:val="true"/>
      <w:keepLines/>
      <w:spacing w:before="0" w:after="0"/>
    </w:pPr>
    <w:rPr>
      <w:rFonts w:ascii="Aptos Display" w:hAnsi="Aptos Display" w:eastAsia="Times New Roman" w:cs="Times New Roman"/>
      <w:b w:val="false"/>
      <w:bCs w:val="false"/>
      <w:color w:val="0F4761"/>
      <w:kern w:val="0"/>
      <w:sz w:val="32"/>
      <w:szCs w:val="32"/>
      <w:lang w:eastAsia="en-US"/>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00"/>
    </w:pPr>
    <w:rPr/>
  </w:style>
  <w:style w:type="paragraph" w:styleId="Explaining" w:customStyle="1">
    <w:name w:val="Explaining"/>
    <w:basedOn w:val="Normal"/>
    <w:qFormat/>
    <w:pPr>
      <w:tabs>
        <w:tab w:val="clear" w:pos="708"/>
        <w:tab w:val="left" w:pos="3404" w:leader="none"/>
      </w:tabs>
      <w:spacing w:lineRule="auto" w:line="240"/>
      <w:textAlignment w:val="baseline"/>
    </w:pPr>
    <w:rPr>
      <w:kern w:val="0"/>
      <w:sz w:val="22"/>
      <w:szCs w:val="22"/>
      <w:lang w:eastAsia="en-US"/>
    </w:rPr>
  </w:style>
  <w:style w:type="paragraph" w:styleId="Heading2bis" w:customStyle="1">
    <w:name w:val="Heading 2 bis"/>
    <w:basedOn w:val="Heading2"/>
    <w:qFormat/>
    <w:pPr>
      <w:spacing w:lineRule="auto" w:line="240" w:before="0" w:after="40"/>
      <w:textAlignment w:val="baseline"/>
    </w:pPr>
    <w:rPr>
      <w:smallCaps/>
      <w:color w:val="C00000"/>
      <w:kern w:val="0"/>
      <w:sz w:val="28"/>
      <w:lang w:eastAsia="en-US"/>
    </w:rPr>
  </w:style>
  <w:style w:type="paragraph" w:styleId="FootnoteText">
    <w:name w:val="Footnote Text"/>
    <w:basedOn w:val="Normal"/>
    <w:pPr>
      <w:spacing w:lineRule="auto" w:line="240" w:before="0" w:after="0"/>
    </w:pPr>
    <w:rPr>
      <w:sz w:val="16"/>
    </w:rPr>
  </w:style>
  <w:style w:type="paragraph" w:styleId="Footnote" w:customStyle="1">
    <w:name w:val="Footnote"/>
    <w:basedOn w:val="Normal"/>
    <w:qFormat/>
    <w:pPr>
      <w:spacing w:lineRule="auto" w:line="240" w:before="0" w:after="120"/>
      <w:textAlignment w:val="baseline"/>
    </w:pPr>
    <w:rPr>
      <w:kern w:val="0"/>
      <w:sz w:val="16"/>
      <w:szCs w:val="22"/>
      <w:lang w:val="fr-CH" w:eastAsia="en-US"/>
    </w:rPr>
  </w:style>
  <w:style w:type="paragraph" w:styleId="NormalWeb">
    <w:name w:val="Normal (Web)"/>
    <w:basedOn w:val="Standard"/>
    <w:qFormat/>
    <w:pPr/>
    <w:rPr>
      <w:rFonts w:ascii="Times New Roman" w:hAnsi="Times New Roman" w:eastAsia="Times New Roman" w:cs="Times New Roman"/>
      <w:szCs w:val="24"/>
    </w:rPr>
  </w:style>
  <w:style w:type="paragraph" w:styleId="Examples" w:customStyle="1">
    <w:name w:val="Examples"/>
    <w:basedOn w:val="Standard"/>
    <w:qFormat/>
    <w:pPr>
      <w:spacing w:before="240" w:after="160"/>
    </w:pPr>
    <w:rPr>
      <w:i/>
      <w:sz w:val="22"/>
      <w:szCs w:val="24"/>
      <w:lang w:val="en-US" w:eastAsia="fr-CH"/>
    </w:rPr>
  </w:style>
  <w:style w:type="paragraph" w:styleId="Textintables" w:customStyle="1">
    <w:name w:val="Text_in_tables"/>
    <w:basedOn w:val="Normal"/>
    <w:qFormat/>
    <w:pPr>
      <w:spacing w:lineRule="auto" w:line="240" w:before="120" w:after="120"/>
    </w:pPr>
    <w:rPr>
      <w:rFonts w:eastAsia="Calibri"/>
    </w:rPr>
  </w:style>
  <w:style w:type="paragraph" w:styleId="TableContents" w:customStyle="1">
    <w:name w:val="Table Contents"/>
    <w:basedOn w:val="Standard"/>
    <w:qFormat/>
    <w:pPr>
      <w:widowControl w:val="false"/>
      <w:suppressLineNumbers/>
    </w:pPr>
    <w:rPr/>
  </w:style>
  <w:style w:type="paragraph" w:styleId="TableHeading" w:customStyle="1">
    <w:name w:val="Table Heading"/>
    <w:basedOn w:val="TableContents"/>
    <w:qFormat/>
    <w:pPr>
      <w:jc w:val="center"/>
    </w:pPr>
    <w:rPr>
      <w:b/>
      <w:bCs/>
    </w:rPr>
  </w:style>
  <w:style w:type="paragraph" w:styleId="Revision">
    <w:name w:val="Revision"/>
    <w:uiPriority w:val="99"/>
    <w:semiHidden/>
    <w:qFormat/>
    <w:rsid w:val="00742995"/>
    <w:pPr>
      <w:widowControl/>
      <w:suppressAutoHyphens w:val="true"/>
      <w:bidi w:val="0"/>
      <w:spacing w:before="0" w:after="0"/>
      <w:jc w:val="left"/>
    </w:pPr>
    <w:rPr>
      <w:rFonts w:ascii="Arial" w:hAnsi="Arial" w:eastAsia="Arial" w:cs="Arial"/>
      <w:color w:val="auto"/>
      <w:kern w:val="2"/>
      <w:sz w:val="20"/>
      <w:szCs w:val="20"/>
      <w:lang w:val="en-US" w:eastAsia="fr-FR" w:bidi="ar-SA"/>
    </w:rPr>
  </w:style>
  <w:style w:type="paragraph" w:styleId="AnnotationText">
    <w:name w:val="Annotation Text"/>
    <w:basedOn w:val="Normal"/>
    <w:link w:val="CommentaireCar"/>
    <w:uiPriority w:val="99"/>
    <w:semiHidden/>
    <w:unhideWhenUsed/>
    <w:rsid w:val="00742995"/>
    <w:pPr>
      <w:spacing w:lineRule="auto" w:line="240"/>
    </w:pPr>
    <w:rPr/>
  </w:style>
  <w:style w:type="paragraph" w:styleId="annotationsubject">
    <w:name w:val="annotation subject"/>
    <w:basedOn w:val="AnnotationText"/>
    <w:next w:val="AnnotationText"/>
    <w:link w:val="ObjetducommentaireCar"/>
    <w:uiPriority w:val="99"/>
    <w:semiHidden/>
    <w:unhideWhenUsed/>
    <w:qFormat/>
    <w:rsid w:val="00742995"/>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searchdata@epfl.ch" TargetMode="External"/><Relationship Id="rId3" Type="http://schemas.openxmlformats.org/officeDocument/2006/relationships/hyperlink" Target="mailto:dpo@epfl.ch" TargetMode="External"/><Relationship Id="rId4" Type="http://schemas.openxmlformats.org/officeDocument/2006/relationships/hyperlink" Target="mailto:research@epfl.ch" TargetMode="External"/><Relationship Id="rId5" Type="http://schemas.openxmlformats.org/officeDocument/2006/relationships/hyperlink" Target="mailto:tto@epfl.ch" TargetMode="External"/><Relationship Id="rId6" Type="http://schemas.openxmlformats.org/officeDocument/2006/relationships/hyperlink" Target="mailto:rens.chazottes@epfl.ch" TargetMode="External"/><Relationship Id="rId7" Type="http://schemas.openxmlformats.org/officeDocument/2006/relationships/hyperlink" Target="mailto:robin.huguenot-noel@fu-berlin.de" TargetMode="External"/><Relationship Id="rId8" Type="http://schemas.openxmlformats.org/officeDocument/2006/relationships/hyperlink" Target="https://orcid.org/0000-0002-4100-2809" TargetMode="External"/><Relationship Id="rId9" Type="http://schemas.openxmlformats.org/officeDocument/2006/relationships/hyperlink" Target="mailto:rens.chazottes@epfl.ch" TargetMode="External"/><Relationship Id="rId10" Type="http://schemas.openxmlformats.org/officeDocument/2006/relationships/hyperlink" Target="https://success.qualtrics.com/rs/542-FMF-412/images/Qualtrics%20GTC%20DPA%20%28for%20Online%29%20Template%20250523-MJR.pdf?version=0"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notes" Target="footnotes.xml"/><Relationship Id="rId18" Type="http://schemas.openxmlformats.org/officeDocument/2006/relationships/comments" Target="comments.xml"/><Relationship Id="rId19" Type="http://schemas.microsoft.com/office/2011/relationships/commentsExtended" Target="commentsExtended.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mailto:researchdata@epfl.ch" TargetMode="External"/><Relationship Id="rId2" Type="http://schemas.openxmlformats.org/officeDocument/2006/relationships/hyperlink" Target="https://go.epfl.ch/rdm" TargetMode="External"/>
</Relationships>
</file>

<file path=word/_rels/footer3.xml.rels><?xml version="1.0" encoding="UTF-8"?>
<Relationships xmlns="http://schemas.openxmlformats.org/package/2006/relationships"><Relationship Id="rId1" Type="http://schemas.openxmlformats.org/officeDocument/2006/relationships/hyperlink" Target="mailto:researchdata@epfl.ch" TargetMode="External"/><Relationship Id="rId2" Type="http://schemas.openxmlformats.org/officeDocument/2006/relationships/hyperlink" Target="https://go.epfl.ch/rdm" TargetMode="External"/>
</Relationships>
</file>

<file path=word/_rels/footnotes.xml.rels><?xml version="1.0" encoding="UTF-8"?>
<Relationships xmlns="http://schemas.openxmlformats.org/package/2006/relationships"><Relationship Id="rId1" Type="http://schemas.openxmlformats.org/officeDocument/2006/relationships/hyperlink" Target="https://www.epfl.ch/research/ethic-statement/compliance" TargetMode="External"/><Relationship Id="rId2" Type="http://schemas.openxmlformats.org/officeDocument/2006/relationships/hyperlink" Target="http://www.dpconline.org/docman/digital-preservation-handbook/299-digital-preservation-handbook/file" TargetMode="External"/><Relationship Id="rId3" Type="http://schemas.openxmlformats.org/officeDocument/2006/relationships/hyperlink" Target="https://go.epfl.ch/datarepo" TargetMode="External"/><Relationship Id="rId4" Type="http://schemas.openxmlformats.org/officeDocument/2006/relationships/hyperlink" Target="https://gdpr.eu/article-25-data-protection-by-design" TargetMode="Externa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LibreOffice/24.2.6.2$Linux_X86_64 LibreOffice_project/420$Build-2</Application>
  <AppVersion>15.0000</AppVersion>
  <Pages>12</Pages>
  <Words>3079</Words>
  <Characters>17628</Characters>
  <CharactersWithSpaces>20441</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2025-07-09T04:23:00Z</dcterms:created>
  <dc:creator>Chiara Gabella</dc:creator>
  <dc:description/>
  <dc:language>en-US</dc:language>
  <cp:lastModifiedBy/>
  <dcterms:modified xsi:type="dcterms:W3CDTF">2025-07-18T13:13:03Z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