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>
          <w:rFonts w:ascii="Liberation Serif" w:hAnsi="Liberation Serif"/>
          <w:sz w:val="26"/>
          <w:szCs w:val="26"/>
        </w:rPr>
      </w:pPr>
      <w:r>
        <w:rPr>
          <w:rFonts w:cs="Calibri" w:ascii="Liberation Serif" w:hAnsi="Liberation Serif"/>
          <w:b/>
          <w:bCs/>
          <w:color w:val="890517"/>
          <w:kern w:val="0"/>
          <w:sz w:val="26"/>
          <w:szCs w:val="26"/>
          <w:lang w:val="en-GB"/>
        </w:rPr>
        <w:t>Mobilising worker support for Just Transition policies: Testing the ‘Union Effect’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>Introduction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sz w:val="19"/>
          <w:szCs w:val="19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>
        <w:rPr>
          <w:rFonts w:cs="Calibri" w:ascii="Liberation Serif" w:hAnsi="Liberation Serif"/>
          <w:b/>
          <w:bCs/>
          <w:sz w:val="19"/>
          <w:szCs w:val="19"/>
          <w:lang w:val="en-GB"/>
        </w:rPr>
        <w:t xml:space="preserve">political sustainability of decarbonisation policies hinges on more than their environmental rationale.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sz w:val="19"/>
          <w:szCs w:val="19"/>
          <w:lang w:val="en-GB"/>
        </w:rPr>
        <w:t>As part of its Just Transition agenda, the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 EU today supports key industrial regions such as Eastern Wielkopolska in Poland, Lusatia in Germany, or the Hauts-de-France in France,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territories where climate policy meets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longstanding economic dependency on coal, heavy industry, or automotive manufacturing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>.</w:t>
      </w:r>
    </w:p>
    <w:p>
      <w:pPr>
        <w:pStyle w:val="Normal"/>
        <w:spacing w:lineRule="auto" w:line="276" w:before="120" w:after="24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sz w:val="19"/>
          <w:szCs w:val="19"/>
        </w:rPr>
        <w:t xml:space="preserve">Today, we yet strive to know more about the </w:t>
      </w:r>
      <w:r>
        <w:rPr>
          <w:rFonts w:cs="Calibri" w:ascii="Liberation Serif" w:hAnsi="Liberation Serif"/>
          <w:b/>
          <w:bCs/>
          <w:sz w:val="19"/>
          <w:szCs w:val="19"/>
        </w:rPr>
        <w:t>effectiveness of these tools in securing lasting political support</w:t>
      </w:r>
      <w:r>
        <w:rPr>
          <w:rFonts w:cs="Calibri" w:ascii="Liberation Serif" w:hAnsi="Liberation Serif"/>
          <w:sz w:val="19"/>
          <w:szCs w:val="19"/>
        </w:rPr>
        <w:t xml:space="preserve"> among workers at risk of job loss and communities facing long-term economic restructuring.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>Research objectives and contributions</w:t>
      </w:r>
    </w:p>
    <w:p>
      <w:pPr>
        <w:pStyle w:val="Normal"/>
        <w:spacing w:lineRule="auto" w:line="276" w:before="120" w:after="120"/>
        <w:jc w:val="both"/>
        <w:rPr/>
      </w:pPr>
      <w:r>
        <w:rPr>
          <w:rStyle w:val="Strong"/>
          <w:rFonts w:cs="Calibri" w:ascii="Liberation Serif" w:hAnsi="Liberation Serif"/>
          <w:sz w:val="19"/>
          <w:szCs w:val="19"/>
        </w:rPr>
        <w:t>When are workers willing to support climate measures that may put their current jobs at risk?</w:t>
      </w:r>
      <w:r>
        <w:rPr>
          <w:rFonts w:cs="Calibri" w:ascii="Liberation Serif" w:hAnsi="Liberation Serif"/>
          <w:sz w:val="19"/>
          <w:szCs w:val="19"/>
        </w:rPr>
        <w:t xml:space="preserve"> </w:t>
      </w:r>
      <w:r>
        <w:rPr>
          <w:rFonts w:cs="Calibri" w:ascii="Liberation Serif" w:hAnsi="Liberation Serif"/>
          <w:b/>
          <w:bCs/>
          <w:sz w:val="19"/>
          <w:szCs w:val="19"/>
        </w:rPr>
        <w:t>How</w:t>
      </w:r>
      <w:r>
        <w:rPr>
          <w:rStyle w:val="Strong"/>
          <w:rFonts w:cs="Calibri" w:ascii="Liberation Serif" w:hAnsi="Liberation Serif"/>
          <w:sz w:val="19"/>
          <w:szCs w:val="19"/>
        </w:rPr>
        <w:t xml:space="preserve"> does the position taken by trade unions shape those views?</w:t>
      </w:r>
    </w:p>
    <w:p>
      <w:pPr>
        <w:pStyle w:val="NormalWeb"/>
        <w:spacing w:lineRule="auto" w:line="276" w:beforeAutospacing="0" w:before="120" w:afterAutospacing="0" w:after="120"/>
        <w:jc w:val="both"/>
        <w:rPr/>
      </w:pPr>
      <w:r>
        <w:rPr>
          <w:rFonts w:cs="Calibri" w:ascii="Liberation Serif" w:hAnsi="Liberation Serif"/>
          <w:sz w:val="19"/>
          <w:szCs w:val="19"/>
        </w:rPr>
        <w:t>Thi study first aims to understand the impact of different Just Transition strategies on climate policy support. For this, we distinguish between c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ompensation</w:t>
      </w:r>
      <w:r>
        <w:rPr>
          <w:rFonts w:cs="Calibri" w:ascii="Liberation Serif" w:hAnsi="Liberation Serif"/>
          <w:sz w:val="19"/>
          <w:szCs w:val="19"/>
        </w:rPr>
        <w:t xml:space="preserve"> (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targeted support to affected workers) </w:t>
      </w:r>
      <w:r>
        <w:rPr>
          <w:rFonts w:cs="Calibri" w:ascii="Liberation Serif" w:hAnsi="Liberation Serif"/>
          <w:sz w:val="19"/>
          <w:szCs w:val="19"/>
        </w:rPr>
        <w:t xml:space="preserve">and 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community approaches</w:t>
      </w:r>
      <w:r>
        <w:rPr>
          <w:rFonts w:cs="Calibri" w:ascii="Liberation Serif" w:hAnsi="Liberation Serif"/>
          <w:sz w:val="19"/>
          <w:szCs w:val="19"/>
        </w:rPr>
        <w:t xml:space="preserve"> (</w:t>
      </w:r>
      <w:r>
        <w:rPr>
          <w:rFonts w:cs="Calibri" w:ascii="Liberation Serif" w:hAnsi="Liberation Serif"/>
          <w:b/>
          <w:bCs/>
          <w:sz w:val="19"/>
          <w:szCs w:val="19"/>
        </w:rPr>
        <w:t>long-term rejuvenation</w:t>
      </w:r>
      <w:r>
        <w:rPr>
          <w:rFonts w:cs="Calibri" w:ascii="Liberation Serif" w:hAnsi="Liberation Serif"/>
          <w:sz w:val="19"/>
          <w:szCs w:val="19"/>
        </w:rPr>
        <w:t xml:space="preserve"> of affected regions) and evaluate the relative impact of these approaches.</w:t>
      </w:r>
    </w:p>
    <w:p>
      <w:pPr>
        <w:pStyle w:val="NormalWeb"/>
        <w:spacing w:lineRule="auto" w:line="276" w:beforeAutospacing="0" w:before="120" w:afterAutospacing="0" w:after="240"/>
        <w:jc w:val="both"/>
        <w:rPr/>
      </w:pPr>
      <w:r>
        <w:rPr>
          <w:rFonts w:cs="Calibri" w:ascii="Liberation Serif" w:hAnsi="Liberation Serif"/>
          <w:sz w:val="19"/>
          <w:szCs w:val="19"/>
        </w:rPr>
        <w:t xml:space="preserve">The second arm of this study explores the role of 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unions and other worker organisations</w:t>
      </w:r>
      <w:r>
        <w:rPr>
          <w:rFonts w:cs="Calibri" w:ascii="Liberation Serif" w:hAnsi="Liberation Serif"/>
          <w:sz w:val="19"/>
          <w:szCs w:val="19"/>
        </w:rPr>
        <w:t xml:space="preserve"> in shaping how these policies are perceived by workers. We look at 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how the </w:t>
      </w:r>
      <w:r>
        <w:rPr>
          <w:rStyle w:val="Strong"/>
          <w:rFonts w:eastAsia="" w:cs="Calibri" w:ascii="Liberation Serif" w:hAnsi="Liberation Serif" w:eastAsiaTheme="majorEastAsia"/>
          <w:sz w:val="19"/>
          <w:szCs w:val="19"/>
        </w:rPr>
        <w:t>credibility and visibility of union support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 can build trust in climate-related reforms</w:t>
      </w:r>
      <w:r>
        <w:rPr>
          <w:rFonts w:cs="Calibri" w:ascii="Liberation Serif" w:hAnsi="Liberation Serif"/>
          <w:sz w:val="19"/>
          <w:szCs w:val="19"/>
        </w:rPr>
        <w:t xml:space="preserve">. </w:t>
      </w:r>
    </w:p>
    <w:p>
      <w:pPr>
        <w:pStyle w:val="NormalWeb"/>
        <w:spacing w:lineRule="auto" w:line="276" w:beforeAutospacing="0" w:before="120" w:afterAutospacing="0" w:after="240"/>
        <w:jc w:val="both"/>
        <w:rPr/>
      </w:pPr>
      <w:r>
        <w:rPr>
          <w:rFonts w:cs="Calibri" w:ascii="Liberation Serif" w:hAnsi="Liberation Serif"/>
          <w:sz w:val="19"/>
          <w:szCs w:val="19"/>
        </w:rPr>
        <w:t xml:space="preserve">Ultimately, our project seeks to identify 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politically sustainable Just Transition strategies</w:t>
      </w:r>
      <w:r>
        <w:rPr>
          <w:rFonts w:cs="Calibri" w:ascii="Liberation Serif" w:hAnsi="Liberation Serif"/>
          <w:sz w:val="19"/>
          <w:szCs w:val="19"/>
        </w:rPr>
        <w:t xml:space="preserve"> while offering unions with 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practical tools</w:t>
      </w:r>
      <w:r>
        <w:rPr>
          <w:rFonts w:cs="Calibri" w:ascii="Liberation Serif" w:hAnsi="Liberation Serif"/>
          <w:sz w:val="19"/>
          <w:szCs w:val="19"/>
        </w:rPr>
        <w:t xml:space="preserve"> to </w:t>
      </w:r>
      <w:r>
        <w:rPr>
          <w:rFonts w:cs="Calibri" w:ascii="Liberation Serif" w:hAnsi="Liberation Serif"/>
          <w:b/>
          <w:bCs/>
          <w:sz w:val="19"/>
          <w:szCs w:val="19"/>
        </w:rPr>
        <w:t>anticipate challenges and strengthen worker engagement in different contexts.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>Methods and data</w:t>
      </w:r>
    </w:p>
    <w:p>
      <w:pPr>
        <w:pStyle w:val="Normal"/>
        <w:spacing w:lineRule="auto" w:line="276" w:before="120" w:after="120"/>
        <w:jc w:val="both"/>
        <w:rPr/>
      </w:pPr>
      <w:r>
        <w:rPr>
          <w:rFonts w:cs="Calibri" w:ascii="Liberation Serif" w:hAnsi="Liberation Serif"/>
          <w:sz w:val="19"/>
          <w:szCs w:val="19"/>
        </w:rPr>
        <w:t xml:space="preserve">To ensure that our results reflect the concerns of those most affected, we are recruiting a </w:t>
      </w:r>
      <w:r>
        <w:rPr>
          <w:rStyle w:val="Strong"/>
          <w:rFonts w:eastAsia="" w:cs="Calibri" w:ascii="Liberation Serif" w:hAnsi="Liberation Serif" w:eastAsiaTheme="majorEastAsia"/>
          <w:sz w:val="19"/>
          <w:szCs w:val="19"/>
        </w:rPr>
        <w:t>representative sample of 1,500 workers</w:t>
      </w:r>
      <w:r>
        <w:rPr>
          <w:rFonts w:cs="Calibri" w:ascii="Liberation Serif" w:hAnsi="Liberation Serif"/>
          <w:sz w:val="19"/>
          <w:szCs w:val="19"/>
        </w:rPr>
        <w:t xml:space="preserve"> </w:t>
      </w:r>
      <w:r>
        <w:rPr>
          <w:rFonts w:cs="Calibri" w:ascii="Liberation Serif" w:hAnsi="Liberation Serif"/>
          <w:b/>
          <w:bCs/>
          <w:sz w:val="19"/>
          <w:szCs w:val="19"/>
        </w:rPr>
        <w:t>in sectors</w:t>
      </w:r>
      <w:r>
        <w:rPr>
          <w:rFonts w:cs="Calibri" w:ascii="Liberation Serif" w:hAnsi="Liberation Serif"/>
          <w:sz w:val="19"/>
          <w:szCs w:val="19"/>
        </w:rPr>
        <w:t xml:space="preserve"> 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vulnerable to decarbonization policies </w:t>
      </w:r>
      <w:r>
        <w:rPr>
          <w:rFonts w:cs="Calibri" w:ascii="Liberation Serif" w:hAnsi="Liberation Serif"/>
          <w:sz w:val="19"/>
          <w:szCs w:val="19"/>
        </w:rPr>
        <w:t xml:space="preserve">across EU countries. The survey will be distributed in collaboration with </w:t>
      </w: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unions and employers networks</w:t>
      </w:r>
      <w:r>
        <w:rPr>
          <w:rFonts w:cs="Calibri" w:ascii="Liberation Serif" w:hAnsi="Liberation Serif"/>
          <w:sz w:val="19"/>
          <w:szCs w:val="19"/>
        </w:rPr>
        <w:t>.</w:t>
      </w:r>
    </w:p>
    <w:p>
      <w:pPr>
        <w:pStyle w:val="Normal"/>
        <w:spacing w:lineRule="auto" w:line="276" w:before="120" w:after="120"/>
        <w:jc w:val="both"/>
        <w:rPr/>
      </w:pPr>
      <w:r>
        <w:rPr>
          <w:rFonts w:cs="Calibri" w:ascii="Liberation Serif" w:hAnsi="Liberation Serif"/>
          <w:sz w:val="19"/>
          <w:szCs w:val="19"/>
        </w:rPr>
        <w:t xml:space="preserve">We conduct a </w:t>
      </w:r>
      <w:r>
        <w:rPr>
          <w:rFonts w:cs="Calibri" w:ascii="Liberation Serif" w:hAnsi="Liberation Serif"/>
          <w:b/>
          <w:bCs/>
          <w:sz w:val="19"/>
          <w:szCs w:val="19"/>
        </w:rPr>
        <w:t>large-scale survey experiment</w:t>
      </w:r>
      <w:r>
        <w:rPr>
          <w:rFonts w:cs="Calibri" w:ascii="Liberation Serif" w:hAnsi="Liberation Serif"/>
          <w:sz w:val="19"/>
          <w:szCs w:val="19"/>
        </w:rPr>
        <w:t xml:space="preserve"> which includes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>realistic climate transition scenarios</w:t>
      </w:r>
      <w:r>
        <w:rPr>
          <w:rFonts w:cs="Calibri" w:ascii="Liberation Serif" w:hAnsi="Liberation Serif"/>
          <w:sz w:val="19"/>
          <w:szCs w:val="19"/>
        </w:rPr>
        <w:t xml:space="preserve">. Participants are asked to choose between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>different Just Transition policy packages</w:t>
      </w:r>
      <w:r>
        <w:rPr>
          <w:rFonts w:cs="Calibri" w:ascii="Liberation Serif" w:hAnsi="Liberation Serif"/>
          <w:sz w:val="19"/>
          <w:szCs w:val="19"/>
        </w:rPr>
        <w:t xml:space="preserve">, each combining different policy instruments, including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>financial compensation,</w:t>
      </w:r>
      <w:r>
        <w:rPr>
          <w:rFonts w:cs="Calibri" w:ascii="Liberation Serif" w:hAnsi="Liberation Serif"/>
          <w:sz w:val="19"/>
          <w:szCs w:val="19"/>
        </w:rPr>
        <w:t xml:space="preserve">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>job guarantees,</w:t>
      </w:r>
      <w:r>
        <w:rPr>
          <w:rFonts w:cs="Calibri" w:ascii="Liberation Serif" w:hAnsi="Liberation Serif"/>
          <w:sz w:val="19"/>
          <w:szCs w:val="19"/>
        </w:rPr>
        <w:t xml:space="preserve">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>retraining opportunities</w:t>
      </w:r>
      <w:r>
        <w:rPr>
          <w:rFonts w:cs="Calibri" w:ascii="Liberation Serif" w:hAnsi="Liberation Serif"/>
          <w:sz w:val="19"/>
          <w:szCs w:val="19"/>
        </w:rPr>
        <w:t xml:space="preserve">, or </w:t>
      </w:r>
      <w:r>
        <w:rPr>
          <w:rStyle w:val="Strong"/>
          <w:rFonts w:cs="Calibri" w:ascii="Liberation Serif" w:hAnsi="Liberation Serif"/>
          <w:b w:val="false"/>
          <w:bCs w:val="false"/>
          <w:sz w:val="19"/>
          <w:szCs w:val="19"/>
        </w:rPr>
        <w:t xml:space="preserve">community investments. 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These features are based on a comprehensive review of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real-world policy dilemmas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and Just Transition agreements adopted across the EU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>.</w:t>
      </w:r>
    </w:p>
    <w:p>
      <w:pPr>
        <w:pStyle w:val="NormalWeb"/>
        <w:spacing w:lineRule="auto" w:line="276" w:beforeAutospacing="0" w:before="120" w:afterAutospacing="0" w:after="240"/>
        <w:jc w:val="both"/>
        <w:rPr/>
      </w:pPr>
      <w:r>
        <w:rPr>
          <w:rStyle w:val="Strong"/>
          <w:rFonts w:eastAsia="" w:cs="Calibri" w:ascii="Liberation Serif" w:hAnsi="Liberation Serif" w:eastAsiaTheme="majorEastAsia"/>
          <w:b w:val="false"/>
          <w:bCs w:val="false"/>
          <w:sz w:val="19"/>
          <w:szCs w:val="19"/>
        </w:rPr>
        <w:t>Through a</w:t>
      </w:r>
      <w:r>
        <w:rPr>
          <w:rFonts w:cs="Calibri" w:ascii="Liberation Serif" w:hAnsi="Liberation Serif"/>
          <w:sz w:val="19"/>
          <w:szCs w:val="19"/>
        </w:rPr>
        <w:t xml:space="preserve"> vignette experiment, we further assess </w:t>
      </w:r>
      <w:r>
        <w:rPr>
          <w:rFonts w:cs="Calibri" w:ascii="Liberation Serif" w:hAnsi="Liberation Serif"/>
          <w:b/>
          <w:bCs/>
          <w:sz w:val="19"/>
          <w:szCs w:val="19"/>
        </w:rPr>
        <w:t>whether union support increases trust in envisaged plans, encourages worker participation in shaping the transition, and ultimately contributes to their realignment behind climate action</w:t>
      </w:r>
      <w:r>
        <w:rPr>
          <w:rFonts w:cs="Calibri" w:ascii="Liberation Serif" w:hAnsi="Liberation Serif"/>
          <w:sz w:val="19"/>
          <w:szCs w:val="19"/>
        </w:rPr>
        <w:t>.</w:t>
      </w:r>
    </w:p>
    <w:p>
      <w:pPr>
        <w:pStyle w:val="Normal"/>
        <w:tabs>
          <w:tab w:val="clear" w:pos="720"/>
          <w:tab w:val="left" w:pos="1413" w:leader="none"/>
        </w:tabs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>Your role</w:t>
      </w:r>
    </w:p>
    <w:p>
      <w:pPr>
        <w:pStyle w:val="Default"/>
        <w:spacing w:lineRule="auto" w:line="276" w:before="120" w:after="120"/>
        <w:jc w:val="both"/>
        <w:rPr/>
      </w:pPr>
      <w:r>
        <w:rPr>
          <w:rFonts w:cs="Calibri" w:ascii="Liberation Serif" w:hAnsi="Liberation Serif"/>
          <w:sz w:val="19"/>
          <w:szCs w:val="19"/>
        </w:rPr>
        <w:t xml:space="preserve">Your support in circulating the questionnaire will help us 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gather a more </w:t>
      </w:r>
      <w:r>
        <w:rPr>
          <w:rStyle w:val="Strong"/>
          <w:rFonts w:cs="Calibri" w:ascii="Liberation Serif" w:hAnsi="Liberation Serif"/>
          <w:sz w:val="19"/>
          <w:szCs w:val="19"/>
        </w:rPr>
        <w:t>representative and credible evidence base</w:t>
      </w:r>
      <w:r>
        <w:rPr>
          <w:rFonts w:cs="Calibri" w:ascii="Liberation Serif" w:hAnsi="Liberation Serif"/>
          <w:sz w:val="19"/>
          <w:szCs w:val="19"/>
        </w:rPr>
        <w:t>, capturing the voices of those most directly affected by climate policies.</w:t>
      </w:r>
    </w:p>
    <w:p>
      <w:pPr>
        <w:pStyle w:val="NormalWeb"/>
        <w:spacing w:lineRule="auto" w:line="276" w:beforeAutospacing="0" w:before="120" w:afterAutospacing="0" w:after="240"/>
        <w:jc w:val="both"/>
        <w:rPr/>
      </w:pPr>
      <w:r>
        <w:rPr>
          <w:rFonts w:cs="Calibri" w:ascii="Liberation Serif" w:hAnsi="Liberation Serif"/>
          <w:sz w:val="19"/>
          <w:szCs w:val="19"/>
        </w:rPr>
        <w:t>Your contribution will help us to deliver</w:t>
      </w:r>
      <w:r>
        <w:rPr>
          <w:rFonts w:cs="Calibri" w:ascii="Liberation Serif" w:hAnsi="Liberation Serif"/>
          <w:b/>
          <w:bCs/>
          <w:sz w:val="19"/>
          <w:szCs w:val="19"/>
        </w:rPr>
        <w:t xml:space="preserve"> insights that can inform </w:t>
      </w:r>
      <w:r>
        <w:rPr>
          <w:rStyle w:val="Strong"/>
          <w:rFonts w:eastAsia="" w:cs="Calibri" w:ascii="Liberation Serif" w:hAnsi="Liberation Serif" w:eastAsiaTheme="majorEastAsia"/>
          <w:sz w:val="19"/>
          <w:szCs w:val="19"/>
        </w:rPr>
        <w:t>collective bargaining</w:t>
      </w:r>
      <w:r>
        <w:rPr>
          <w:rFonts w:cs="Calibri" w:ascii="Liberation Serif" w:hAnsi="Liberation Serif"/>
          <w:sz w:val="19"/>
          <w:szCs w:val="19"/>
        </w:rPr>
        <w:t xml:space="preserve">, </w:t>
      </w:r>
      <w:r>
        <w:rPr>
          <w:rStyle w:val="Strong"/>
          <w:rFonts w:eastAsia="" w:cs="Calibri" w:ascii="Liberation Serif" w:hAnsi="Liberation Serif" w:eastAsiaTheme="majorEastAsia"/>
          <w:sz w:val="19"/>
          <w:szCs w:val="19"/>
        </w:rPr>
        <w:t>policy advocacy</w:t>
      </w:r>
      <w:r>
        <w:rPr>
          <w:rFonts w:cs="Calibri" w:ascii="Liberation Serif" w:hAnsi="Liberation Serif"/>
          <w:b/>
          <w:bCs/>
          <w:sz w:val="19"/>
          <w:szCs w:val="19"/>
        </w:rPr>
        <w:t>, and the design of workers-informed just transition plans</w:t>
      </w:r>
      <w:r>
        <w:rPr>
          <w:rFonts w:cs="Calibri" w:ascii="Liberation Serif" w:hAnsi="Liberation Serif"/>
          <w:sz w:val="19"/>
          <w:szCs w:val="19"/>
        </w:rPr>
        <w:t>.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 xml:space="preserve">Output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>To ensure the results are both useful and actionable for our patners, we propose several forms of dissemination: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Project partners will receive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early access to survey findings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 xml:space="preserve">and a summary </w:t>
      </w:r>
      <w:r>
        <w:rPr>
          <w:rFonts w:cs="Calibri" w:ascii="Liberation Serif" w:hAnsi="Liberation Serif"/>
          <w:b/>
          <w:bCs/>
          <w:sz w:val="19"/>
          <w:szCs w:val="19"/>
        </w:rPr>
        <w:t>highlighting relevant insights</w:t>
      </w:r>
      <w:r>
        <w:rPr>
          <w:rFonts w:cs="Calibri" w:ascii="Liberation Serif" w:hAnsi="Liberation Serif"/>
          <w:sz w:val="19"/>
          <w:szCs w:val="19"/>
        </w:rPr>
        <w:t xml:space="preserve"> to their organisations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.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We will also organise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dissemination events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 to discuss the policy implications of the results.</w:t>
      </w:r>
    </w:p>
    <w:p>
      <w:pPr>
        <w:pStyle w:val="Normal"/>
        <w:spacing w:lineRule="auto" w:line="276" w:before="120" w:after="240"/>
        <w:jc w:val="both"/>
        <w:rPr>
          <w:rFonts w:ascii="Liberation Serif" w:hAnsi="Liberation Serif"/>
          <w:sz w:val="19"/>
          <w:szCs w:val="19"/>
        </w:rPr>
      </w:pP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 xml:space="preserve">Further dissemination tools may also be considered, for instance in the form of a </w:t>
      </w:r>
      <w:r>
        <w:rPr>
          <w:rFonts w:eastAsia="Times New Roman" w:cs="Calibri" w:ascii="Liberation Serif" w:hAnsi="Liberation Serif"/>
          <w:b/>
          <w:bCs/>
          <w:kern w:val="0"/>
          <w:sz w:val="19"/>
          <w:szCs w:val="19"/>
          <w:lang w:eastAsia="en-GB"/>
          <w14:ligatures w14:val="none"/>
        </w:rPr>
        <w:t>policy brief</w:t>
      </w:r>
      <w:r>
        <w:rPr>
          <w:rFonts w:eastAsia="Times New Roman" w:cs="Calibri" w:ascii="Liberation Serif" w:hAnsi="Liberation Serif"/>
          <w:kern w:val="0"/>
          <w:sz w:val="19"/>
          <w:szCs w:val="19"/>
          <w:lang w:eastAsia="en-GB"/>
          <w14:ligatures w14:val="none"/>
        </w:rPr>
        <w:t>, helping to translate the findings into proposals for reform at EU level.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en-GB"/>
        </w:rPr>
        <w:t>Project partners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sz w:val="19"/>
          <w:szCs w:val="19"/>
        </w:rPr>
        <w:t>This project is currently supported by the École Polytechnique Fédérale de Lausanne (EPFL) and the Freie Universität Berlin</w:t>
      </w:r>
      <w:r>
        <w:rPr>
          <w:rFonts w:cs="Calibri" w:ascii="Liberation Serif" w:hAnsi="Liberation Serif"/>
          <w:sz w:val="19"/>
          <w:szCs w:val="19"/>
        </w:rPr>
        <w:t xml:space="preserve">. Partnership with our alma matter institution, the European University Institute (EUI), has been secured.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sz w:val="19"/>
          <w:szCs w:val="19"/>
        </w:rPr>
        <w:t xml:space="preserve">To ensure the research is policy-relevant and widely disseminated, we are engaging with a range of </w:t>
      </w:r>
      <w:r>
        <w:rPr>
          <w:rFonts w:cs="Calibri" w:ascii="Liberation Serif" w:hAnsi="Liberation Serif"/>
          <w:b/>
          <w:bCs/>
          <w:sz w:val="19"/>
          <w:szCs w:val="19"/>
        </w:rPr>
        <w:t>institutional partners and expert organisations.</w:t>
      </w:r>
      <w:r>
        <w:rPr>
          <w:rFonts w:cs="Calibri" w:ascii="Liberation Serif" w:hAnsi="Liberation Serif"/>
          <w:sz w:val="19"/>
          <w:szCs w:val="19"/>
        </w:rPr>
        <w:t xml:space="preserve"> These include units within the European Commission, the Committee of the Regions.</w:t>
      </w:r>
    </w:p>
    <w:p>
      <w:pPr>
        <w:pStyle w:val="Normal"/>
        <w:spacing w:lineRule="auto" w:line="276" w:before="120" w:after="24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sz w:val="19"/>
          <w:szCs w:val="19"/>
        </w:rPr>
        <w:t xml:space="preserve">The survey design has been submitted to the EPFL’s Institutional Review Board (IRB) to ensure full ethical compliance.                                                    </w:t>
      </w:r>
    </w:p>
    <w:p>
      <w:pPr>
        <w:pStyle w:val="Normal"/>
        <w:spacing w:lineRule="auto" w:line="276" w:before="120" w:after="120"/>
        <w:jc w:val="both"/>
        <w:rPr>
          <w:rFonts w:ascii="Liberation Serif" w:hAnsi="Liberation Serif"/>
          <w:sz w:val="19"/>
          <w:szCs w:val="19"/>
        </w:rPr>
      </w:pPr>
      <w:r>
        <w:rPr>
          <w:rFonts w:cs="Calibri" w:ascii="Liberation Serif" w:hAnsi="Liberation Serif"/>
          <w:b/>
          <w:bCs/>
          <w:i/>
          <w:iCs/>
          <w:color w:val="890517"/>
          <w:kern w:val="0"/>
          <w:sz w:val="19"/>
          <w:szCs w:val="19"/>
          <w:lang w:val="fr-FR"/>
        </w:rPr>
        <w:t>Contact</w:t>
      </w:r>
    </w:p>
    <w:p>
      <w:pPr>
        <w:pStyle w:val="Normal"/>
        <w:spacing w:lineRule="auto" w:line="276" w:before="120" w:after="120"/>
        <w:jc w:val="both"/>
        <w:rPr/>
      </w:pPr>
      <w:r>
        <w:rPr>
          <w:rFonts w:cs="Calibri" w:ascii="Liberation Serif" w:hAnsi="Liberation Serif"/>
          <w:b/>
          <w:bCs/>
          <w:color w:themeColor="text1" w:val="000000"/>
          <w:kern w:val="0"/>
          <w:sz w:val="19"/>
          <w:szCs w:val="19"/>
          <w:lang w:val="fr-FR"/>
        </w:rPr>
        <w:t>Dr. Rens Chazottes</w:t>
      </w:r>
      <w:r>
        <w:rPr>
          <w:rFonts w:cs="Calibri" w:ascii="Liberation Serif" w:hAnsi="Liberation Serif"/>
          <w:color w:themeColor="text1" w:val="000000"/>
          <w:kern w:val="0"/>
          <w:sz w:val="19"/>
          <w:szCs w:val="19"/>
          <w:lang w:val="fr-FR"/>
        </w:rPr>
        <w:t xml:space="preserve">, Ecole Polytechnique Fédérale de Lausanne, </w:t>
      </w:r>
      <w:hyperlink r:id="rId2">
        <w:r>
          <w:rPr>
            <w:rStyle w:val="Hyperlink"/>
            <w:rFonts w:cs="Calibri" w:ascii="Liberation Serif" w:hAnsi="Liberation Serif"/>
            <w:kern w:val="0"/>
            <w:sz w:val="19"/>
            <w:szCs w:val="19"/>
            <w:lang w:val="fr-FR"/>
          </w:rPr>
          <w:t>rens.chazottes@epfl.ch</w:t>
        </w:r>
      </w:hyperlink>
      <w:r>
        <w:rPr>
          <w:rFonts w:cs="Calibri" w:ascii="Liberation Serif" w:hAnsi="Liberation Serif"/>
          <w:color w:themeColor="text1" w:val="000000"/>
          <w:kern w:val="0"/>
          <w:sz w:val="19"/>
          <w:szCs w:val="19"/>
          <w:lang w:val="fr-FR"/>
        </w:rPr>
        <w:t xml:space="preserve">, </w:t>
      </w:r>
      <w:r>
        <w:rPr>
          <w:rFonts w:cs="Calibri" w:ascii="Liberation Serif" w:hAnsi="Liberation Serif"/>
          <w:color w:val="22384A"/>
          <w:sz w:val="19"/>
          <w:szCs w:val="19"/>
        </w:rPr>
        <w:t>+33 6 95 23 95 53</w:t>
      </w:r>
    </w:p>
    <w:p>
      <w:pPr>
        <w:pStyle w:val="Normal"/>
        <w:spacing w:lineRule="auto" w:line="276" w:before="120" w:after="120"/>
        <w:jc w:val="both"/>
        <w:rPr/>
      </w:pPr>
      <w:r>
        <w:rPr>
          <w:rFonts w:cs="Calibri" w:ascii="Liberation Serif" w:hAnsi="Liberation Serif"/>
          <w:b/>
          <w:bCs/>
          <w:color w:themeColor="text1" w:val="000000"/>
          <w:kern w:val="0"/>
          <w:sz w:val="19"/>
          <w:szCs w:val="19"/>
          <w:lang w:val="de-DE"/>
        </w:rPr>
        <w:t>Dr. Robin Huguenot-Noël</w:t>
      </w:r>
      <w:r>
        <w:rPr>
          <w:rFonts w:cs="Calibri" w:ascii="Liberation Serif" w:hAnsi="Liberation Serif"/>
          <w:color w:themeColor="text1" w:val="000000"/>
          <w:kern w:val="0"/>
          <w:sz w:val="19"/>
          <w:szCs w:val="19"/>
          <w:lang w:val="de-DE"/>
        </w:rPr>
        <w:t xml:space="preserve">, Freie Universität Berlin, </w:t>
      </w:r>
      <w:hyperlink r:id="rId3">
        <w:r>
          <w:rPr>
            <w:rStyle w:val="Hyperlink"/>
            <w:rFonts w:cs="Calibri" w:ascii="Liberation Serif" w:hAnsi="Liberation Serif"/>
            <w:kern w:val="0"/>
            <w:sz w:val="19"/>
            <w:szCs w:val="19"/>
            <w:lang w:val="de-DE"/>
          </w:rPr>
          <w:t>robin.huguenot-noel@eui.eu</w:t>
        </w:r>
      </w:hyperlink>
      <w:r>
        <w:rPr>
          <w:rFonts w:cs="Calibri" w:ascii="Liberation Serif" w:hAnsi="Liberation Serif"/>
          <w:color w:themeColor="text1" w:val="000000"/>
          <w:kern w:val="0"/>
          <w:sz w:val="19"/>
          <w:szCs w:val="19"/>
          <w:lang w:val="de-DE"/>
        </w:rPr>
        <w:t>, +49 176 578 361 70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continuous"/>
      <w:pgSz w:w="11906" w:h="16838"/>
      <w:pgMar w:left="1008" w:right="1008" w:gutter="0" w:header="397" w:top="1434" w:footer="446" w:bottom="1178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HELVETICA BOLD OBLIQU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 wp14:anchorId="282AF77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563748498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center;mso-position-horizontal-relative:margin" wp14:anchorId="282AF77A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563748498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 wp14:anchorId="1F7CB6F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8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44049794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43.8pt;margin-top:0.05pt;width:6.85pt;height:16.2pt;mso-wrap-style:square;v-text-anchor:top;mso-position-horizontal:center;mso-position-horizontal-relative:margin" wp14:anchorId="1F7CB6F6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44049794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1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 wp14:anchorId="1F7CB6F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9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44049794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43.8pt;margin-top:0.05pt;width:6.85pt;height:16.2pt;mso-wrap-style:square;v-text-anchor:top;mso-position-horizontal:center;mso-position-horizontal-relative:margin" wp14:anchorId="1F7CB6F6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44049794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1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3107" w:leader="none"/>
      </w:tabs>
      <w:rPr/>
    </w:pPr>
    <w:r>
      <w:rPr/>
      <w:drawing>
        <wp:inline distT="0" distB="0" distL="0" distR="0">
          <wp:extent cx="951230" cy="276860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  <w:r>
      <w:rPr/>
      <w:drawing>
        <wp:inline distT="0" distB="0" distL="0" distR="0">
          <wp:extent cx="1236345" cy="35306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  <w:r>
      <w:rPr/>
      <w:drawing>
        <wp:inline distT="0" distB="0" distL="0" distR="0">
          <wp:extent cx="1737995" cy="460375"/>
          <wp:effectExtent l="0" t="0" r="0" b="0"/>
          <wp:docPr id="3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3107" w:leader="none"/>
      </w:tabs>
      <w:rPr/>
    </w:pPr>
    <w:r>
      <w:rPr/>
      <w:drawing>
        <wp:inline distT="0" distB="0" distL="0" distR="0">
          <wp:extent cx="951230" cy="276860"/>
          <wp:effectExtent l="0" t="0" r="0" b="0"/>
          <wp:docPr id="4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  <w:r>
      <w:rPr/>
      <w:drawing>
        <wp:inline distT="0" distB="0" distL="0" distR="0">
          <wp:extent cx="1236345" cy="353060"/>
          <wp:effectExtent l="0" t="0" r="0" b="0"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  <w:r>
      <w:rPr/>
      <w:drawing>
        <wp:inline distT="0" distB="0" distL="0" distR="0">
          <wp:extent cx="1737995" cy="460375"/>
          <wp:effectExtent l="0" t="0" r="0" b="0"/>
          <wp:docPr id="6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 w:val="true"/>
      <w:keepLines/>
      <w:spacing w:lineRule="auto" w:line="360" w:before="160" w:after="80"/>
      <w:jc w:val="both"/>
      <w:outlineLvl w:val="1"/>
    </w:pPr>
    <w:rPr>
      <w:rFonts w:ascii="Helvetica" w:hAnsi="Helvetica" w:eastAsia="" w:cs="" w:cstheme="majorBidi" w:eastAsiaTheme="majorEastAsia"/>
      <w:b/>
      <w:color w:themeColor="text1" w:val="000000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 w:val="true"/>
      <w:keepLines/>
      <w:spacing w:lineRule="auto" w:line="360" w:before="80" w:after="40"/>
      <w:jc w:val="both"/>
      <w:outlineLvl w:val="3"/>
    </w:pPr>
    <w:rPr>
      <w:rFonts w:ascii="HELVETICA BOLD OBLIQUE" w:hAnsi="HELVETICA BOLD OBLIQUE" w:eastAsia="" w:cs="" w:cstheme="majorBidi" w:eastAsiaTheme="majorEastAsia"/>
      <w:b/>
      <w:i/>
      <w:iCs/>
      <w:color w:themeColor="text1" w:val="000000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270f9a"/>
    <w:rPr>
      <w:rFonts w:ascii="Helvetica" w:hAnsi="Helvetica" w:eastAsia="" w:cs="" w:cstheme="majorBidi" w:eastAsiaTheme="majorEastAsia"/>
      <w:b/>
      <w:spacing w:val="-10"/>
      <w:kern w:val="2"/>
      <w:sz w:val="36"/>
      <w:szCs w:val="72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70f9a"/>
    <w:rPr>
      <w:rFonts w:ascii="Helvetica" w:hAnsi="Helvetica" w:eastAsia="" w:cs="" w:cstheme="majorBidi" w:eastAsiaTheme="majorEastAsia"/>
      <w:b/>
      <w:color w:themeColor="text1" w:val="000000"/>
      <w:kern w:val="0"/>
      <w:sz w:val="28"/>
      <w:szCs w:val="32"/>
      <w:u w:val="single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270f9a"/>
    <w:rPr>
      <w:rFonts w:ascii="HELVETICA BOLD OBLIQUE" w:hAnsi="HELVETICA BOLD OBLIQUE" w:eastAsia="" w:cs="" w:cstheme="majorBidi" w:eastAsiaTheme="majorEastAsia"/>
      <w:b/>
      <w:i/>
      <w:iCs/>
      <w:color w:themeColor="text1" w:val="000000"/>
      <w:kern w:val="0"/>
      <w:szCs w:val="22"/>
      <w:lang w:val="en-US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21e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21e8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21e8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21e8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21e8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21e8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21e83"/>
    <w:rPr>
      <w:rFonts w:eastAsia="" w:cs="" w:cstheme="majorBidi" w:eastAsiaTheme="majorEastAsia"/>
      <w:color w:themeColor="text1" w:themeTint="d8" w:val="272727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21e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21e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21e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21e8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21e83"/>
    <w:rPr/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3cf7"/>
    <w:rPr>
      <w:color w:val="605E5C"/>
      <w:shd w:fill="E1DFDD" w:val="clear"/>
    </w:rPr>
  </w:style>
  <w:style w:type="character" w:styleId="PageNumber">
    <w:name w:val="Page Number"/>
    <w:basedOn w:val="DefaultParagraphFont"/>
    <w:uiPriority w:val="99"/>
    <w:semiHidden/>
    <w:unhideWhenUsed/>
    <w:rsid w:val="00964b56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23968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d23968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themeColor="followedHyperlink" w:val="96607D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1TitleCover" w:customStyle="1">
    <w:name w:val="1_TitleCover"/>
    <w:basedOn w:val="Normal"/>
    <w:autoRedefine/>
    <w:qFormat/>
    <w:rsid w:val="00270f9a"/>
    <w:pPr>
      <w:spacing w:lineRule="exact" w:line="440" w:before="0" w:after="0"/>
      <w:contextualSpacing/>
    </w:pPr>
    <w:rPr>
      <w:rFonts w:ascii="Helvetica" w:hAnsi="Helvetica" w:eastAsia="" w:cs="Arial" w:eastAsiaTheme="majorEastAsia"/>
      <w:b/>
      <w:color w:themeColor="text1" w:val="000000"/>
      <w:spacing w:val="5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lineRule="auto" w:line="360" w:before="0" w:after="80"/>
      <w:contextualSpacing/>
      <w:jc w:val="both"/>
    </w:pPr>
    <w:rPr>
      <w:rFonts w:ascii="Helvetica" w:hAnsi="Helvetica" w:eastAsia="" w:cs="" w:cstheme="majorBidi" w:eastAsiaTheme="majorEastAsia"/>
      <w:b/>
      <w:spacing w:val="-10"/>
      <w:sz w:val="36"/>
      <w:szCs w:val="72"/>
      <w:lang w:val="en-US"/>
      <w14:ligatures w14:val="none"/>
    </w:rPr>
  </w:style>
  <w:style w:type="paragraph" w:styleId="EAtabletitle" w:customStyle="1">
    <w:name w:val="EA table title"/>
    <w:autoRedefine/>
    <w:uiPriority w:val="99"/>
    <w:qFormat/>
    <w:rsid w:val="00270f9a"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Frutiger CE 55 Roman"/>
      <w:color w:val="000000"/>
      <w:kern w:val="0"/>
      <w:sz w:val="24"/>
      <w:szCs w:val="24"/>
      <w:lang w:val="en-GB" w:eastAsia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21e83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Default" w:customStyle="1">
    <w:name w:val="Default"/>
    <w:qFormat/>
    <w:rsid w:val="00021e8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ptos" w:cs="Times New Roman"/>
      <w:color w:val="000000"/>
      <w:kern w:val="0"/>
      <w:sz w:val="24"/>
      <w:szCs w:val="24"/>
      <w:lang w:val="en-GB" w:eastAsia="en-US" w:bidi="ar-SA"/>
    </w:rPr>
  </w:style>
  <w:style w:type="paragraph" w:styleId="NormalWeb">
    <w:name w:val="Normal (Web)"/>
    <w:basedOn w:val="Normal"/>
    <w:uiPriority w:val="99"/>
    <w:unhideWhenUsed/>
    <w:qFormat/>
    <w:rsid w:val="00cd176f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AnnotationText">
    <w:name w:val="Annotation Text"/>
    <w:basedOn w:val="Normal"/>
    <w:link w:val="CommentTextChar"/>
    <w:uiPriority w:val="99"/>
    <w:semiHidden/>
    <w:unhideWhenUsed/>
    <w:rsid w:val="00d23968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23968"/>
    <w:pPr/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ens.chazottes@epfl.ch" TargetMode="External"/><Relationship Id="rId3" Type="http://schemas.openxmlformats.org/officeDocument/2006/relationships/hyperlink" Target="mailto:robin.huguenot-noel@eui.eu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LibreOffice/24.2.6.2$Linux_X86_64 LibreOffice_project/420$Build-2</Application>
  <AppVersion>15.0000</AppVersion>
  <Pages>1</Pages>
  <Words>651</Words>
  <Characters>3899</Characters>
  <CharactersWithSpaces>4582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2025-06-24T15:00:00Z</dcterms:created>
  <dc:creator>Huguenot-Noel, Robin</dc:creator>
  <dc:description/>
  <dc:language>en-US</dc:language>
  <cp:lastModifiedBy/>
  <cp:lastPrinted>2025-06-03T01:38:00Z</cp:lastPrinted>
  <dcterms:modified xsi:type="dcterms:W3CDTF">2025-06-30T13:00:13Z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