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Aptos" w:hAnsi="Aptos" w:asciiTheme="minorHAnsi" w:hAnsiTheme="minorHAnsi"/>
          <w:sz w:val="28"/>
          <w:szCs w:val="26"/>
        </w:rPr>
      </w:pPr>
      <w:r>
        <w:rPr>
          <w:rFonts w:eastAsia="Aptos" w:cs="Aptos"/>
          <w:b/>
          <w:bCs/>
          <w:sz w:val="28"/>
          <w:szCs w:val="28"/>
        </w:rPr>
        <w:t>PRE-ANALYSIS PLAN</w:t>
      </w:r>
    </w:p>
    <w:p>
      <w:pPr>
        <w:pStyle w:val="Standard"/>
        <w:jc w:val="center"/>
        <w:rPr>
          <w:rFonts w:ascii="Aptos" w:hAnsi="Aptos" w:asciiTheme="minorHAnsi" w:hAnsiTheme="minorHAnsi"/>
          <w:sz w:val="32"/>
          <w:szCs w:val="32"/>
        </w:rPr>
      </w:pPr>
      <w:r>
        <w:rPr>
          <w:rFonts w:eastAsia="Aptos" w:cs="Aptos"/>
          <w:b/>
          <w:bCs/>
          <w:sz w:val="32"/>
          <w:szCs w:val="32"/>
        </w:rPr>
        <w:t>Realigning climate-forcing players?</w:t>
      </w:r>
    </w:p>
    <w:p>
      <w:pPr>
        <w:pStyle w:val="Standard"/>
        <w:jc w:val="center"/>
        <w:rPr>
          <w:rFonts w:ascii="Aptos" w:hAnsi="Aptos" w:asciiTheme="minorHAnsi" w:hAnsiTheme="minorHAnsi"/>
          <w:sz w:val="32"/>
          <w:szCs w:val="32"/>
        </w:rPr>
      </w:pPr>
      <w:r>
        <w:rPr>
          <w:rFonts w:eastAsia="Aptos" w:cs="Aptos"/>
          <w:b/>
          <w:bCs/>
          <w:sz w:val="32"/>
          <w:szCs w:val="32"/>
        </w:rPr>
        <w:t>Power Resources Mobilisation pathways in the Just Transition</w:t>
      </w:r>
    </w:p>
    <w:p>
      <w:pPr>
        <w:pStyle w:val="Standard"/>
        <w:jc w:val="center"/>
        <w:rPr>
          <w:rFonts w:ascii="Aptos" w:hAnsi="Aptos" w:asciiTheme="minorHAnsi" w:hAnsiTheme="minorHAnsi"/>
          <w:lang w:val="fr-FR"/>
        </w:rPr>
      </w:pPr>
      <w:r>
        <w:rPr>
          <w:rFonts w:eastAsia="Aptos" w:cs="Aptos"/>
          <w:lang w:val="fr-FR"/>
        </w:rPr>
        <w:t>Rens Chazottes &amp; Robin Huguenot-Noël (latest draft : 22 Mai 2025)</w:t>
      </w:r>
    </w:p>
    <w:p>
      <w:pPr>
        <w:pStyle w:val="Standard"/>
        <w:ind w:left="360"/>
        <w:jc w:val="center"/>
        <w:rPr>
          <w:rFonts w:ascii="Aptos" w:hAnsi="Aptos" w:eastAsia="Aptos" w:cs="Aptos" w:asciiTheme="minorHAnsi" w:hAnsiTheme="minorHAnsi"/>
          <w:b/>
          <w:bCs/>
        </w:rPr>
      </w:pPr>
      <w:r>
        <w:rPr>
          <w:rFonts w:eastAsia="Aptos" w:cs="Aptos"/>
          <w:b/>
          <w:bCs/>
        </w:rPr>
      </w:r>
    </w:p>
    <w:p>
      <w:pPr>
        <w:pStyle w:val="Standard"/>
        <w:numPr>
          <w:ilvl w:val="0"/>
          <w:numId w:val="4"/>
        </w:numPr>
        <w:jc w:val="both"/>
        <w:rPr>
          <w:rFonts w:ascii="Aptos" w:hAnsi="Aptos" w:eastAsia="Aptos" w:cs="Aptos" w:asciiTheme="minorHAnsi" w:hAnsiTheme="minorHAnsi"/>
          <w:b/>
          <w:bCs/>
          <w:sz w:val="28"/>
          <w:szCs w:val="28"/>
        </w:rPr>
      </w:pPr>
      <w:r>
        <w:rPr>
          <w:rFonts w:eastAsia="Aptos" w:cs="Aptos"/>
          <w:b/>
          <w:bCs/>
          <w:sz w:val="28"/>
          <w:szCs w:val="28"/>
        </w:rPr>
        <w:t xml:space="preserve">Introduction: </w:t>
      </w:r>
      <w:r>
        <w:rPr>
          <w:rFonts w:asciiTheme="minorHAnsi" w:hAnsiTheme="minorHAnsi"/>
          <w:b/>
          <w:bCs/>
          <w:sz w:val="28"/>
          <w:szCs w:val="26"/>
        </w:rPr>
        <w:t>CFA stranding and its political implications</w:t>
      </w:r>
    </w:p>
    <w:p>
      <w:pPr>
        <w:pStyle w:val="Normal"/>
        <w:spacing w:lineRule="auto" w:line="276" w:before="120" w:after="120"/>
        <w:jc w:val="both"/>
        <w:rPr>
          <w:rFonts w:ascii="Aptos" w:hAnsi="Aptos" w:asciiTheme="minorHAnsi" w:hAnsiTheme="minorHAnsi"/>
        </w:rPr>
      </w:pPr>
      <w:r>
        <w:rPr>
          <w:rFonts w:ascii="Aptos" w:hAnsi="Aptos" w:asciiTheme="minorHAnsi" w:hAnsiTheme="minorHAnsi"/>
          <w:lang w:val="en-US"/>
        </w:rPr>
        <w:t>C</w:t>
      </w:r>
      <w:r>
        <w:rPr>
          <w:rFonts w:ascii="Aptos" w:hAnsi="Aptos" w:asciiTheme="minorHAnsi" w:hAnsiTheme="minorHAnsi"/>
        </w:rPr>
        <w:t xml:space="preserve">limate change and decarbonization imperatives have led governments across the world to adopt policies aimed at reducing the economic value of ‘climate-forcing assets’ (CFA), such as coal mines, fossil fuel-powered and vehicles, and aircraft reliant on traditional jet fuel. </w:t>
      </w:r>
    </w:p>
    <w:p>
      <w:pPr>
        <w:pStyle w:val="Normal"/>
        <w:spacing w:lineRule="auto" w:line="276" w:before="120" w:after="120"/>
        <w:jc w:val="both"/>
        <w:rPr>
          <w:rFonts w:ascii="Aptos" w:hAnsi="Aptos" w:asciiTheme="minorHAnsi" w:hAnsiTheme="minorHAnsi"/>
        </w:rPr>
      </w:pPr>
      <w:r>
        <w:rPr>
          <w:rFonts w:ascii="Aptos" w:hAnsi="Aptos" w:asciiTheme="minorHAnsi" w:hAnsiTheme="minorHAnsi"/>
        </w:rPr>
        <w:t>Decarbonisation policies, however, rarely affect climate-forcing asset holders alone (</w:t>
      </w:r>
      <w:r>
        <w:rPr>
          <w:rFonts w:eastAsia="Aptos" w:cs="Aptos" w:ascii="Aptos" w:hAnsi="Aptos" w:asciiTheme="minorHAnsi" w:hAnsiTheme="minorHAnsi"/>
        </w:rPr>
        <w:t>Colgan, Green, and Hale, 2021</w:t>
      </w:r>
      <w:r>
        <w:rPr>
          <w:rFonts w:ascii="Aptos" w:hAnsi="Aptos" w:asciiTheme="minorHAnsi" w:hAnsiTheme="minorHAnsi"/>
        </w:rPr>
        <w:t xml:space="preserve">). </w:t>
      </w:r>
    </w:p>
    <w:p>
      <w:pPr>
        <w:pStyle w:val="Normal"/>
        <w:spacing w:lineRule="auto" w:line="276" w:before="120" w:after="120"/>
        <w:jc w:val="both"/>
        <w:rPr>
          <w:rFonts w:ascii="Aptos" w:hAnsi="Aptos" w:asciiTheme="minorHAnsi" w:hAnsiTheme="minorHAnsi"/>
        </w:rPr>
      </w:pPr>
      <w:r>
        <w:rPr>
          <w:rFonts w:ascii="Aptos" w:hAnsi="Aptos" w:asciiTheme="minorHAnsi" w:hAnsiTheme="minorHAnsi"/>
        </w:rPr>
        <w:t xml:space="preserve">More often than not, CFA ‘stranding’ comes at a cost for the </w:t>
      </w:r>
      <w:r>
        <w:rPr>
          <w:rFonts w:ascii="Aptos" w:hAnsi="Aptos" w:asciiTheme="minorHAnsi" w:hAnsiTheme="minorHAnsi"/>
          <w:i/>
          <w:iCs/>
        </w:rPr>
        <w:t>social fabric</w:t>
      </w:r>
      <w:r>
        <w:rPr>
          <w:rFonts w:ascii="Aptos" w:hAnsi="Aptos" w:asciiTheme="minorHAnsi" w:hAnsiTheme="minorHAnsi"/>
        </w:rPr>
        <w:t xml:space="preserve"> of established communities, starting with the fragmentation of social structures at the local level to the contestation of democratic structures by anti-climate parties, as observed in the US, Argentine, or the Netherlands. </w:t>
      </w:r>
    </w:p>
    <w:p>
      <w:pPr>
        <w:pStyle w:val="Normal"/>
        <w:spacing w:lineRule="auto" w:line="276"/>
        <w:jc w:val="both"/>
        <w:rPr>
          <w:rFonts w:ascii="Aptos" w:hAnsi="Aptos" w:asciiTheme="minorHAnsi" w:hAnsiTheme="minorHAnsi"/>
        </w:rPr>
      </w:pPr>
      <w:r>
        <w:rPr>
          <w:rFonts w:ascii="Aptos" w:hAnsi="Aptos" w:asciiTheme="minorHAnsi" w:hAnsiTheme="minorHAnsi"/>
        </w:rPr>
        <w:t xml:space="preserve">From a political economy perspective, this context raises two major questions: </w:t>
      </w:r>
    </w:p>
    <w:p>
      <w:pPr>
        <w:pStyle w:val="ListParagraph"/>
        <w:numPr>
          <w:ilvl w:val="0"/>
          <w:numId w:val="5"/>
        </w:numPr>
        <w:jc w:val="both"/>
        <w:rPr/>
      </w:pPr>
      <w:r>
        <w:rPr/>
        <w:t xml:space="preserve">Can asset-stranding policies be designed in a way that enhances (rather than undermines) local community ties? </w:t>
      </w:r>
    </w:p>
    <w:p>
      <w:pPr>
        <w:pStyle w:val="ListParagraph"/>
        <w:numPr>
          <w:ilvl w:val="0"/>
          <w:numId w:val="5"/>
        </w:numPr>
        <w:jc w:val="both"/>
        <w:rPr/>
      </w:pPr>
      <w:r>
        <w:rPr/>
        <w:t>To what extent can political intermediaries (such as trade unions) embedded in CFA structures initiate, cope with, and react to large-scale shifts in relative valuations?</w:t>
      </w:r>
    </w:p>
    <w:p>
      <w:pPr>
        <w:pStyle w:val="Normal"/>
        <w:spacing w:lineRule="auto" w:line="276"/>
        <w:ind w:left="360"/>
        <w:jc w:val="both"/>
        <w:rPr>
          <w:rFonts w:ascii="Aptos" w:hAnsi="Aptos" w:asciiTheme="minorHAnsi" w:hAnsiTheme="minorHAnsi"/>
        </w:rPr>
      </w:pPr>
      <w:r>
        <w:rPr>
          <w:rFonts w:asciiTheme="minorHAnsi" w:hAnsiTheme="minorHAnsi" w:ascii="Aptos" w:hAnsi="Aptos"/>
        </w:rPr>
      </w:r>
    </w:p>
    <w:p>
      <w:pPr>
        <w:pStyle w:val="ListParagraph"/>
        <w:numPr>
          <w:ilvl w:val="0"/>
          <w:numId w:val="4"/>
        </w:numPr>
        <w:spacing w:before="0" w:after="0"/>
        <w:contextualSpacing/>
        <w:jc w:val="both"/>
        <w:rPr>
          <w:b/>
          <w:bCs/>
          <w:sz w:val="28"/>
          <w:szCs w:val="28"/>
        </w:rPr>
      </w:pPr>
      <w:r>
        <w:rPr>
          <w:b/>
          <w:bCs/>
          <w:sz w:val="28"/>
          <w:szCs w:val="28"/>
        </w:rPr>
        <w:t xml:space="preserve">Existing contributions and research gap: The role of just transition policy support </w:t>
      </w:r>
    </w:p>
    <w:p>
      <w:pPr>
        <w:pStyle w:val="Normal"/>
        <w:spacing w:lineRule="auto" w:line="276"/>
        <w:jc w:val="both"/>
        <w:rPr>
          <w:rFonts w:ascii="Aptos" w:hAnsi="Aptos" w:asciiTheme="minorHAnsi" w:hAnsiTheme="minorHAnsi"/>
          <w:b/>
          <w:bCs/>
        </w:rPr>
      </w:pPr>
      <w:r>
        <w:rPr>
          <w:rFonts w:asciiTheme="minorHAnsi" w:hAnsiTheme="minorHAnsi" w:ascii="Aptos" w:hAnsi="Aptos"/>
          <w:b/>
          <w:bCs/>
        </w:rPr>
      </w:r>
    </w:p>
    <w:p>
      <w:pPr>
        <w:pStyle w:val="ListParagraph"/>
        <w:numPr>
          <w:ilvl w:val="1"/>
          <w:numId w:val="4"/>
        </w:numPr>
        <w:suppressAutoHyphens w:val="true"/>
        <w:rPr/>
      </w:pPr>
      <w:r>
        <w:rPr>
          <w:rFonts w:eastAsia="Aptos" w:cs="Aptos"/>
          <w:b/>
          <w:bCs/>
        </w:rPr>
        <w:t>The political backlash of ‘climate-forcing asset holders’</w:t>
      </w:r>
    </w:p>
    <w:p>
      <w:pPr>
        <w:pStyle w:val="Standard"/>
        <w:jc w:val="both"/>
        <w:rPr>
          <w:rFonts w:ascii="Aptos" w:hAnsi="Aptos" w:eastAsia="Aptos" w:cs="Aptos" w:asciiTheme="minorHAnsi" w:hAnsiTheme="minorHAnsi"/>
        </w:rPr>
      </w:pPr>
      <w:r>
        <w:rPr>
          <w:rFonts w:asciiTheme="minorHAnsi" w:hAnsiTheme="minorHAnsi"/>
        </w:rPr>
        <w:t>Climate change and decarbonization policies have an obvious distributive impact. As scholars have shown (</w:t>
      </w:r>
      <w:r>
        <w:rPr>
          <w:rFonts w:eastAsia="Aptos" w:cs="Aptos"/>
        </w:rPr>
        <w:t xml:space="preserve">Colgan, Green, and Hale, 2021), climate politics across the globe can be essentially portrayed as a struggle between two groups: To the extent that they are negatively impacted by climate change, ‘climate vulnerable asset holders’ (CVA) generally benefit from climate policies. On the other hand, however, a group of 'climate-forcing asset holders’ (CFA) are, on balance, set to be negatively affected by decarbonization policies. </w:t>
      </w:r>
    </w:p>
    <w:p>
      <w:pPr>
        <w:pStyle w:val="Standard"/>
        <w:jc w:val="both"/>
        <w:rPr>
          <w:rFonts w:ascii="Aptos" w:hAnsi="Aptos" w:eastAsia="Aptos" w:cs="Aptos" w:asciiTheme="minorHAnsi" w:hAnsiTheme="minorHAnsi"/>
        </w:rPr>
      </w:pPr>
      <w:r>
        <w:rPr>
          <w:rFonts w:eastAsia="Aptos" w:cs="Aptos"/>
        </w:rPr>
        <w:t xml:space="preserve">While decarbonization policies may rely on the support of CVAs, recent events suggest that climate change policies won’t be adopted without a certain degree of realignment of CFAs. As studies have shown, </w:t>
      </w:r>
      <w:r>
        <w:rPr>
          <w:rFonts w:eastAsia="Aptos" w:cs="Aptos"/>
          <w:shd w:fill="auto" w:val="clear"/>
        </w:rPr>
        <w:t>voters</w:t>
      </w:r>
      <w:r>
        <w:rPr>
          <w:rFonts w:eastAsia="Aptos" w:cs="Aptos"/>
        </w:rPr>
        <w:t xml:space="preserve"> are </w:t>
      </w:r>
      <w:r>
        <w:rPr>
          <w:rFonts w:eastAsia="Aptos" w:cs="Aptos"/>
        </w:rPr>
        <w:t>strongly</w:t>
      </w:r>
      <w:r>
        <w:rPr>
          <w:rFonts w:eastAsia="Aptos" w:cs="Aptos"/>
        </w:rPr>
        <w:t xml:space="preserve"> responsive to price signals from decarbonization policies, as showed in the case of energy prices in the Netherlands (Voeten, 2024) or the ban on polluting cars in Milan (Colontone et al., 2023). Policy resistance and political mobilization by CVAs also translated in anti-climate parties recently winning major national elections (e.g. US election in 2024, Argentine election in 2023, the Netherlands in 2023, etc.). </w:t>
      </w:r>
    </w:p>
    <w:p>
      <w:pPr>
        <w:pStyle w:val="Standard"/>
        <w:jc w:val="both"/>
        <w:rPr>
          <w:rFonts w:ascii="Aptos" w:hAnsi="Aptos" w:eastAsia="Aptos" w:cs="Aptos" w:asciiTheme="minorHAnsi" w:hAnsiTheme="minorHAnsi"/>
          <w:b/>
          <w:bCs/>
        </w:rPr>
      </w:pPr>
      <w:r>
        <w:rPr>
          <w:rFonts w:eastAsia="Aptos" w:cs="Aptos"/>
        </w:rPr>
        <w:t xml:space="preserve">This context raises the question as to the conditions under which climate forcing asset holders, widely defined as those industries, workers, and citizens, holding climate forcing assets, </w:t>
      </w:r>
      <w:r>
        <w:rPr>
          <w:rFonts w:eastAsia="Aptos" w:cs="Aptos"/>
          <w:b/>
          <w:bCs/>
        </w:rPr>
        <w:t xml:space="preserve">may be realigned to consent to climate policies, even when these come at short-term costs for their individual position in climate politics. </w:t>
      </w:r>
    </w:p>
    <w:p>
      <w:pPr>
        <w:pStyle w:val="Standard"/>
        <w:jc w:val="both"/>
        <w:rPr>
          <w:rFonts w:ascii="Aptos" w:hAnsi="Aptos" w:eastAsia="Aptos" w:cs="Aptos" w:asciiTheme="minorHAnsi" w:hAnsiTheme="minorHAnsi"/>
        </w:rPr>
      </w:pPr>
      <w:r>
        <w:rPr>
          <w:rFonts w:eastAsia="Aptos" w:cs="Aptos"/>
        </w:rPr>
      </w:r>
    </w:p>
    <w:p>
      <w:pPr>
        <w:pStyle w:val="Standard"/>
        <w:numPr>
          <w:ilvl w:val="1"/>
          <w:numId w:val="4"/>
        </w:numPr>
        <w:jc w:val="both"/>
        <w:rPr>
          <w:rFonts w:ascii="Aptos" w:hAnsi="Aptos" w:eastAsia="Aptos" w:cs="Aptos" w:asciiTheme="minorHAnsi" w:hAnsiTheme="minorHAnsi"/>
          <w:b/>
          <w:bCs/>
        </w:rPr>
      </w:pPr>
      <w:r>
        <w:rPr>
          <w:rFonts w:eastAsia="Aptos" w:cs="Aptos"/>
          <w:b/>
          <w:bCs/>
        </w:rPr>
        <w:t>Realigning climate forcing players: How policy features affect different motives</w:t>
      </w:r>
    </w:p>
    <w:p>
      <w:pPr>
        <w:pStyle w:val="Standard"/>
        <w:jc w:val="both"/>
        <w:rPr>
          <w:rFonts w:ascii="Aptos" w:hAnsi="Aptos" w:asciiTheme="minorHAnsi" w:hAnsiTheme="minorHAnsi"/>
        </w:rPr>
      </w:pPr>
      <w:r>
        <w:rPr>
          <w:rFonts w:asciiTheme="minorHAnsi" w:hAnsiTheme="minorHAnsi"/>
        </w:rPr>
        <w:t xml:space="preserve">A key finding from the climate policy literature is that the design of climate policy may sway CFAs to vote against their immediate climate interests, in the hope of making other gains. </w:t>
      </w:r>
      <w:r>
        <w:rPr>
          <w:rFonts w:eastAsia="Aptos" w:cs="Aptos"/>
        </w:rPr>
        <w:t xml:space="preserve">In particular, a rich literature on Just Transition policies has shown that, when climate policies tend to receive stronger support from the fossil fuel communities when these are associated with compensatory programs. While a rich debate exists on the what ‘Just Transition’ policies actually include, two approaches can essentially be distinguished.  </w:t>
      </w:r>
      <w:r>
        <w:rPr>
          <w:rFonts w:eastAsia="MS Mincho" w:cs="Arial"/>
        </w:rPr>
        <w:t xml:space="preserve">These views notably distinguish themselves in their conception of (i) the </w:t>
      </w:r>
      <w:r>
        <w:rPr>
          <w:rFonts w:eastAsia="MS Mincho" w:cs="Arial"/>
          <w:i/>
          <w:iCs/>
        </w:rPr>
        <w:t xml:space="preserve">micro-drivers of </w:t>
      </w:r>
      <w:r>
        <w:rPr>
          <w:rFonts w:eastAsia="MS Mincho" w:cs="Arial"/>
        </w:rPr>
        <w:t xml:space="preserve">behavioural change (ii) the </w:t>
      </w:r>
      <w:r>
        <w:rPr>
          <w:rFonts w:eastAsia="MS Mincho" w:cs="Arial"/>
          <w:i/>
          <w:iCs/>
        </w:rPr>
        <w:t>function</w:t>
      </w:r>
      <w:r>
        <w:rPr>
          <w:rFonts w:eastAsia="MS Mincho" w:cs="Arial"/>
        </w:rPr>
        <w:t xml:space="preserve"> played by policy interventions; and (iii) the desirable </w:t>
      </w:r>
      <w:r>
        <w:rPr>
          <w:rFonts w:eastAsia="MS Mincho" w:cs="Arial"/>
          <w:i/>
          <w:iCs/>
        </w:rPr>
        <w:t xml:space="preserve">features </w:t>
      </w:r>
      <w:r>
        <w:rPr>
          <w:rFonts w:eastAsia="MS Mincho" w:cs="Arial"/>
        </w:rPr>
        <w:t>of social policies associated to climate policies.</w:t>
      </w:r>
    </w:p>
    <w:p>
      <w:pPr>
        <w:pStyle w:val="Standard"/>
        <w:jc w:val="both"/>
        <w:rPr>
          <w:rFonts w:ascii="Aptos" w:hAnsi="Aptos" w:eastAsia="Aptos" w:cs="Aptos" w:asciiTheme="minorHAnsi" w:hAnsiTheme="minorHAnsi"/>
        </w:rPr>
      </w:pPr>
      <w:r>
        <w:rPr>
          <w:rFonts w:eastAsia="Aptos" w:cs="Aptos"/>
        </w:rPr>
      </w:r>
    </w:p>
    <w:p>
      <w:pPr>
        <w:pStyle w:val="Standard"/>
        <w:numPr>
          <w:ilvl w:val="2"/>
          <w:numId w:val="4"/>
        </w:numPr>
        <w:jc w:val="both"/>
        <w:rPr>
          <w:rFonts w:ascii="Aptos" w:hAnsi="Aptos" w:eastAsia="Times New Roman" w:cs="Times New Roman" w:asciiTheme="minorHAnsi" w:hAnsiTheme="minorHAnsi"/>
          <w:b/>
          <w:bCs/>
          <w:i/>
          <w:i/>
          <w:iCs/>
        </w:rPr>
      </w:pPr>
      <w:r>
        <w:rPr>
          <w:rFonts w:eastAsia="Aptos" w:cs="Aptos"/>
          <w:b/>
          <w:bCs/>
          <w:i/>
          <w:iCs/>
        </w:rPr>
        <w:t>Egotropic motives</w:t>
      </w:r>
    </w:p>
    <w:p>
      <w:pPr>
        <w:pStyle w:val="Normal"/>
        <w:spacing w:lineRule="auto" w:line="276"/>
        <w:jc w:val="both"/>
        <w:rPr>
          <w:rFonts w:ascii="Aptos" w:hAnsi="Aptos" w:eastAsia="MS Mincho" w:cs="Arial" w:asciiTheme="minorHAnsi" w:hAnsiTheme="minorHAnsi"/>
        </w:rPr>
      </w:pPr>
      <w:r>
        <w:rPr>
          <w:rFonts w:eastAsia="MS Mincho" w:cs="Arial" w:ascii="Aptos" w:hAnsi="Aptos" w:asciiTheme="minorHAnsi" w:hAnsiTheme="minorHAnsi"/>
        </w:rPr>
        <w:t xml:space="preserve">A dominant view in the scholarship focuses on the role of </w:t>
      </w:r>
      <w:r>
        <w:rPr>
          <w:rFonts w:eastAsia="MS Mincho" w:cs="Arial" w:ascii="Aptos" w:hAnsi="Aptos" w:asciiTheme="minorHAnsi" w:hAnsiTheme="minorHAnsi"/>
          <w:b/>
          <w:bCs/>
          <w:i/>
          <w:iCs/>
        </w:rPr>
        <w:t>egotropic motivations</w:t>
      </w:r>
      <w:r>
        <w:rPr>
          <w:rFonts w:eastAsia="MS Mincho" w:cs="Arial" w:ascii="Aptos" w:hAnsi="Aptos" w:asciiTheme="minorHAnsi" w:hAnsiTheme="minorHAnsi"/>
        </w:rPr>
        <w:t xml:space="preserve"> 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w:t>
      </w:r>
      <w:commentRangeStart w:id="0"/>
      <w:r>
        <w:rPr>
          <w:rFonts w:eastAsia="MS Mincho" w:cs="Arial" w:ascii="Aptos" w:hAnsi="Aptos" w:asciiTheme="minorHAnsi" w:hAnsiTheme="minorHAnsi"/>
          <w:b/>
          <w:bCs/>
          <w:i/>
          <w:iCs/>
        </w:rPr>
        <w:t>compensation tools</w:t>
      </w:r>
      <w:r>
        <w:rPr>
          <w:rFonts w:eastAsia="MS Mincho" w:cs="Arial" w:ascii="Aptos" w:hAnsi="Aptos" w:asciiTheme="minorHAnsi" w:hAnsiTheme="minorHAnsi"/>
        </w:rPr>
        <w:t xml:space="preserve"> for the economic costs imposed on 'climate-forcing asset holders’.</w:t>
      </w:r>
      <w:commentRangeEnd w:id="0"/>
      <w:r>
        <w:commentReference w:id="0"/>
      </w:r>
      <w:r>
        <w:rPr>
          <w:rFonts w:eastAsia="MS Mincho" w:cs="Arial" w:ascii="Aptos" w:hAnsi="Aptos" w:asciiTheme="minorHAnsi" w:hAnsiTheme="minorHAnsi"/>
        </w:rPr>
      </w:r>
    </w:p>
    <w:p>
      <w:pPr>
        <w:pStyle w:val="Standard"/>
        <w:suppressAutoHyphens w:val="true"/>
        <w:jc w:val="both"/>
        <w:rPr>
          <w:rFonts w:ascii="Aptos" w:hAnsi="Aptos" w:asciiTheme="minorHAnsi" w:hAnsiTheme="minorHAnsi"/>
        </w:rPr>
      </w:pPr>
      <w:r>
        <w:rPr>
          <w:rFonts w:asciiTheme="minorHAnsi" w:hAnsiTheme="minorHAnsi"/>
        </w:rPr>
      </w:r>
    </w:p>
    <w:p>
      <w:pPr>
        <w:pStyle w:val="Standard"/>
        <w:numPr>
          <w:ilvl w:val="2"/>
          <w:numId w:val="4"/>
        </w:numPr>
        <w:jc w:val="both"/>
        <w:rPr>
          <w:rFonts w:ascii="Aptos" w:hAnsi="Aptos" w:eastAsia="Times New Roman" w:cs="Times New Roman" w:asciiTheme="minorHAnsi" w:hAnsiTheme="minorHAnsi"/>
          <w:b/>
          <w:bCs/>
          <w:i/>
          <w:i/>
          <w:iCs/>
          <w:lang w:eastAsia="en-GB"/>
        </w:rPr>
      </w:pPr>
      <w:r>
        <w:rPr>
          <w:rFonts w:eastAsia="Aptos" w:cs="Aptos"/>
          <w:b/>
          <w:bCs/>
          <w:i/>
          <w:iCs/>
        </w:rPr>
        <w:t>Sociotropic motives</w:t>
      </w:r>
    </w:p>
    <w:p>
      <w:pPr>
        <w:pStyle w:val="Standard"/>
        <w:jc w:val="both"/>
        <w:rPr>
          <w:rFonts w:ascii="Aptos" w:hAnsi="Aptos" w:eastAsia="MS Mincho" w:cs="Arial" w:asciiTheme="minorHAnsi" w:hAnsiTheme="minorHAnsi"/>
        </w:rPr>
      </w:pPr>
      <w:r>
        <w:rPr>
          <w:rFonts w:eastAsia="MS Mincho" w:cs="Arial"/>
        </w:rPr>
        <w:t>However, emerging research performed on the US context has also shown that individual realignment may also rest on motivations of a more sociotropic nature (</w:t>
      </w:r>
      <w:r>
        <w:rPr>
          <w:rFonts w:eastAsia="Aptos" w:cs="Aptos"/>
        </w:rPr>
        <w:t xml:space="preserve">Gazmarian, 2024). </w:t>
      </w:r>
      <w:r>
        <w:rPr>
          <w:rFonts w:eastAsia="MS Mincho" w:cs="Arial"/>
        </w:rPr>
        <w:t xml:space="preserve">Decarbonisation may economically affect certain individual and sectors more than others, but its main social risks will reside in the wider social and political implications of CFA stranding. In this view, Just Transition interventions should be perceived as impacting local ecosystems. Social policies, in turn, should be viewed as capacitation tools that should contribute to revitalizing the social capital of most vulnerable places. </w:t>
      </w:r>
    </w:p>
    <w:p>
      <w:pPr>
        <w:pStyle w:val="Standard"/>
        <w:jc w:val="both"/>
        <w:rPr>
          <w:b/>
          <w:bCs/>
          <w:highlight w:val="none"/>
          <w:shd w:fill="FFFF00" w:val="clear"/>
        </w:rPr>
      </w:pPr>
      <w:r>
        <w:rPr>
          <w:b/>
          <w:bCs/>
          <w:shd w:fill="FFFF00" w:val="clear"/>
        </w:rPr>
        <w:t xml:space="preserve">I think here we are making two arguments: a) if the idea is to compensate, the compensation schemes can be broaden to communities as a whole and not workers, b) function played by the policy intervention: b1) compensating direct impact, b2) increase the likelihood of the policy to be implemented (reducing backlash), b3) compensating indirect impacts, b4) positive view of new development for the territory (capacitation strategy), c) there is a debate on the exact policy packages that is adequated. </w:t>
      </w:r>
    </w:p>
    <w:p>
      <w:pPr>
        <w:pStyle w:val="Standard"/>
        <w:jc w:val="both"/>
        <w:rPr>
          <w:rFonts w:ascii="Aptos" w:hAnsi="Aptos" w:eastAsia="MS Mincho" w:cs="Arial" w:asciiTheme="minorHAnsi" w:hAnsiTheme="minorHAnsi"/>
          <w:b/>
          <w:bCs/>
          <w:highlight w:val="none"/>
          <w:shd w:fill="FFFF00" w:val="clear"/>
        </w:rPr>
      </w:pPr>
      <w:r>
        <w:rPr>
          <w:rFonts w:eastAsia="MS Mincho" w:cs="Arial"/>
          <w:b/>
          <w:bCs/>
          <w:shd w:fill="FFFF00" w:val="clear"/>
        </w:rPr>
        <w:t xml:space="preserve">I also miss a discussion on the differences in the micro-drivers of behavioural change between ego-tropic and sociotropic preferences. </w:t>
      </w:r>
    </w:p>
    <w:p>
      <w:pPr>
        <w:pStyle w:val="Standard"/>
        <w:jc w:val="both"/>
        <w:rPr>
          <w:rFonts w:ascii="Aptos" w:hAnsi="Aptos" w:eastAsia="MS Mincho" w:cs="Arial" w:asciiTheme="minorHAnsi" w:hAnsiTheme="minorHAnsi"/>
        </w:rPr>
      </w:pPr>
      <w:r>
        <w:rPr>
          <w:rFonts w:eastAsia="MS Mincho" w:cs="Arial"/>
        </w:rPr>
        <w:t xml:space="preserve">   </w:t>
      </w:r>
    </w:p>
    <w:p>
      <w:pPr>
        <w:pStyle w:val="Standard"/>
        <w:jc w:val="both"/>
        <w:rPr>
          <w:rFonts w:ascii="Aptos" w:hAnsi="Aptos" w:eastAsia="MS Mincho" w:cs="Arial" w:asciiTheme="minorHAnsi" w:hAnsiTheme="minorHAnsi"/>
        </w:rPr>
      </w:pPr>
      <w:r>
        <w:rPr>
          <w:rFonts w:eastAsia="MS Mincho" w:cs="Arial"/>
        </w:rPr>
      </w:r>
    </w:p>
    <w:p>
      <w:pPr>
        <w:pStyle w:val="Standard"/>
        <w:jc w:val="both"/>
        <w:rPr>
          <w:rFonts w:ascii="Aptos" w:hAnsi="Aptos" w:eastAsia="MS Mincho" w:cs="Arial" w:asciiTheme="minorHAnsi" w:hAnsiTheme="minorHAnsi"/>
        </w:rPr>
      </w:pPr>
      <w:r>
        <w:rPr>
          <w:rFonts w:eastAsia="MS Mincho" w:cs="Arial"/>
        </w:rPr>
        <w:t xml:space="preserve">                      </w:t>
      </w:r>
    </w:p>
    <w:p>
      <w:pPr>
        <w:pStyle w:val="Standard"/>
        <w:numPr>
          <w:ilvl w:val="2"/>
          <w:numId w:val="4"/>
        </w:numPr>
        <w:jc w:val="both"/>
        <w:rPr>
          <w:rFonts w:ascii="Aptos" w:hAnsi="Aptos" w:eastAsia="MS Mincho" w:cs="Arial" w:asciiTheme="minorHAnsi" w:hAnsiTheme="minorHAnsi"/>
        </w:rPr>
      </w:pPr>
      <w:r>
        <w:rPr>
          <w:rFonts w:eastAsia="Aptos" w:cs="Aptos"/>
          <w:b/>
          <w:bCs/>
        </w:rPr>
        <w:t>Research gap</w:t>
      </w:r>
    </w:p>
    <w:p>
      <w:pPr>
        <w:pStyle w:val="Standard"/>
        <w:jc w:val="both"/>
        <w:rPr>
          <w:rFonts w:ascii="Aptos" w:hAnsi="Aptos" w:eastAsia="MS Mincho" w:cs="Arial" w:asciiTheme="minorHAnsi" w:hAnsiTheme="minorHAnsi"/>
        </w:rPr>
      </w:pPr>
      <w:commentRangeStart w:id="1"/>
      <w:r>
        <w:rPr>
          <w:rFonts w:eastAsia="MS Mincho" w:cs="Arial"/>
        </w:rPr>
        <w:t xml:space="preserve">A first contribution of this project seeks to assess the </w:t>
      </w:r>
      <w:r>
        <w:rPr>
          <w:rFonts w:eastAsia="MS Mincho" w:cs="Arial"/>
          <w:i/>
          <w:iCs/>
        </w:rPr>
        <w:t>relative role</w:t>
      </w:r>
      <w:r>
        <w:rPr>
          <w:rFonts w:eastAsia="MS Mincho" w:cs="Arial"/>
        </w:rPr>
        <w:t xml:space="preserve"> of egotropic vs. sociotropic preferences Just Transition interventions in the European context. </w:t>
      </w:r>
      <w:commentRangeEnd w:id="1"/>
      <w:r>
        <w:commentReference w:id="1"/>
      </w:r>
      <w:r>
        <w:rPr>
          <w:rFonts w:eastAsia="MS Mincho" w:cs="Arial"/>
        </w:rPr>
      </w:r>
    </w:p>
    <w:p>
      <w:pPr>
        <w:pStyle w:val="Standard"/>
        <w:jc w:val="both"/>
        <w:rPr>
          <w:rFonts w:ascii="Aptos" w:hAnsi="Aptos" w:eastAsia="MS Mincho" w:cs="Arial" w:asciiTheme="minorHAnsi" w:hAnsiTheme="minorHAnsi"/>
        </w:rPr>
      </w:pPr>
      <w:r>
        <w:rPr>
          <w:rFonts w:eastAsia="MS Mincho" w:cs="Arial"/>
        </w:rPr>
        <w:t xml:space="preserve">Yet, we also know too little today, about the extent to which these motivations may be mobilized by different actors to prompt a re-evaluation of the preferences of CFAs. </w:t>
      </w:r>
    </w:p>
    <w:p>
      <w:pPr>
        <w:pStyle w:val="Standard"/>
        <w:jc w:val="both"/>
        <w:rPr>
          <w:rFonts w:ascii="Aptos" w:hAnsi="Aptos" w:eastAsia="MS Mincho" w:cs="Arial" w:asciiTheme="minorHAnsi" w:hAnsiTheme="minorHAnsi"/>
        </w:rPr>
      </w:pPr>
      <w:r>
        <w:rPr>
          <w:rFonts w:eastAsia="MS Mincho" w:cs="Arial"/>
        </w:rPr>
        <w:t xml:space="preserve">In this study, we hypothesise that while the content of just transition policies certainly affect climate policy consent by CFAs, this effect will be further mediated by the position expressed by representative bodies holding a sufficient level of credibility in the eyes of these actors.  </w:t>
      </w:r>
      <w:r>
        <w:rPr>
          <w:rFonts w:asciiTheme="minorHAnsi" w:hAnsiTheme="minorHAnsi"/>
        </w:rPr>
        <w:t xml:space="preserve">                     </w:t>
      </w:r>
    </w:p>
    <w:p>
      <w:pPr>
        <w:pStyle w:val="Standard"/>
        <w:numPr>
          <w:ilvl w:val="0"/>
          <w:numId w:val="4"/>
        </w:numPr>
        <w:jc w:val="both"/>
        <w:rPr>
          <w:rFonts w:ascii="Aptos" w:hAnsi="Aptos" w:eastAsia="MS Mincho" w:cs="Arial" w:asciiTheme="minorHAnsi" w:hAnsiTheme="minorHAnsi"/>
          <w:b/>
          <w:bCs/>
          <w:sz w:val="28"/>
          <w:szCs w:val="28"/>
        </w:rPr>
      </w:pPr>
      <w:r>
        <w:rPr>
          <w:rFonts w:eastAsia="MS Mincho" w:cs="Arial"/>
          <w:b/>
          <w:bCs/>
          <w:sz w:val="28"/>
          <w:szCs w:val="28"/>
        </w:rPr>
        <w:t>Realigning CFAs: Power Resources in the Jobs vs. Climate dilemma</w:t>
      </w:r>
    </w:p>
    <w:p>
      <w:pPr>
        <w:pStyle w:val="Standard"/>
        <w:numPr>
          <w:ilvl w:val="1"/>
          <w:numId w:val="4"/>
        </w:numPr>
        <w:jc w:val="both"/>
        <w:rPr>
          <w:rFonts w:ascii="Aptos" w:hAnsi="Aptos" w:eastAsia="MS Mincho" w:cs="Arial" w:asciiTheme="minorHAnsi" w:hAnsiTheme="minorHAnsi"/>
          <w:sz w:val="22"/>
          <w:szCs w:val="22"/>
        </w:rPr>
      </w:pPr>
      <w:r>
        <w:rPr>
          <w:rFonts w:eastAsia="MS Mincho" w:cs="Arial"/>
          <w:b/>
          <w:bCs/>
        </w:rPr>
        <w:t>The Jobs vs. Climate dilemma</w:t>
      </w:r>
    </w:p>
    <w:p>
      <w:pPr>
        <w:pStyle w:val="Standard"/>
        <w:jc w:val="both"/>
        <w:rPr>
          <w:rFonts w:ascii="Aptos" w:hAnsi="Aptos" w:eastAsia="MS Mincho" w:cs="Arial" w:asciiTheme="minorHAnsi" w:hAnsiTheme="minorHAnsi"/>
        </w:rPr>
      </w:pPr>
      <w:r>
        <w:rPr>
          <w:rFonts w:eastAsia="MS Mincho" w:cs="Arial"/>
        </w:rPr>
        <w:t xml:space="preserve">Just Transition policy interventions do not happen in a vacuum. In the process of adoption, political actors can cue the publics through various policy frames with the aim to shape preferences, and mobilise, for example, sociotropic over egotropic inclinations. </w:t>
      </w:r>
    </w:p>
    <w:p>
      <w:pPr>
        <w:pStyle w:val="Standard"/>
        <w:numPr>
          <w:ilvl w:val="1"/>
          <w:numId w:val="4"/>
        </w:numPr>
        <w:jc w:val="both"/>
        <w:rPr>
          <w:rFonts w:ascii="Aptos" w:hAnsi="Aptos" w:eastAsia="MS Mincho" w:cs="Arial" w:asciiTheme="minorHAnsi" w:hAnsiTheme="minorHAnsi"/>
          <w:sz w:val="22"/>
          <w:szCs w:val="22"/>
        </w:rPr>
      </w:pPr>
      <w:r>
        <w:rPr>
          <w:rFonts w:eastAsia="MS Mincho" w:cs="Arial"/>
          <w:b/>
          <w:bCs/>
        </w:rPr>
        <w:t>The role of trade unions</w:t>
      </w:r>
    </w:p>
    <w:p>
      <w:pPr>
        <w:pStyle w:val="Standard"/>
        <w:jc w:val="both"/>
        <w:rPr>
          <w:rFonts w:ascii="Aptos" w:hAnsi="Aptos" w:eastAsia="MS Mincho" w:cs="Arial" w:asciiTheme="minorHAnsi" w:hAnsiTheme="minorHAnsi"/>
        </w:rPr>
      </w:pPr>
      <w:r>
        <w:rPr>
          <w:rFonts w:eastAsia="MS Mincho" w:cs="Arial"/>
        </w:rPr>
        <w:t xml:space="preserve">Trade unions are a player at the crossroad of the just transition: Unions are often involved in decisions linked to closure, consolidation, or greening of climate forcing firms. Besides, unions often act as locally-embedded, political intermediaries, making them directly exposed to concerns linked to upholding the social capital of places affected by climate change. </w:t>
      </w:r>
    </w:p>
    <w:p>
      <w:pPr>
        <w:pStyle w:val="Standard"/>
        <w:jc w:val="both"/>
        <w:rPr>
          <w:rFonts w:ascii="Aptos" w:hAnsi="Aptos" w:eastAsia="MS Mincho" w:cs="Arial" w:asciiTheme="minorHAnsi" w:hAnsiTheme="minorHAnsi"/>
        </w:rPr>
      </w:pPr>
      <w:r>
        <w:rPr>
          <w:rFonts w:eastAsia="MS Mincho" w:cs="Arial"/>
          <w:highlight w:val="cyan"/>
        </w:rPr>
        <w:t>Today, the literature is divided on the role of unions in climate change mitigation policies.</w:t>
      </w:r>
      <w:r>
        <w:rPr>
          <w:rFonts w:eastAsia="MS Mincho" w:cs="Arial"/>
        </w:rPr>
        <w:t xml:space="preserve">  Unions often fear job losses from pro-climate reforms (</w:t>
      </w:r>
      <w:r>
        <w:rPr>
          <w:rFonts w:eastAsia="MS Mincho" w:cs="Arial"/>
          <w:highlight w:val="cyan"/>
        </w:rPr>
        <w:t>additional sources</w:t>
      </w:r>
      <w:r>
        <w:rPr>
          <w:rFonts w:eastAsia="MS Mincho" w:cs="Arial"/>
        </w:rPr>
        <w:t xml:space="preserve">).However, evidence also shows that unions may consent to ambitious climate policies when these are accompanied by strong compensatory mechanisms (Kalt, 2021; Thomas &amp; Doerflinger, 2020). </w:t>
      </w:r>
    </w:p>
    <w:p>
      <w:pPr>
        <w:pStyle w:val="Standard"/>
        <w:jc w:val="both"/>
        <w:rPr>
          <w:rFonts w:ascii="Aptos" w:hAnsi="Aptos" w:eastAsia="Aptos" w:cs="Aptos" w:asciiTheme="minorHAnsi" w:hAnsiTheme="minorHAnsi"/>
        </w:rPr>
      </w:pPr>
      <w:r>
        <w:rPr>
          <w:rFonts w:eastAsia="Aptos" w:cs="Aptos"/>
          <w:lang w:val="en-GB"/>
        </w:rPr>
        <w:t xml:space="preserve">Of particular interest to this study is the fact that union’s position may also affect the position of CFA regarding the adoption of climate policies. As Bolet et al. </w:t>
      </w:r>
      <w:r>
        <w:rPr>
          <w:rFonts w:eastAsia="Aptos" w:cs="Aptos"/>
        </w:rPr>
        <w:t xml:space="preserve">(2023) have shown, the role of unions in the negotiation and acceptance of just transition policies was critical in the phasing out of Spain coal mines. In this study, the authors show that in contexts when union density is high, these can effectively shape workers and community preferences towards the acceptance of just transition packages. </w:t>
      </w:r>
    </w:p>
    <w:p>
      <w:pPr>
        <w:pStyle w:val="Standard"/>
        <w:jc w:val="both"/>
        <w:rPr>
          <w:rFonts w:ascii="Aptos" w:hAnsi="Aptos" w:eastAsia="Aptos" w:cs="Aptos" w:asciiTheme="minorHAnsi" w:hAnsiTheme="minorHAnsi"/>
          <w:lang w:val="en-GB"/>
        </w:rPr>
      </w:pPr>
      <w:r>
        <w:rPr>
          <w:rFonts w:eastAsia="Aptos" w:cs="Aptos"/>
        </w:rPr>
        <w:t xml:space="preserve">As of today, however, the channels through which just transition packages may shape preferences remain largely undefined. </w:t>
      </w:r>
    </w:p>
    <w:p>
      <w:pPr>
        <w:pStyle w:val="Standard"/>
        <w:jc w:val="both"/>
        <w:rPr>
          <w:rFonts w:ascii="Aptos" w:hAnsi="Aptos" w:eastAsia="MS Mincho" w:cs="Arial" w:asciiTheme="minorHAnsi" w:hAnsiTheme="minorHAnsi"/>
        </w:rPr>
      </w:pPr>
      <w:r>
        <w:rPr>
          <w:rFonts w:eastAsia="MS Mincho" w:cs="Arial"/>
        </w:rPr>
        <w:t xml:space="preserve">In this study, we posit that unions may dramatically change perception of climate policy interventions, yet that this effect may occur via three different pathways: </w:t>
      </w:r>
    </w:p>
    <w:p>
      <w:pPr>
        <w:pStyle w:val="Standard"/>
        <w:numPr>
          <w:ilvl w:val="0"/>
          <w:numId w:val="6"/>
        </w:numPr>
        <w:jc w:val="both"/>
        <w:rPr>
          <w:rFonts w:ascii="Aptos" w:hAnsi="Aptos" w:eastAsia="MS Mincho" w:cs="Arial" w:asciiTheme="minorHAnsi" w:hAnsiTheme="minorHAnsi"/>
        </w:rPr>
      </w:pPr>
      <w:r>
        <w:rPr>
          <w:rFonts w:eastAsia="MS Mincho" w:cs="Arial"/>
        </w:rPr>
        <w:t xml:space="preserve">First, it cannot be excluded that unions act as a </w:t>
      </w:r>
      <w:r>
        <w:rPr>
          <w:rFonts w:eastAsia="MS Mincho" w:cs="Arial"/>
          <w:i/>
          <w:iCs/>
        </w:rPr>
        <w:t>responsive player</w:t>
      </w:r>
      <w:r>
        <w:rPr>
          <w:rFonts w:eastAsia="MS Mincho" w:cs="Arial"/>
        </w:rPr>
        <w:t xml:space="preserve">, comforting 'climate-forcing asset holders’ in their resistance to decarbonization policies. </w:t>
      </w:r>
    </w:p>
    <w:p>
      <w:pPr>
        <w:pStyle w:val="Standard"/>
        <w:numPr>
          <w:ilvl w:val="0"/>
          <w:numId w:val="6"/>
        </w:numPr>
        <w:jc w:val="both"/>
        <w:rPr>
          <w:rFonts w:ascii="Aptos" w:hAnsi="Aptos" w:eastAsia="MS Mincho" w:cs="Arial" w:asciiTheme="minorHAnsi" w:hAnsiTheme="minorHAnsi"/>
        </w:rPr>
      </w:pPr>
      <w:r>
        <w:rPr>
          <w:rFonts w:eastAsia="MS Mincho" w:cs="Arial"/>
        </w:rPr>
        <w:t xml:space="preserve">Alternatively, unions may choose to act as </w:t>
      </w:r>
      <w:r>
        <w:rPr>
          <w:rFonts w:eastAsia="MS Mincho" w:cs="Arial"/>
          <w:i/>
          <w:iCs/>
        </w:rPr>
        <w:t>responsible player</w:t>
      </w:r>
      <w:r>
        <w:rPr>
          <w:rFonts w:eastAsia="MS Mincho" w:cs="Arial"/>
        </w:rPr>
        <w:t>, identifying the (social) conditions under which realignment of CFAs towards climate goals would be considered acceptable. In this case, we expect that these may act either by following either</w:t>
      </w:r>
    </w:p>
    <w:p>
      <w:pPr>
        <w:pStyle w:val="Standard"/>
        <w:numPr>
          <w:ilvl w:val="1"/>
          <w:numId w:val="6"/>
        </w:numPr>
        <w:jc w:val="both"/>
        <w:rPr>
          <w:rFonts w:ascii="Aptos" w:hAnsi="Aptos" w:eastAsia="MS Mincho" w:cs="Arial" w:asciiTheme="minorHAnsi" w:hAnsiTheme="minorHAnsi"/>
        </w:rPr>
      </w:pPr>
      <w:r>
        <w:rPr>
          <w:rFonts w:eastAsia="MS Mincho" w:cs="Arial"/>
        </w:rPr>
        <w:t xml:space="preserve">an </w:t>
      </w:r>
      <w:r>
        <w:rPr>
          <w:rFonts w:eastAsia="MS Mincho" w:cs="Arial"/>
          <w:b/>
          <w:bCs/>
          <w:i/>
          <w:iCs/>
        </w:rPr>
        <w:t>insider-oriented logic</w:t>
      </w:r>
      <w:r>
        <w:rPr>
          <w:rFonts w:eastAsia="MS Mincho" w:cs="Arial"/>
        </w:rPr>
        <w:t xml:space="preserve"> (tailoring workers’ support via dedicated policies); or</w:t>
      </w:r>
    </w:p>
    <w:p>
      <w:pPr>
        <w:pStyle w:val="Standard"/>
        <w:numPr>
          <w:ilvl w:val="1"/>
          <w:numId w:val="6"/>
        </w:numPr>
        <w:jc w:val="both"/>
        <w:rPr>
          <w:rFonts w:ascii="Aptos" w:hAnsi="Aptos" w:eastAsia="MS Mincho" w:cs="Arial" w:asciiTheme="minorHAnsi" w:hAnsiTheme="minorHAnsi"/>
        </w:rPr>
      </w:pPr>
      <w:r>
        <w:rPr>
          <w:rFonts w:eastAsia="MS Mincho" w:cs="Arial"/>
        </w:rPr>
        <w:t xml:space="preserve">a </w:t>
      </w:r>
      <w:r>
        <w:rPr>
          <w:rFonts w:eastAsia="MS Mincho" w:cs="Arial"/>
          <w:b/>
          <w:bCs/>
          <w:i/>
          <w:iCs/>
        </w:rPr>
        <w:t xml:space="preserve">public-seeking logic </w:t>
      </w:r>
      <w:r>
        <w:rPr>
          <w:rFonts w:eastAsia="MS Mincho" w:cs="Arial"/>
        </w:rPr>
        <w:t xml:space="preserve">(targeting the whole local population via community investments). </w:t>
      </w:r>
    </w:p>
    <w:p>
      <w:pPr>
        <w:pStyle w:val="Standard"/>
        <w:numPr>
          <w:ilvl w:val="1"/>
          <w:numId w:val="4"/>
        </w:numPr>
        <w:jc w:val="both"/>
        <w:rPr>
          <w:rFonts w:ascii="Aptos" w:hAnsi="Aptos" w:eastAsia="MS Mincho" w:cs="Arial" w:asciiTheme="minorHAnsi" w:hAnsiTheme="minorHAnsi"/>
          <w:sz w:val="22"/>
          <w:szCs w:val="22"/>
        </w:rPr>
      </w:pPr>
      <w:r>
        <w:rPr>
          <w:rFonts w:eastAsia="MS Mincho" w:cs="Arial"/>
          <w:b/>
          <w:bCs/>
        </w:rPr>
        <w:t>A focus on affected workers</w:t>
      </w:r>
    </w:p>
    <w:p>
      <w:pPr>
        <w:pStyle w:val="Standard"/>
        <w:spacing w:before="0" w:after="0"/>
        <w:jc w:val="both"/>
        <w:rPr>
          <w:rFonts w:ascii="Aptos" w:hAnsi="Aptos" w:eastAsia="MS Mincho" w:cs="Arial" w:asciiTheme="minorHAnsi" w:hAnsiTheme="minorHAnsi"/>
        </w:rPr>
      </w:pPr>
      <w:r>
        <w:rPr>
          <w:rFonts w:eastAsia="MS Mincho" w:cs="Arial"/>
        </w:rPr>
        <w:t xml:space="preserve">To best distinguish between affected and non-affected populations, we target a representative sample of the main population of interest that is likely to backlash when decarbonization policies are implemented, namely: workers in CFA industries. </w:t>
      </w:r>
      <w:r>
        <w:rPr>
          <w:rFonts w:eastAsia="Aptos" w:cs="Aptos"/>
        </w:rPr>
        <w:t xml:space="preserve">With this focus on workers, we accordingly ask in this study: </w:t>
      </w:r>
    </w:p>
    <w:p>
      <w:pPr>
        <w:pStyle w:val="Standard"/>
        <w:jc w:val="both"/>
        <w:rPr>
          <w:rFonts w:ascii="Aptos" w:hAnsi="Aptos" w:eastAsia="Aptos" w:cs="Aptos" w:asciiTheme="minorHAnsi" w:hAnsiTheme="minorHAnsi"/>
        </w:rPr>
      </w:pPr>
      <w:r>
        <w:rPr>
          <w:rFonts w:eastAsia="Aptos" w:cs="Aptos"/>
          <w:b/>
          <w:bCs/>
        </w:rPr>
        <w:t xml:space="preserve">When do workers agree to forego their current employment status for the sake of climate mitigation objectives? </w:t>
      </w:r>
    </w:p>
    <w:p>
      <w:pPr>
        <w:pStyle w:val="Standard"/>
        <w:jc w:val="both"/>
        <w:rPr>
          <w:rFonts w:ascii="Aptos" w:hAnsi="Aptos" w:eastAsia="MS Mincho" w:cs="Arial" w:asciiTheme="minorHAnsi" w:hAnsiTheme="minorHAnsi"/>
        </w:rPr>
      </w:pPr>
      <w:r>
        <w:rPr>
          <w:rFonts w:eastAsia="MS Mincho" w:cs="Arial"/>
        </w:rPr>
      </w:r>
    </w:p>
    <w:p>
      <w:pPr>
        <w:pStyle w:val="Standard"/>
        <w:jc w:val="both"/>
        <w:rPr>
          <w:rFonts w:ascii="Aptos" w:hAnsi="Aptos" w:eastAsia="MS Mincho" w:cs="Arial" w:asciiTheme="minorHAnsi" w:hAnsiTheme="minorHAnsi"/>
        </w:rPr>
      </w:pPr>
      <w:r>
        <w:rPr>
          <w:rFonts w:eastAsia="MS Mincho" w:cs="Arial"/>
        </w:rPr>
      </w:r>
    </w:p>
    <w:p>
      <w:pPr>
        <w:pStyle w:val="Standard"/>
        <w:jc w:val="both"/>
        <w:rPr>
          <w:rFonts w:ascii="Aptos" w:hAnsi="Aptos" w:eastAsia="MS Mincho" w:cs="Arial" w:asciiTheme="minorHAnsi" w:hAnsiTheme="minorHAnsi"/>
        </w:rPr>
      </w:pPr>
      <w:r>
        <w:rPr>
          <w:rFonts w:eastAsia="MS Mincho" w:cs="Arial"/>
        </w:rPr>
      </w:r>
    </w:p>
    <w:p>
      <w:pPr>
        <w:pStyle w:val="Standard"/>
        <w:jc w:val="both"/>
        <w:rPr>
          <w:rFonts w:ascii="Aptos" w:hAnsi="Aptos" w:eastAsia="MS Mincho" w:cs="Arial" w:asciiTheme="minorHAnsi" w:hAnsiTheme="minorHAnsi"/>
        </w:rPr>
      </w:pPr>
      <w:r>
        <w:rPr>
          <w:rFonts w:eastAsia="MS Mincho" w:cs="Arial"/>
        </w:rPr>
        <w:t xml:space="preserve">          </w:t>
      </w:r>
    </w:p>
    <w:p>
      <w:pPr>
        <w:pStyle w:val="Standard"/>
        <w:numPr>
          <w:ilvl w:val="0"/>
          <w:numId w:val="4"/>
        </w:numPr>
        <w:jc w:val="both"/>
        <w:rPr>
          <w:rFonts w:ascii="Aptos" w:hAnsi="Aptos" w:eastAsia="MS Mincho" w:cs="Arial" w:asciiTheme="minorHAnsi" w:hAnsiTheme="minorHAnsi"/>
        </w:rPr>
      </w:pPr>
      <w:r>
        <w:rPr>
          <w:rFonts w:cs="Aptos"/>
          <w:b/>
          <w:bCs/>
          <w:sz w:val="28"/>
          <w:szCs w:val="28"/>
        </w:rPr>
        <w:t xml:space="preserve">Hypotheses </w:t>
      </w:r>
    </w:p>
    <w:p>
      <w:pPr>
        <w:pStyle w:val="Normal"/>
        <w:spacing w:lineRule="auto" w:line="276"/>
        <w:rPr>
          <w:rFonts w:ascii="Aptos" w:hAnsi="Aptos" w:eastAsia="" w:asciiTheme="minorHAnsi" w:eastAsiaTheme="minorEastAsia" w:hAnsiTheme="minorHAnsi"/>
        </w:rPr>
      </w:pPr>
      <w:r>
        <w:rPr>
          <w:rFonts w:eastAsia="" w:ascii="Aptos" w:hAnsi="Aptos" w:asciiTheme="minorHAnsi" w:eastAsiaTheme="minorEastAsia" w:hAnsiTheme="minorHAnsi"/>
        </w:rPr>
        <w:t xml:space="preserve">The first (baseline) aim of this project is to assess the publics relative preferences on Just Transition interventions appealing either to egotropic vs. sociotropic motivations. </w:t>
      </w:r>
    </w:p>
    <w:p>
      <w:pPr>
        <w:pStyle w:val="Normal"/>
        <w:spacing w:lineRule="auto" w:line="276"/>
        <w:rPr>
          <w:rFonts w:ascii="Aptos" w:hAnsi="Aptos" w:eastAsia="" w:asciiTheme="minorHAnsi" w:eastAsiaTheme="minorEastAsia" w:hAnsiTheme="minorHAnsi"/>
        </w:rPr>
      </w:pPr>
      <w:r>
        <w:rPr>
          <w:rFonts w:eastAsia="" w:ascii="Aptos" w:hAnsi="Aptos" w:asciiTheme="minorHAnsi" w:eastAsiaTheme="minorEastAsia" w:hAnsiTheme="minorHAnsi"/>
        </w:rPr>
        <w:t xml:space="preserve">Appeal to each of these cognitive inclinations will be assessed by testing individual preferences on trade-offs typically involved in various attributes conventionally featuring in Just Transition policies.       </w:t>
      </w:r>
    </w:p>
    <w:p>
      <w:pPr>
        <w:pStyle w:val="Normal"/>
        <w:spacing w:lineRule="auto" w:line="276"/>
        <w:rPr>
          <w:rFonts w:ascii="Aptos" w:hAnsi="Aptos" w:eastAsia="" w:asciiTheme="minorHAnsi" w:eastAsiaTheme="minorEastAsia" w:hAnsiTheme="minorHAnsi"/>
          <w:b/>
          <w:bCs/>
          <w:i/>
          <w:i/>
          <w:iCs/>
        </w:rPr>
      </w:pPr>
      <w:r>
        <w:rPr>
          <w:rFonts w:eastAsia="" w:ascii="Aptos" w:hAnsi="Aptos" w:asciiTheme="minorHAnsi" w:eastAsiaTheme="minorEastAsia" w:hAnsiTheme="minorHAnsi"/>
          <w:b/>
          <w:bCs/>
          <w:i/>
          <w:iCs/>
        </w:rPr>
        <w:t xml:space="preserve">RQ 1: Are just transition policy tools contributing to the individual realignment of CFA workers?  </w:t>
      </w:r>
    </w:p>
    <w:p>
      <w:pPr>
        <w:pStyle w:val="Normal"/>
        <w:numPr>
          <w:ilvl w:val="2"/>
          <w:numId w:val="4"/>
        </w:numPr>
        <w:spacing w:beforeAutospacing="1" w:afterAutospacing="1"/>
        <w:rPr>
          <w:rFonts w:ascii="Aptos" w:hAnsi="Aptos" w:asciiTheme="minorHAnsi" w:hAnsiTheme="minorHAnsi"/>
        </w:rPr>
      </w:pPr>
      <w:r>
        <w:rPr>
          <w:rFonts w:eastAsia="Aptos" w:cs="Aptos" w:ascii="Aptos" w:hAnsi="Aptos" w:asciiTheme="minorHAnsi" w:hAnsiTheme="minorHAnsi"/>
          <w:b/>
          <w:bCs/>
        </w:rPr>
        <w:t>Effect of policy design</w:t>
      </w:r>
    </w:p>
    <w:p>
      <w:pPr>
        <w:pStyle w:val="Normal"/>
        <w:spacing w:lineRule="auto" w:line="276"/>
        <w:rPr>
          <w:rFonts w:ascii="Aptos" w:hAnsi="Aptos" w:asciiTheme="minorHAnsi" w:hAnsiTheme="minorHAnsi"/>
        </w:rPr>
      </w:pPr>
      <w:r>
        <w:rPr>
          <w:rFonts w:eastAsia="" w:ascii="Aptos" w:hAnsi="Aptos" w:asciiTheme="minorHAnsi" w:eastAsiaTheme="minorEastAsia" w:hAnsiTheme="minorHAnsi"/>
        </w:rPr>
        <w:t xml:space="preserve">We first posit that:  </w:t>
      </w:r>
    </w:p>
    <w:p>
      <w:pPr>
        <w:pStyle w:val="NormalWeb"/>
        <w:numPr>
          <w:ilvl w:val="0"/>
          <w:numId w:val="14"/>
        </w:numPr>
        <w:spacing w:before="100" w:after="100"/>
        <w:rPr>
          <w:rFonts w:ascii="Aptos" w:hAnsi="Aptos" w:asciiTheme="minorHAnsi" w:hAnsiTheme="minorHAnsi"/>
        </w:rPr>
      </w:pPr>
      <w:r>
        <w:rPr>
          <w:rFonts w:eastAsia="" w:cs="" w:ascii="Aptos" w:hAnsi="Aptos" w:asciiTheme="minorHAnsi" w:cstheme="minorBidi" w:eastAsiaTheme="minorEastAsia" w:hAnsiTheme="minorHAnsi"/>
          <w:b/>
          <w:bCs/>
        </w:rPr>
        <w:t xml:space="preserve">H1. </w:t>
      </w:r>
      <w:r>
        <w:rPr>
          <w:rFonts w:ascii="Aptos" w:hAnsi="Aptos" w:asciiTheme="minorHAnsi" w:hAnsiTheme="minorHAnsi"/>
        </w:rPr>
        <w:t>When climate policies are coupled with Just Transition measures, support among exposed workers increases</w:t>
      </w:r>
      <w:r>
        <w:rPr>
          <w:rFonts w:eastAsia="" w:cs="" w:ascii="Aptos" w:hAnsi="Aptos" w:asciiTheme="minorHAnsi" w:cstheme="minorBidi" w:eastAsiaTheme="minorEastAsia" w:hAnsiTheme="minorHAnsi"/>
          <w:b/>
          <w:bCs/>
        </w:rPr>
        <w:t xml:space="preserve"> </w:t>
      </w:r>
      <w:r>
        <w:rPr>
          <w:rFonts w:eastAsia="" w:cs="" w:ascii="Aptos" w:hAnsi="Aptos" w:asciiTheme="minorHAnsi" w:cstheme="minorBidi" w:eastAsiaTheme="minorEastAsia" w:hAnsiTheme="minorHAnsi"/>
        </w:rPr>
        <w:t>(</w:t>
      </w:r>
      <w:r>
        <w:rPr>
          <w:rFonts w:eastAsia="" w:ascii="Aptos" w:hAnsi="Aptos" w:asciiTheme="minorHAnsi" w:eastAsiaTheme="minorEastAsia" w:hAnsiTheme="minorHAnsi"/>
          <w:i/>
          <w:iCs/>
        </w:rPr>
        <w:t xml:space="preserve">H0: </w:t>
      </w:r>
      <w:r>
        <w:rPr>
          <w:rFonts w:ascii="Aptos" w:hAnsi="Aptos" w:asciiTheme="minorHAnsi" w:hAnsiTheme="minorHAnsi"/>
          <w:i/>
          <w:iCs/>
        </w:rPr>
        <w:t>When climate policies are coupled with Just Transition measures, support among exposed workers does not increase.)</w:t>
      </w:r>
    </w:p>
    <w:p>
      <w:pPr>
        <w:pStyle w:val="Normal"/>
        <w:rPr>
          <w:rFonts w:ascii="Aptos" w:hAnsi="Aptos" w:eastAsia="DejaVu Sans" w:cs="DejaVu Sans" w:asciiTheme="minorHAnsi" w:hAnsiTheme="minorHAnsi"/>
        </w:rPr>
      </w:pPr>
      <w:r>
        <w:rPr>
          <w:rFonts w:eastAsia="DejaVu Sans" w:cs="DejaVu Sans" w:ascii="Aptos" w:hAnsi="Aptos" w:asciiTheme="minorHAnsi" w:hAnsiTheme="minorHAnsi"/>
        </w:rPr>
        <w:t>We further refine these expectations by considering the specific features of Just Transition interventions, drawing on the distinction between egotropic (workers-oriented) and sociotropic (community-oriented) motivations, as identified in recent literature.</w:t>
      </w:r>
    </w:p>
    <w:p>
      <w:pPr>
        <w:pStyle w:val="Normal"/>
        <w:numPr>
          <w:ilvl w:val="0"/>
          <w:numId w:val="7"/>
        </w:numPr>
        <w:spacing w:lineRule="auto" w:line="240" w:beforeAutospacing="1" w:after="0"/>
        <w:rPr/>
      </w:pPr>
      <w:r>
        <w:rPr>
          <w:rFonts w:ascii="Aptos" w:hAnsi="Aptos" w:asciiTheme="minorHAnsi" w:hAnsiTheme="minorHAnsi"/>
          <w:b/>
          <w:bCs/>
          <w:i/>
          <w:iCs/>
        </w:rPr>
        <w:t>H1a.</w:t>
      </w:r>
      <w:r>
        <w:rPr>
          <w:rFonts w:ascii="Aptos" w:hAnsi="Aptos" w:asciiTheme="minorHAnsi" w:hAnsiTheme="minorHAnsi"/>
          <w:i/>
          <w:iCs/>
        </w:rPr>
        <w:t xml:space="preserve"> </w:t>
      </w:r>
      <w:r>
        <w:rPr>
          <w:rStyle w:val="Emphasis"/>
          <w:rFonts w:eastAsia="" w:cs="Times New Roman" w:ascii="Aptos" w:hAnsi="Aptos" w:asciiTheme="minorHAnsi" w:eastAsiaTheme="majorEastAsia" w:hAnsiTheme="minorHAnsi"/>
          <w:color w:val="000000"/>
          <w:lang w:val="en-FR" w:eastAsia="en-GB"/>
        </w:rPr>
        <w:t>The more strongly Just Transition measures support workers, the more likely affected workers are to support transition policies.</w:t>
      </w:r>
    </w:p>
    <w:p>
      <w:pPr>
        <w:pStyle w:val="Normal"/>
        <w:numPr>
          <w:ilvl w:val="0"/>
          <w:numId w:val="7"/>
        </w:numPr>
        <w:spacing w:lineRule="auto" w:line="240" w:before="0" w:after="0"/>
        <w:rPr/>
      </w:pPr>
      <w:r>
        <w:rPr>
          <w:rStyle w:val="Strong"/>
          <w:rFonts w:eastAsia="" w:ascii="Aptos" w:hAnsi="Aptos" w:asciiTheme="minorHAnsi" w:eastAsiaTheme="majorEastAsia" w:hAnsiTheme="minorHAnsi"/>
          <w:i/>
          <w:iCs/>
        </w:rPr>
        <w:t xml:space="preserve">H1b. </w:t>
      </w:r>
      <w:r>
        <w:rPr>
          <w:rStyle w:val="Emphasis"/>
          <w:rFonts w:eastAsia="" w:cs="Times New Roman" w:ascii="Aptos" w:hAnsi="Aptos" w:asciiTheme="minorHAnsi" w:eastAsiaTheme="majorEastAsia" w:hAnsiTheme="minorHAnsi"/>
          <w:color w:val="000000"/>
          <w:lang w:val="en-FR" w:eastAsia="en-GB"/>
        </w:rPr>
        <w:t>The more strongly Just Transition measures support affected communities, the more likely affected workers are to support transition policies.</w:t>
      </w:r>
      <w:r>
        <w:rPr>
          <w:rStyle w:val="Emphasis"/>
          <w:rFonts w:eastAsia="" w:ascii="Aptos" w:hAnsi="Aptos" w:asciiTheme="minorHAnsi" w:hAnsiTheme="minorHAnsi"/>
          <w:i/>
          <w:iCs/>
          <w:color w:val="000000"/>
        </w:rPr>
        <w:t xml:space="preserve">                                          </w:t>
      </w:r>
    </w:p>
    <w:p>
      <w:pPr>
        <w:pStyle w:val="Normal"/>
        <w:numPr>
          <w:ilvl w:val="0"/>
          <w:numId w:val="7"/>
        </w:numPr>
        <w:spacing w:lineRule="auto" w:line="240" w:before="0" w:after="0"/>
        <w:rPr/>
      </w:pPr>
      <w:r>
        <w:rPr>
          <w:rStyle w:val="Emphasis"/>
          <w:rFonts w:eastAsia="" w:ascii="Aptos" w:hAnsi="Aptos" w:asciiTheme="minorHAnsi" w:eastAsiaTheme="majorEastAsia" w:hAnsiTheme="minorHAnsi"/>
          <w:b/>
          <w:bCs/>
          <w:i/>
          <w:iCs/>
          <w:color w:val="000000"/>
        </w:rPr>
        <w:t>H1c.</w:t>
      </w:r>
      <w:r>
        <w:rPr>
          <w:rStyle w:val="Emphasis"/>
          <w:rFonts w:eastAsia="" w:ascii="Aptos" w:hAnsi="Aptos" w:asciiTheme="minorHAnsi" w:eastAsiaTheme="majorEastAsia" w:hAnsiTheme="minorHAnsi"/>
          <w:b/>
          <w:bCs/>
          <w:i/>
          <w:iCs/>
          <w:color w:val="000000"/>
        </w:rPr>
        <w:t xml:space="preserve"> </w:t>
      </w:r>
      <w:r>
        <w:rPr>
          <w:rStyle w:val="Emphasis"/>
          <w:rFonts w:eastAsia="" w:cs="Times New Roman" w:ascii="Aptos" w:hAnsi="Aptos" w:asciiTheme="minorHAnsi" w:eastAsiaTheme="majorEastAsia" w:hAnsiTheme="minorHAnsi"/>
          <w:color w:val="000000"/>
          <w:lang w:val="en-FR" w:eastAsia="en-GB"/>
        </w:rPr>
        <w:t>The effect in H1b. is weaker than the effect in H1a.</w:t>
      </w:r>
    </w:p>
    <w:p>
      <w:pPr>
        <w:pStyle w:val="Normal"/>
        <w:numPr>
          <w:ilvl w:val="2"/>
          <w:numId w:val="4"/>
        </w:numPr>
        <w:spacing w:beforeAutospacing="1" w:afterAutospacing="1"/>
        <w:rPr>
          <w:rFonts w:ascii="Aptos" w:hAnsi="Aptos" w:asciiTheme="minorHAnsi" w:hAnsiTheme="minorHAnsi"/>
        </w:rPr>
      </w:pPr>
      <w:r>
        <w:rPr>
          <w:rFonts w:eastAsia="Aptos" w:cs="Aptos" w:ascii="Aptos" w:hAnsi="Aptos" w:asciiTheme="minorHAnsi" w:hAnsiTheme="minorHAnsi"/>
          <w:b/>
          <w:bCs/>
        </w:rPr>
        <w:t>Effect of union support</w:t>
      </w:r>
    </w:p>
    <w:p>
      <w:pPr>
        <w:pStyle w:val="Standard"/>
        <w:jc w:val="both"/>
        <w:rPr>
          <w:rFonts w:ascii="Aptos" w:hAnsi="Aptos" w:eastAsia="" w:cs="" w:asciiTheme="minorHAnsi" w:cstheme="minorBidi" w:eastAsiaTheme="minorEastAsia" w:hAnsiTheme="minorHAnsi"/>
        </w:rPr>
      </w:pPr>
      <w:r>
        <w:rPr>
          <w:rFonts w:eastAsia="" w:cs="" w:cstheme="minorBidi" w:eastAsiaTheme="minorEastAsia"/>
        </w:rPr>
        <w:t xml:space="preserve">The second, critical, aim of this project is to assess the role played by unions in mobilizing the sociotropic vs. egotropic inclinations of their members. </w:t>
      </w:r>
    </w:p>
    <w:p>
      <w:pPr>
        <w:pStyle w:val="Standard"/>
        <w:jc w:val="both"/>
        <w:rPr>
          <w:rFonts w:ascii="Aptos" w:hAnsi="Aptos" w:eastAsia="" w:cs="" w:asciiTheme="minorHAnsi" w:cstheme="minorBidi" w:eastAsiaTheme="minorEastAsia" w:hAnsiTheme="minorHAnsi"/>
        </w:rPr>
      </w:pPr>
      <w:r>
        <w:rPr>
          <w:rFonts w:eastAsia="" w:cs="" w:cstheme="minorBidi" w:eastAsiaTheme="minorEastAsia"/>
        </w:rPr>
        <w:t xml:space="preserve">Above, we theorised a number of mechanisms whereby which unions may affect individual inclinations in ways which could contribute to collective realignment towards CMOs (see section 3): When they act as a </w:t>
      </w:r>
      <w:r>
        <w:rPr>
          <w:rFonts w:eastAsia="" w:cs="" w:cstheme="minorBidi" w:eastAsiaTheme="minorEastAsia"/>
          <w:i/>
          <w:iCs/>
        </w:rPr>
        <w:t>responsible player</w:t>
      </w:r>
      <w:r>
        <w:rPr>
          <w:rFonts w:eastAsia="" w:cs="" w:cstheme="minorBidi" w:eastAsiaTheme="minorEastAsia"/>
        </w:rPr>
        <w:t xml:space="preserve">, we argued, unions can positively change perception of climate policy interventions. In the latter case, responsibility may take the form of an ‘insider-oriented’ or a ‘public-seeking logic’. </w:t>
      </w:r>
    </w:p>
    <w:p>
      <w:pPr>
        <w:pStyle w:val="Normal"/>
        <w:spacing w:beforeAutospacing="1" w:afterAutospacing="1"/>
        <w:rPr>
          <w:rFonts w:ascii="Aptos" w:hAnsi="Aptos" w:asciiTheme="minorHAnsi" w:hAnsiTheme="minorHAnsi"/>
          <w:color w:val="000000"/>
        </w:rPr>
      </w:pPr>
      <w:r>
        <w:rPr>
          <w:rFonts w:ascii="Aptos" w:hAnsi="Aptos" w:asciiTheme="minorHAnsi" w:hAnsiTheme="minorHAnsi"/>
          <w:color w:val="000000"/>
        </w:rPr>
        <w:t>As a baseline assumption, we posit that:</w:t>
      </w:r>
    </w:p>
    <w:p>
      <w:pPr>
        <w:pStyle w:val="Normal"/>
        <w:numPr>
          <w:ilvl w:val="0"/>
          <w:numId w:val="8"/>
        </w:numPr>
        <w:spacing w:beforeAutospacing="1" w:afterAutospacing="1"/>
        <w:rPr>
          <w:rFonts w:ascii="Aptos" w:hAnsi="Aptos" w:asciiTheme="minorHAnsi" w:hAnsiTheme="minorHAnsi"/>
          <w:color w:val="000000"/>
        </w:rPr>
      </w:pPr>
      <w:r>
        <w:rPr>
          <w:rStyle w:val="Strong"/>
          <w:rFonts w:eastAsia="" w:ascii="Aptos" w:hAnsi="Aptos" w:asciiTheme="minorHAnsi" w:eastAsiaTheme="majorEastAsia" w:hAnsiTheme="minorHAnsi"/>
          <w:color w:val="000000"/>
        </w:rPr>
        <w:t>H2.</w:t>
      </w:r>
      <w:r>
        <w:rPr>
          <w:rStyle w:val="apple-converted-space"/>
          <w:rFonts w:eastAsia="" w:ascii="Aptos" w:hAnsi="Aptos" w:asciiTheme="minorHAnsi" w:eastAsiaTheme="majorEastAsia" w:hAnsiTheme="minorHAnsi"/>
          <w:color w:val="000000"/>
        </w:rPr>
        <w:t> </w:t>
      </w:r>
      <w:r>
        <w:rPr>
          <w:rStyle w:val="Emphasis"/>
          <w:rFonts w:eastAsia="" w:ascii="Aptos" w:hAnsi="Aptos" w:asciiTheme="minorHAnsi" w:eastAsiaTheme="majorEastAsia" w:hAnsiTheme="minorHAnsi"/>
          <w:color w:val="000000"/>
        </w:rPr>
        <w:t>Endorsement of compensation policies by trade unions increases support for climate policy among workers in carbon-intensive sectors.</w:t>
      </w:r>
      <w:r>
        <w:rPr>
          <w:rFonts w:ascii="Aptos" w:hAnsi="Aptos" w:asciiTheme="minorHAnsi" w:hAnsiTheme="minorHAnsi"/>
          <w:color w:val="000000"/>
        </w:rPr>
        <w:br/>
      </w:r>
      <w:r>
        <w:rPr>
          <w:rStyle w:val="Emphasis"/>
          <w:rFonts w:eastAsia="" w:ascii="Aptos" w:hAnsi="Aptos" w:asciiTheme="minorHAnsi" w:eastAsiaTheme="majorEastAsia" w:hAnsiTheme="minorHAnsi"/>
          <w:color w:val="000000"/>
        </w:rPr>
        <w:t>(H0: Union endorsement has no effect on worker support for the policy.)</w:t>
      </w:r>
    </w:p>
    <w:p>
      <w:pPr>
        <w:pStyle w:val="Normal"/>
        <w:spacing w:beforeAutospacing="1" w:afterAutospacing="1"/>
        <w:rPr>
          <w:rFonts w:ascii="Aptos" w:hAnsi="Aptos" w:asciiTheme="minorHAnsi" w:hAnsiTheme="minorHAnsi"/>
          <w:color w:val="000000"/>
        </w:rPr>
      </w:pPr>
      <w:r>
        <w:rPr>
          <w:rFonts w:ascii="Aptos" w:hAnsi="Aptos" w:asciiTheme="minorHAnsi" w:hAnsiTheme="minorHAnsi"/>
          <w:color w:val="000000"/>
        </w:rPr>
        <w:t>We further refine this expectation by considering the</w:t>
      </w:r>
      <w:r>
        <w:rPr>
          <w:rStyle w:val="apple-converted-space"/>
          <w:rFonts w:eastAsia="" w:ascii="Aptos" w:hAnsi="Aptos" w:asciiTheme="minorHAnsi" w:eastAsiaTheme="majorEastAsia" w:hAnsiTheme="minorHAnsi"/>
          <w:color w:val="000000"/>
        </w:rPr>
        <w:t> </w:t>
      </w:r>
      <w:r>
        <w:rPr>
          <w:rStyle w:val="Strong"/>
          <w:rFonts w:eastAsia="" w:ascii="Aptos" w:hAnsi="Aptos" w:asciiTheme="minorHAnsi" w:eastAsiaTheme="majorEastAsia" w:hAnsiTheme="minorHAnsi"/>
          <w:b w:val="false"/>
          <w:bCs w:val="false"/>
          <w:color w:val="000000"/>
        </w:rPr>
        <w:t>nature of union support</w:t>
      </w:r>
      <w:r>
        <w:rPr>
          <w:rStyle w:val="apple-converted-space"/>
          <w:rFonts w:eastAsia="" w:ascii="Aptos" w:hAnsi="Aptos" w:asciiTheme="minorHAnsi" w:eastAsiaTheme="majorEastAsia" w:hAnsiTheme="minorHAnsi"/>
          <w:color w:val="000000"/>
        </w:rPr>
        <w:t> </w:t>
      </w:r>
      <w:r>
        <w:rPr>
          <w:rFonts w:ascii="Aptos" w:hAnsi="Aptos" w:asciiTheme="minorHAnsi" w:hAnsiTheme="minorHAnsi"/>
          <w:color w:val="000000"/>
        </w:rPr>
        <w:t>and its interaction with the</w:t>
      </w:r>
      <w:r>
        <w:rPr>
          <w:rStyle w:val="apple-converted-space"/>
          <w:rFonts w:eastAsia="" w:ascii="Aptos" w:hAnsi="Aptos" w:asciiTheme="minorHAnsi" w:eastAsiaTheme="majorEastAsia" w:hAnsiTheme="minorHAnsi"/>
          <w:color w:val="000000"/>
        </w:rPr>
        <w:t> </w:t>
      </w:r>
      <w:r>
        <w:rPr>
          <w:rStyle w:val="Strong"/>
          <w:rFonts w:eastAsia="" w:ascii="Aptos" w:hAnsi="Aptos" w:asciiTheme="minorHAnsi" w:eastAsiaTheme="majorEastAsia" w:hAnsiTheme="minorHAnsi"/>
          <w:b w:val="false"/>
          <w:bCs w:val="false"/>
          <w:color w:val="000000"/>
        </w:rPr>
        <w:t>policy’s substantive features</w:t>
      </w:r>
      <w:r>
        <w:rPr>
          <w:rFonts w:ascii="Aptos" w:hAnsi="Aptos" w:asciiTheme="minorHAnsi" w:hAnsiTheme="minorHAnsi"/>
          <w:color w:val="000000"/>
        </w:rPr>
        <w:t>:</w:t>
      </w:r>
    </w:p>
    <w:p>
      <w:pPr>
        <w:pStyle w:val="Normal"/>
        <w:numPr>
          <w:ilvl w:val="0"/>
          <w:numId w:val="9"/>
        </w:numPr>
        <w:spacing w:beforeAutospacing="1" w:after="0"/>
        <w:rPr/>
      </w:pPr>
      <w:r>
        <w:rPr>
          <w:rStyle w:val="Strong"/>
          <w:rFonts w:eastAsia="" w:ascii="Aptos" w:hAnsi="Aptos" w:asciiTheme="minorHAnsi" w:eastAsiaTheme="majorEastAsia" w:hAnsiTheme="minorHAnsi"/>
          <w:i/>
          <w:iCs/>
          <w:color w:val="000000"/>
        </w:rPr>
        <w:t xml:space="preserve">H2a. </w:t>
      </w:r>
      <w:r>
        <w:rPr>
          <w:rStyle w:val="Emphasis"/>
          <w:rFonts w:eastAsia="" w:ascii="Aptos" w:hAnsi="Aptos" w:asciiTheme="minorHAnsi" w:eastAsiaTheme="majorEastAsia" w:hAnsiTheme="minorHAnsi"/>
          <w:i/>
          <w:iCs/>
          <w:color w:val="000000"/>
        </w:rPr>
        <w:t>Union endorsement of workers-oriented measures increases policy support among CFA workers.</w:t>
      </w:r>
    </w:p>
    <w:p>
      <w:pPr>
        <w:pStyle w:val="Normal"/>
        <w:numPr>
          <w:ilvl w:val="0"/>
          <w:numId w:val="9"/>
        </w:numPr>
        <w:spacing w:before="0" w:after="0"/>
        <w:rPr/>
      </w:pPr>
      <w:r>
        <w:rPr>
          <w:rStyle w:val="Strong"/>
          <w:rFonts w:eastAsia="" w:ascii="Aptos" w:hAnsi="Aptos" w:asciiTheme="minorHAnsi" w:eastAsiaTheme="majorEastAsia" w:hAnsiTheme="minorHAnsi"/>
          <w:i/>
          <w:iCs/>
          <w:color w:val="000000"/>
        </w:rPr>
        <w:t xml:space="preserve">H2b. </w:t>
      </w:r>
      <w:r>
        <w:rPr>
          <w:rStyle w:val="Emphasis"/>
          <w:rFonts w:eastAsia="" w:ascii="Aptos" w:hAnsi="Aptos" w:asciiTheme="minorHAnsi" w:eastAsiaTheme="majorEastAsia" w:hAnsiTheme="minorHAnsi"/>
          <w:i/>
          <w:iCs/>
          <w:color w:val="000000"/>
        </w:rPr>
        <w:t>Union endorsements of community-oriented measures increases policy support among CFA workers.</w:t>
      </w:r>
    </w:p>
    <w:p>
      <w:pPr>
        <w:pStyle w:val="Normal"/>
        <w:numPr>
          <w:ilvl w:val="0"/>
          <w:numId w:val="9"/>
        </w:numPr>
        <w:spacing w:before="0" w:after="0"/>
        <w:rPr/>
      </w:pPr>
      <w:r>
        <w:rPr>
          <w:rStyle w:val="Emphasis"/>
          <w:rFonts w:eastAsia="" w:ascii="Aptos" w:hAnsi="Aptos" w:asciiTheme="minorHAnsi" w:eastAsiaTheme="majorEastAsia" w:hAnsiTheme="minorHAnsi"/>
          <w:b/>
          <w:bCs/>
          <w:i/>
          <w:iCs/>
          <w:color w:val="000000"/>
        </w:rPr>
        <w:t>H2</w:t>
      </w:r>
      <w:r>
        <w:rPr>
          <w:rStyle w:val="Emphasis"/>
          <w:rFonts w:eastAsia="" w:ascii="Aptos" w:hAnsi="Aptos" w:asciiTheme="minorHAnsi" w:eastAsiaTheme="majorEastAsia" w:hAnsiTheme="minorHAnsi"/>
          <w:b/>
          <w:bCs/>
          <w:i/>
          <w:iCs/>
          <w:color w:val="000000"/>
        </w:rPr>
        <w:t>c.</w:t>
      </w:r>
      <w:r>
        <w:rPr>
          <w:rStyle w:val="Emphasis"/>
          <w:rFonts w:eastAsia="" w:ascii="Aptos" w:hAnsi="Aptos" w:asciiTheme="minorHAnsi" w:eastAsiaTheme="majorEastAsia" w:hAnsiTheme="minorHAnsi"/>
          <w:b/>
          <w:bCs/>
          <w:i/>
          <w:iCs/>
          <w:color w:val="000000"/>
        </w:rPr>
        <w:t xml:space="preserve"> </w:t>
      </w:r>
      <w:r>
        <w:rPr>
          <w:rStyle w:val="Emphasis"/>
          <w:rFonts w:eastAsia="" w:cs="Times New Roman" w:ascii="Aptos" w:hAnsi="Aptos" w:asciiTheme="minorHAnsi" w:eastAsiaTheme="majorEastAsia" w:hAnsiTheme="minorHAnsi"/>
          <w:color w:val="000000"/>
          <w:lang w:val="en-FR" w:eastAsia="en-GB"/>
        </w:rPr>
        <w:t>The effect in H</w:t>
      </w:r>
      <w:r>
        <w:rPr>
          <w:rStyle w:val="Emphasis"/>
          <w:rFonts w:eastAsia="" w:cs="Times New Roman" w:ascii="Aptos" w:hAnsi="Aptos" w:asciiTheme="minorHAnsi" w:eastAsiaTheme="majorEastAsia" w:hAnsiTheme="minorHAnsi"/>
          <w:color w:val="000000"/>
          <w:lang w:val="en-FR" w:eastAsia="en-GB"/>
        </w:rPr>
        <w:t>2</w:t>
      </w:r>
      <w:r>
        <w:rPr>
          <w:rStyle w:val="Emphasis"/>
          <w:rFonts w:eastAsia="" w:cs="Times New Roman" w:ascii="Aptos" w:hAnsi="Aptos" w:asciiTheme="minorHAnsi" w:eastAsiaTheme="majorEastAsia" w:hAnsiTheme="minorHAnsi"/>
          <w:color w:val="000000"/>
          <w:lang w:val="en-FR" w:eastAsia="en-GB"/>
        </w:rPr>
        <w:t>b. is weaker than the effect in H</w:t>
      </w:r>
      <w:r>
        <w:rPr>
          <w:rStyle w:val="Emphasis"/>
          <w:rFonts w:eastAsia="" w:cs="Times New Roman" w:ascii="Aptos" w:hAnsi="Aptos" w:asciiTheme="minorHAnsi" w:eastAsiaTheme="majorEastAsia" w:hAnsiTheme="minorHAnsi"/>
          <w:color w:val="000000"/>
          <w:lang w:val="en-FR" w:eastAsia="en-GB"/>
        </w:rPr>
        <w:t>2</w:t>
      </w:r>
      <w:r>
        <w:rPr>
          <w:rStyle w:val="Emphasis"/>
          <w:rFonts w:eastAsia="" w:cs="Times New Roman" w:ascii="Aptos" w:hAnsi="Aptos" w:asciiTheme="minorHAnsi" w:eastAsiaTheme="majorEastAsia" w:hAnsiTheme="minorHAnsi"/>
          <w:color w:val="000000"/>
          <w:lang w:val="en-FR" w:eastAsia="en-GB"/>
        </w:rPr>
        <w:t>a</w:t>
      </w:r>
    </w:p>
    <w:p>
      <w:pPr>
        <w:pStyle w:val="Standard"/>
        <w:spacing w:before="0" w:after="0"/>
        <w:jc w:val="both"/>
        <w:rPr>
          <w:rFonts w:ascii="Aptos" w:hAnsi="Aptos" w:asciiTheme="minorHAnsi" w:hAnsiTheme="minorHAnsi"/>
        </w:rPr>
      </w:pPr>
      <w:r>
        <w:rPr>
          <w:rFonts w:asciiTheme="minorHAnsi" w:hAnsiTheme="minorHAnsi"/>
        </w:rPr>
      </w:r>
    </w:p>
    <w:p>
      <w:pPr>
        <w:pStyle w:val="ListParagraph"/>
        <w:numPr>
          <w:ilvl w:val="2"/>
          <w:numId w:val="4"/>
        </w:numPr>
        <w:rPr/>
      </w:pPr>
      <w:r>
        <w:rPr>
          <w:rFonts w:eastAsia="Aptos" w:cs="Aptos"/>
          <w:b/>
          <w:bCs/>
        </w:rPr>
        <w:t>Heterogeneous effect linked to workers’ status</w:t>
      </w:r>
    </w:p>
    <w:p>
      <w:pPr>
        <w:pStyle w:val="Normal"/>
        <w:rPr>
          <w:rFonts w:ascii="Aptos" w:hAnsi="Aptos" w:asciiTheme="minorHAnsi" w:hAnsiTheme="minorHAnsi"/>
          <w:color w:val="000000"/>
        </w:rPr>
      </w:pPr>
      <w:r>
        <w:rPr>
          <w:rFonts w:ascii="Aptos" w:hAnsi="Aptos" w:asciiTheme="minorHAnsi" w:hAnsiTheme="minorHAnsi"/>
          <w:color w:val="000000"/>
        </w:rPr>
        <w:t>Older workers, who face reduced reemployment prospects and are more vulnerable to job loss, may evaluate Just Transition interventions differently from younger cohorts. Accordingly, we posit that the effect of Just Transition policies may vary across different groups of CFA workers, particularly based on their</w:t>
      </w:r>
      <w:r>
        <w:rPr>
          <w:rStyle w:val="apple-converted-space"/>
          <w:rFonts w:eastAsia="" w:ascii="Aptos" w:hAnsi="Aptos" w:asciiTheme="minorHAnsi" w:eastAsiaTheme="majorEastAsia" w:hAnsiTheme="minorHAnsi"/>
          <w:color w:val="000000"/>
        </w:rPr>
        <w:t> </w:t>
      </w:r>
      <w:r>
        <w:rPr>
          <w:rStyle w:val="Strong"/>
          <w:rFonts w:eastAsia="" w:ascii="Aptos" w:hAnsi="Aptos" w:asciiTheme="minorHAnsi" w:eastAsiaTheme="majorEastAsia" w:hAnsiTheme="minorHAnsi"/>
          <w:b w:val="false"/>
          <w:bCs w:val="false"/>
          <w:color w:val="000000"/>
        </w:rPr>
        <w:t>proximity to labour market exit</w:t>
      </w:r>
      <w:r>
        <w:rPr>
          <w:rFonts w:ascii="Aptos" w:hAnsi="Aptos" w:asciiTheme="minorHAnsi" w:hAnsiTheme="minorHAnsi"/>
          <w:color w:val="000000"/>
        </w:rPr>
        <w:t xml:space="preserve">: </w:t>
      </w:r>
    </w:p>
    <w:p>
      <w:pPr>
        <w:pStyle w:val="Normal"/>
        <w:numPr>
          <w:ilvl w:val="0"/>
          <w:numId w:val="10"/>
        </w:numPr>
        <w:spacing w:beforeAutospacing="1" w:afterAutospacing="1"/>
        <w:rPr>
          <w:rFonts w:ascii="Aptos" w:hAnsi="Aptos" w:asciiTheme="minorHAnsi" w:hAnsiTheme="minorHAnsi"/>
          <w:color w:val="000000"/>
        </w:rPr>
      </w:pPr>
      <w:r>
        <w:rPr>
          <w:rStyle w:val="Strong"/>
          <w:rFonts w:eastAsia="" w:ascii="Aptos" w:hAnsi="Aptos" w:asciiTheme="minorHAnsi" w:eastAsiaTheme="majorEastAsia" w:hAnsiTheme="minorHAnsi"/>
          <w:color w:val="000000"/>
        </w:rPr>
        <w:t>H3.</w:t>
      </w:r>
      <w:r>
        <w:rPr>
          <w:rStyle w:val="apple-converted-space"/>
          <w:rFonts w:eastAsia="" w:ascii="Aptos" w:hAnsi="Aptos" w:asciiTheme="minorHAnsi" w:eastAsiaTheme="majorEastAsia" w:hAnsiTheme="minorHAnsi"/>
          <w:color w:val="000000"/>
        </w:rPr>
        <w:t> </w:t>
      </w:r>
      <w:r>
        <w:rPr>
          <w:rStyle w:val="Emphasis"/>
          <w:rFonts w:eastAsia="" w:ascii="Aptos" w:hAnsi="Aptos" w:asciiTheme="minorHAnsi" w:eastAsiaTheme="majorEastAsia" w:hAnsiTheme="minorHAnsi"/>
          <w:color w:val="000000"/>
        </w:rPr>
        <w:t>The effect of Just Transition policy features on support for climate transitions is stronger among older workers.</w:t>
      </w:r>
      <w:r>
        <w:rPr>
          <w:rFonts w:ascii="Aptos" w:hAnsi="Aptos" w:asciiTheme="minorHAnsi" w:hAnsiTheme="minorHAnsi"/>
          <w:color w:val="000000"/>
        </w:rPr>
        <w:br/>
      </w:r>
      <w:r>
        <w:rPr>
          <w:rStyle w:val="Emphasis"/>
          <w:rFonts w:eastAsia="" w:ascii="Aptos" w:hAnsi="Aptos" w:asciiTheme="minorHAnsi" w:eastAsiaTheme="majorEastAsia" w:hAnsiTheme="minorHAnsi"/>
          <w:color w:val="000000"/>
        </w:rPr>
        <w:t>(H0: The effect of policy features does not vary by age.)</w:t>
      </w:r>
    </w:p>
    <w:p>
      <w:pPr>
        <w:pStyle w:val="Normal"/>
        <w:spacing w:beforeAutospacing="1" w:afterAutospacing="1"/>
        <w:rPr>
          <w:rFonts w:ascii="Aptos" w:hAnsi="Aptos" w:asciiTheme="minorHAnsi" w:hAnsiTheme="minorHAnsi"/>
          <w:color w:val="000000"/>
        </w:rPr>
      </w:pPr>
      <w:r>
        <w:rPr>
          <w:rFonts w:ascii="Aptos" w:hAnsi="Aptos" w:asciiTheme="minorHAnsi" w:hAnsiTheme="minorHAnsi"/>
          <w:color w:val="000000"/>
        </w:rPr>
        <w:t>We further specify:</w:t>
      </w:r>
    </w:p>
    <w:p>
      <w:pPr>
        <w:pStyle w:val="Normal"/>
        <w:numPr>
          <w:ilvl w:val="0"/>
          <w:numId w:val="11"/>
        </w:numPr>
        <w:spacing w:beforeAutospacing="1" w:after="0"/>
        <w:rPr>
          <w:rFonts w:ascii="Aptos" w:hAnsi="Aptos" w:asciiTheme="minorHAnsi" w:hAnsiTheme="minorHAnsi"/>
          <w:color w:val="000000"/>
        </w:rPr>
      </w:pPr>
      <w:r>
        <w:rPr>
          <w:rStyle w:val="Strong"/>
          <w:rFonts w:eastAsia="" w:ascii="Aptos" w:hAnsi="Aptos" w:asciiTheme="minorHAnsi" w:eastAsiaTheme="majorEastAsia" w:hAnsiTheme="minorHAnsi"/>
          <w:color w:val="000000"/>
        </w:rPr>
        <w:t>H3a.</w:t>
      </w:r>
      <w:r>
        <w:rPr>
          <w:rStyle w:val="apple-converted-space"/>
          <w:rFonts w:eastAsia="" w:ascii="Aptos" w:hAnsi="Aptos" w:asciiTheme="minorHAnsi" w:eastAsiaTheme="majorEastAsia" w:hAnsiTheme="minorHAnsi"/>
          <w:color w:val="000000"/>
        </w:rPr>
        <w:t> </w:t>
      </w:r>
      <w:r>
        <w:rPr>
          <w:rStyle w:val="Emphasis"/>
          <w:rFonts w:eastAsia="" w:ascii="Aptos" w:hAnsi="Aptos" w:asciiTheme="minorHAnsi" w:eastAsiaTheme="majorEastAsia" w:hAnsiTheme="minorHAnsi"/>
          <w:color w:val="000000"/>
        </w:rPr>
        <w:t>Older workers show stronger support for workers-oriented measures (e.g. lump-sum payment, early retirement, job guarantees) compared to younger workers.</w:t>
      </w:r>
      <w:r>
        <w:rPr>
          <w:rFonts w:ascii="Aptos" w:hAnsi="Aptos" w:asciiTheme="minorHAnsi" w:hAnsiTheme="minorHAnsi"/>
          <w:color w:val="000000"/>
        </w:rPr>
        <w:br/>
      </w:r>
    </w:p>
    <w:p>
      <w:pPr>
        <w:pStyle w:val="Normal"/>
        <w:numPr>
          <w:ilvl w:val="0"/>
          <w:numId w:val="11"/>
        </w:numPr>
        <w:spacing w:before="0" w:afterAutospacing="1"/>
        <w:rPr>
          <w:rStyle w:val="Emphasis"/>
          <w:rFonts w:ascii="Aptos" w:hAnsi="Aptos" w:asciiTheme="minorHAnsi" w:hAnsiTheme="minorHAnsi"/>
          <w:i w:val="false"/>
          <w:i w:val="false"/>
          <w:iCs w:val="false"/>
          <w:color w:val="000000"/>
        </w:rPr>
      </w:pPr>
      <w:r>
        <w:rPr>
          <w:rStyle w:val="Strong"/>
          <w:rFonts w:eastAsia="" w:ascii="Aptos" w:hAnsi="Aptos" w:asciiTheme="minorHAnsi" w:eastAsiaTheme="majorEastAsia" w:hAnsiTheme="minorHAnsi"/>
          <w:color w:val="000000"/>
        </w:rPr>
        <w:t>H3b.</w:t>
      </w:r>
      <w:r>
        <w:rPr>
          <w:rStyle w:val="apple-converted-space"/>
          <w:rFonts w:eastAsia="" w:ascii="Aptos" w:hAnsi="Aptos" w:asciiTheme="minorHAnsi" w:eastAsiaTheme="majorEastAsia" w:hAnsiTheme="minorHAnsi"/>
          <w:color w:val="000000"/>
        </w:rPr>
        <w:t> </w:t>
      </w:r>
      <w:r>
        <w:rPr>
          <w:rStyle w:val="Emphasis"/>
          <w:rFonts w:eastAsia="" w:ascii="Aptos" w:hAnsi="Aptos" w:asciiTheme="minorHAnsi" w:eastAsiaTheme="majorEastAsia" w:hAnsiTheme="minorHAnsi"/>
          <w:color w:val="000000"/>
        </w:rPr>
        <w:t>In contrast, the effect of</w:t>
      </w:r>
      <w:r>
        <w:rPr>
          <w:rStyle w:val="apple-converted-space"/>
          <w:rFonts w:eastAsia="" w:ascii="Aptos" w:hAnsi="Aptos" w:asciiTheme="minorHAnsi" w:eastAsiaTheme="majorEastAsia" w:hAnsiTheme="minorHAnsi"/>
          <w:i/>
          <w:iCs/>
          <w:color w:val="000000"/>
        </w:rPr>
        <w:t> </w:t>
      </w:r>
      <w:r>
        <w:rPr>
          <w:rStyle w:val="Strong"/>
          <w:rFonts w:eastAsia="" w:ascii="Aptos" w:hAnsi="Aptos" w:asciiTheme="minorHAnsi" w:eastAsiaTheme="majorEastAsia" w:hAnsiTheme="minorHAnsi"/>
          <w:b w:val="false"/>
          <w:bCs w:val="false"/>
          <w:i/>
          <w:iCs/>
          <w:color w:val="000000"/>
        </w:rPr>
        <w:t xml:space="preserve">community-oriented </w:t>
      </w:r>
      <w:r>
        <w:rPr>
          <w:rStyle w:val="Emphasis"/>
          <w:rFonts w:eastAsia="" w:ascii="Aptos" w:hAnsi="Aptos" w:asciiTheme="minorHAnsi" w:eastAsiaTheme="majorEastAsia" w:hAnsiTheme="minorHAnsi"/>
          <w:color w:val="000000"/>
        </w:rPr>
        <w:t>measures (e.g. infrastructure or public service improvements) on support is weaker among older workers compared to younger workers.</w:t>
      </w:r>
    </w:p>
    <w:p>
      <w:pPr>
        <w:pStyle w:val="Normal"/>
        <w:spacing w:beforeAutospacing="1" w:afterAutospacing="1"/>
        <w:rPr>
          <w:rFonts w:ascii="Aptos" w:hAnsi="Aptos" w:asciiTheme="minorHAnsi" w:hAnsiTheme="minorHAnsi"/>
          <w:color w:val="000000"/>
        </w:rPr>
      </w:pPr>
      <w:r>
        <w:rPr>
          <w:rFonts w:ascii="Aptos" w:hAnsi="Aptos" w:asciiTheme="minorHAnsi" w:hAnsiTheme="minorHAnsi"/>
          <w:color w:val="000000"/>
        </w:rPr>
        <w:t>We finally posit that older workers, who may rely more heavily on trusted intermediaries when facing uncertainty, will are more responsive to union cues, particularly when those cues provide reassurance about compensation or job security. Accordingly, we expect</w:t>
      </w:r>
    </w:p>
    <w:p>
      <w:pPr>
        <w:pStyle w:val="Normal"/>
        <w:numPr>
          <w:ilvl w:val="0"/>
          <w:numId w:val="12"/>
        </w:numPr>
        <w:spacing w:beforeAutospacing="1" w:afterAutospacing="1"/>
        <w:rPr>
          <w:rFonts w:ascii="Aptos" w:hAnsi="Aptos" w:asciiTheme="minorHAnsi" w:hAnsiTheme="minorHAnsi"/>
          <w:color w:val="000000"/>
        </w:rPr>
      </w:pPr>
      <w:r>
        <w:rPr>
          <w:rStyle w:val="Strong"/>
          <w:rFonts w:eastAsia="" w:ascii="Aptos" w:hAnsi="Aptos" w:asciiTheme="minorHAnsi" w:eastAsiaTheme="majorEastAsia" w:hAnsiTheme="minorHAnsi"/>
          <w:color w:val="000000"/>
        </w:rPr>
        <w:t>H4.</w:t>
      </w:r>
      <w:r>
        <w:rPr>
          <w:rStyle w:val="apple-converted-space"/>
          <w:rFonts w:eastAsia="" w:ascii="Aptos" w:hAnsi="Aptos" w:asciiTheme="minorHAnsi" w:eastAsiaTheme="majorEastAsia" w:hAnsiTheme="minorHAnsi"/>
          <w:color w:val="000000"/>
        </w:rPr>
        <w:t> </w:t>
      </w:r>
      <w:r>
        <w:rPr>
          <w:rStyle w:val="Emphasis"/>
          <w:rFonts w:eastAsia="" w:ascii="Aptos" w:hAnsi="Aptos" w:asciiTheme="minorHAnsi" w:eastAsiaTheme="majorEastAsia" w:hAnsiTheme="minorHAnsi"/>
          <w:color w:val="000000"/>
        </w:rPr>
        <w:t>The effect of union endorsement on support for Just Transition policies is stronger among older workers.</w:t>
      </w:r>
      <w:r>
        <w:rPr>
          <w:rFonts w:ascii="Aptos" w:hAnsi="Aptos" w:asciiTheme="minorHAnsi" w:hAnsiTheme="minorHAnsi"/>
          <w:color w:val="000000"/>
        </w:rPr>
        <w:br/>
      </w:r>
      <w:r>
        <w:rPr>
          <w:rStyle w:val="Emphasis"/>
          <w:rFonts w:eastAsia="" w:ascii="Aptos" w:hAnsi="Aptos" w:asciiTheme="minorHAnsi" w:eastAsiaTheme="majorEastAsia" w:hAnsiTheme="minorHAnsi"/>
          <w:color w:val="000000"/>
        </w:rPr>
        <w:t>(H0: The effect of union endorsement does not vary by age.)</w:t>
      </w:r>
    </w:p>
    <w:p>
      <w:pPr>
        <w:pStyle w:val="ListParagraph"/>
        <w:numPr>
          <w:ilvl w:val="0"/>
          <w:numId w:val="4"/>
        </w:numPr>
        <w:rPr>
          <w:b/>
          <w:bCs/>
          <w:sz w:val="28"/>
          <w:szCs w:val="28"/>
        </w:rPr>
      </w:pPr>
      <w:r>
        <w:rPr>
          <w:rFonts w:cs="Aptos"/>
          <w:b/>
          <w:bCs/>
          <w:sz w:val="28"/>
          <w:szCs w:val="28"/>
        </w:rPr>
        <w:t xml:space="preserve">Empirical Strategy: A </w:t>
      </w:r>
      <w:r>
        <w:rPr>
          <w:rFonts w:eastAsia="MS Mincho" w:cs="Arial"/>
          <w:b/>
          <w:bCs/>
          <w:sz w:val="28"/>
          <w:szCs w:val="28"/>
        </w:rPr>
        <w:t>survey experiment assessing the ‘trade union effect’ in climate policy realignment of CFA</w:t>
      </w:r>
    </w:p>
    <w:p>
      <w:pPr>
        <w:pStyle w:val="Normal"/>
        <w:spacing w:lineRule="auto" w:line="276"/>
        <w:rPr>
          <w:rFonts w:ascii="Aptos" w:hAnsi="Aptos" w:eastAsia="" w:asciiTheme="minorHAnsi" w:eastAsiaTheme="minorEastAsia" w:hAnsiTheme="minorHAnsi"/>
          <w:b/>
          <w:bCs/>
        </w:rPr>
      </w:pPr>
      <w:r>
        <w:rPr>
          <w:rFonts w:eastAsia="" w:eastAsiaTheme="minorEastAsia" w:ascii="Aptos" w:hAnsi="Aptos"/>
          <w:b/>
          <w:bCs/>
        </w:rPr>
      </w:r>
    </w:p>
    <w:p>
      <w:pPr>
        <w:pStyle w:val="ListParagraph"/>
        <w:numPr>
          <w:ilvl w:val="1"/>
          <w:numId w:val="4"/>
        </w:numPr>
        <w:rPr>
          <w:b/>
          <w:bCs/>
        </w:rPr>
      </w:pPr>
      <w:r>
        <w:rPr>
          <w:rFonts w:cs="Aptos"/>
          <w:b/>
          <w:bCs/>
        </w:rPr>
        <w:t>Project focus</w:t>
      </w:r>
    </w:p>
    <w:p>
      <w:pPr>
        <w:pStyle w:val="Normal"/>
        <w:spacing w:lineRule="auto" w:line="276"/>
        <w:rPr>
          <w:rFonts w:ascii="Aptos" w:hAnsi="Aptos" w:asciiTheme="minorHAnsi" w:hAnsiTheme="minorHAnsi"/>
        </w:rPr>
      </w:pPr>
      <w:r>
        <w:rPr>
          <w:rFonts w:eastAsia="MS Mincho" w:cs="Arial" w:ascii="Aptos" w:hAnsi="Aptos" w:asciiTheme="minorHAnsi" w:hAnsiTheme="minorHAnsi"/>
        </w:rPr>
        <w:t>To assess the validity of our claims, we field a survey experiment</w:t>
      </w:r>
      <w:r>
        <w:rPr>
          <w:rFonts w:ascii="Aptos" w:hAnsi="Aptos" w:asciiTheme="minorHAnsi" w:hAnsiTheme="minorHAnsi"/>
        </w:rPr>
        <w:t xml:space="preserve"> </w:t>
      </w:r>
      <w:r>
        <w:rPr>
          <w:rFonts w:eastAsia="MS Mincho" w:cs="Arial" w:ascii="Aptos" w:hAnsi="Aptos" w:asciiTheme="minorHAnsi" w:hAnsiTheme="minorHAnsi"/>
        </w:rPr>
        <w:t xml:space="preserve">which would foresee a substantive decarbonization.  </w:t>
      </w:r>
      <w:r>
        <w:rPr>
          <w:rFonts w:eastAsia="" w:cs="" w:ascii="Aptos" w:hAnsi="Aptos" w:asciiTheme="minorHAnsi" w:cstheme="minorBidi" w:eastAsiaTheme="minorEastAsia" w:hAnsiTheme="minorHAnsi"/>
        </w:rPr>
        <w:t xml:space="preserve">For that, we focus on sectors likely to be significantly affected by decarbonization efforts: manufacturing, heavy industry (including chemicals and materials), the automobile, and the aviation sector. </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jc w:val="both"/>
        <w:rPr>
          <w:rFonts w:ascii="Aptos" w:hAnsi="Aptos" w:eastAsia="MS Mincho" w:cs="Arial" w:asciiTheme="minorHAnsi" w:hAnsiTheme="minorHAnsi"/>
        </w:rPr>
      </w:pPr>
      <w:r>
        <w:rPr>
          <w:rFonts w:eastAsia="MS Mincho" w:cs="Arial"/>
        </w:rPr>
        <w:t xml:space="preserve">Specifically, we envisage the hypothetical case of a major restructuring of national companies that would seek to reduce the company’s carbon footprint in ways that would asymmetrically impact local environments heavily relying on a CFA industry. </w:t>
      </w:r>
    </w:p>
    <w:p>
      <w:pPr>
        <w:pStyle w:val="Standard"/>
        <w:spacing w:before="0" w:after="0"/>
        <w:jc w:val="both"/>
        <w:rPr>
          <w:rFonts w:ascii="Aptos" w:hAnsi="Aptos" w:eastAsia="MS Mincho" w:cs="Arial" w:asciiTheme="minorHAnsi" w:hAnsiTheme="minorHAnsi"/>
        </w:rPr>
      </w:pPr>
      <w:r>
        <w:rPr>
          <w:rFonts w:eastAsia="MS Mincho" w:cs="Arial"/>
        </w:rPr>
      </w:r>
    </w:p>
    <w:p>
      <w:pPr>
        <w:pStyle w:val="ListParagraph"/>
        <w:numPr>
          <w:ilvl w:val="1"/>
          <w:numId w:val="4"/>
        </w:numPr>
        <w:rPr/>
      </w:pPr>
      <w:r>
        <w:rPr>
          <w:rFonts w:eastAsia="Aptos" w:cs="Aptos"/>
          <w:b/>
          <w:bCs/>
        </w:rPr>
        <w:t>Population, sampling strategy and case selection</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t xml:space="preserve">The role of unions in shaping preferences for just transition policies depends on (a) the </w:t>
      </w:r>
      <w:r>
        <w:rPr>
          <w:rFonts w:eastAsia="" w:cs="" w:cstheme="minorBidi" w:eastAsiaTheme="minorEastAsia"/>
          <w:i/>
          <w:iCs/>
        </w:rPr>
        <w:t>strength</w:t>
      </w:r>
      <w:r>
        <w:rPr>
          <w:rFonts w:eastAsia="" w:cs="" w:cstheme="minorBidi" w:eastAsiaTheme="minorEastAsia"/>
        </w:rPr>
        <w:t xml:space="preserve"> of unions within specific sectors (as measured by the </w:t>
      </w:r>
      <w:r>
        <w:rPr>
          <w:rFonts w:eastAsia="" w:cs="" w:cstheme="minorBidi" w:eastAsiaTheme="minorEastAsia"/>
          <w:highlight w:val="cyan"/>
        </w:rPr>
        <w:t>collective bargaining coverage</w:t>
      </w:r>
      <w:r>
        <w:rPr>
          <w:rFonts w:eastAsia="" w:cs="" w:cstheme="minorBidi" w:eastAsiaTheme="minorEastAsia"/>
        </w:rPr>
        <w:t xml:space="preserve">), (b) the extent of their </w:t>
      </w:r>
      <w:r>
        <w:rPr>
          <w:rFonts w:eastAsia="" w:cs="" w:cstheme="minorBidi" w:eastAsiaTheme="minorEastAsia"/>
          <w:i/>
          <w:iCs/>
        </w:rPr>
        <w:t xml:space="preserve">institutional </w:t>
      </w:r>
      <w:r>
        <w:rPr>
          <w:rFonts w:eastAsia="" w:cs="" w:cstheme="minorBidi" w:eastAsiaTheme="minorEastAsia"/>
        </w:rPr>
        <w:t>embeddedness (</w:t>
      </w:r>
      <w:r>
        <w:rPr>
          <w:rFonts w:eastAsia="" w:cs="" w:cstheme="minorBidi" w:eastAsiaTheme="minorEastAsia"/>
          <w:highlight w:val="cyan"/>
        </w:rPr>
        <w:t>that is their influence on policymaking),</w:t>
      </w:r>
      <w:r>
        <w:rPr>
          <w:rFonts w:eastAsia="" w:cs="" w:cstheme="minorBidi" w:eastAsiaTheme="minorEastAsia"/>
        </w:rPr>
        <w:t xml:space="preserve"> and (c) the characteristics of the targeted population. </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t xml:space="preserve">To investigate these dimensions, we accordingly adapt our study population and sectoral focus accordingly. We conduct a comparative study of two countries—France and Germany—where unions play distinct roles in the bargaining process. </w:t>
      </w:r>
    </w:p>
    <w:p>
      <w:pPr>
        <w:pStyle w:val="Standard"/>
        <w:spacing w:before="0" w:after="0"/>
        <w:jc w:val="both"/>
        <w:rPr>
          <w:rFonts w:ascii="Aptos" w:hAnsi="Aptos" w:eastAsia="MS Mincho" w:cs="Arial" w:asciiTheme="minorHAnsi" w:hAnsiTheme="minorHAnsi"/>
        </w:rPr>
      </w:pPr>
      <w:r>
        <w:rPr>
          <w:rFonts w:eastAsia="MS Mincho" w:cs="Arial"/>
        </w:rPr>
      </w:r>
    </w:p>
    <w:p>
      <w:pPr>
        <w:pStyle w:val="Standard"/>
        <w:numPr>
          <w:ilvl w:val="1"/>
          <w:numId w:val="4"/>
        </w:numPr>
        <w:spacing w:before="0" w:after="0"/>
        <w:jc w:val="both"/>
        <w:rPr>
          <w:rFonts w:ascii="Aptos" w:hAnsi="Aptos" w:asciiTheme="minorHAnsi" w:hAnsiTheme="minorHAnsi"/>
          <w:b/>
          <w:bCs/>
        </w:rPr>
      </w:pPr>
      <w:r>
        <w:rPr>
          <w:rFonts w:asciiTheme="minorHAnsi" w:hAnsiTheme="minorHAnsi"/>
          <w:b/>
          <w:bCs/>
        </w:rPr>
        <w:t>Administration of the survey</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jc w:val="both"/>
        <w:rPr>
          <w:rFonts w:ascii="Aptos" w:hAnsi="Aptos" w:asciiTheme="minorHAnsi" w:hAnsiTheme="minorHAnsi"/>
        </w:rPr>
      </w:pPr>
      <w:r>
        <w:rPr>
          <w:rFonts w:eastAsia="" w:cs="" w:cstheme="minorBidi" w:eastAsiaTheme="minorEastAsia"/>
        </w:rPr>
        <w:t>The survey will be administered online via the Qualtrics platform and distributed through unions representing workers in the targeted sectors. Where possible, we will also collaborate with the HR departments of major companies to disseminate the survey.</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jc w:val="both"/>
        <w:rPr>
          <w:rFonts w:ascii="Aptos" w:hAnsi="Aptos" w:asciiTheme="minorHAnsi" w:hAnsiTheme="minorHAnsi"/>
        </w:rPr>
      </w:pPr>
      <w:r>
        <w:rPr>
          <w:rFonts w:eastAsia="" w:cs="" w:cstheme="minorBidi" w:eastAsiaTheme="minorEastAsia"/>
        </w:rPr>
        <w:t>To encourage participation, the survey will include an incentive: respondents will be entered into a lottery to win a €100 voucher. This strategy enables us to reach a sample of engaged workers—those most likely to be early movers and potentially among those bearing the greatest costs in resisting decarbonization policies.</w:t>
      </w:r>
    </w:p>
    <w:p>
      <w:pPr>
        <w:pStyle w:val="Standard"/>
        <w:spacing w:before="0" w:after="0"/>
        <w:jc w:val="both"/>
        <w:rPr>
          <w:rFonts w:ascii="Aptos" w:hAnsi="Aptos" w:asciiTheme="minorHAnsi" w:hAnsiTheme="minorHAnsi"/>
        </w:rPr>
      </w:pPr>
      <w:r>
        <w:rPr>
          <w:rFonts w:asciiTheme="minorHAnsi" w:hAnsiTheme="minorHAnsi"/>
        </w:rPr>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t xml:space="preserve">We aim to recruit a sample of </w:t>
      </w:r>
      <w:r>
        <w:rPr>
          <w:rFonts w:eastAsia="" w:cs="" w:cstheme="minorBidi" w:eastAsiaTheme="minorEastAsia"/>
          <w:highlight w:val="yellow"/>
        </w:rPr>
        <w:t>1,500 workers</w:t>
      </w:r>
      <w:r>
        <w:rPr>
          <w:rFonts w:eastAsia="" w:cs="" w:cstheme="minorBidi" w:eastAsiaTheme="minorEastAsia"/>
        </w:rPr>
        <w:t xml:space="preserve"> from industries likely to be impacted by the energy transition.</w:t>
      </w:r>
    </w:p>
    <w:p>
      <w:pPr>
        <w:pStyle w:val="Standard"/>
        <w:spacing w:before="0" w:after="0"/>
        <w:rPr>
          <w:rFonts w:ascii="Aptos" w:hAnsi="Aptos" w:eastAsia="Aptos" w:cs="Aptos" w:asciiTheme="minorHAnsi" w:hAnsiTheme="minorHAnsi"/>
          <w:b/>
          <w:bCs/>
        </w:rPr>
      </w:pPr>
      <w:r>
        <w:rPr>
          <w:rFonts w:eastAsia="Aptos" w:cs="Aptos"/>
          <w:b/>
          <w:bCs/>
        </w:rPr>
      </w:r>
    </w:p>
    <w:p>
      <w:pPr>
        <w:pStyle w:val="Standard"/>
        <w:numPr>
          <w:ilvl w:val="0"/>
          <w:numId w:val="4"/>
        </w:numPr>
        <w:spacing w:before="0" w:after="0"/>
        <w:rPr>
          <w:rFonts w:ascii="Aptos" w:hAnsi="Aptos" w:eastAsia="Aptos" w:cs="Aptos" w:asciiTheme="minorHAnsi" w:hAnsiTheme="minorHAnsi"/>
          <w:b/>
          <w:bCs/>
          <w:sz w:val="28"/>
          <w:szCs w:val="28"/>
        </w:rPr>
      </w:pPr>
      <w:r>
        <w:rPr>
          <w:rFonts w:eastAsia="Aptos" w:cs="Aptos"/>
          <w:b/>
          <w:bCs/>
          <w:sz w:val="28"/>
          <w:szCs w:val="28"/>
        </w:rPr>
        <w:t>Operationalisation</w:t>
      </w:r>
    </w:p>
    <w:p>
      <w:pPr>
        <w:pStyle w:val="ListParagraph"/>
        <w:numPr>
          <w:ilvl w:val="1"/>
          <w:numId w:val="4"/>
        </w:numPr>
        <w:rPr/>
      </w:pPr>
      <w:r>
        <w:rPr>
          <w:rFonts w:eastAsia="Aptos" w:cs="Aptos"/>
          <w:b/>
          <w:bCs/>
        </w:rPr>
        <w:t>The conjoint experiment</w:t>
      </w:r>
    </w:p>
    <w:p>
      <w:pPr>
        <w:pStyle w:val="Standard"/>
        <w:widowControl/>
        <w:suppressAutoHyphens w:val="false"/>
        <w:bidi w:val="0"/>
        <w:spacing w:before="0" w:after="0"/>
        <w:jc w:val="both"/>
        <w:rPr/>
      </w:pPr>
      <w:r>
        <w:rPr>
          <w:rFonts w:eastAsia="" w:cs="" w:cstheme="minorBidi" w:eastAsiaTheme="minorEastAsia"/>
        </w:rPr>
        <w:t xml:space="preserve">Broadly speaking our research is concerned with the following question: Under which conditions are workers willing to accept a major personal loss (in the form of current job security) in exchange for a broader collective goal (climate policy)? In this conjoint experiment, we aim to assess which policy features of a just transition deal would lead workers in carbon-emitting industries to </w:t>
      </w:r>
      <w:r>
        <w:rPr>
          <w:rStyle w:val="Strong"/>
          <w:rFonts w:eastAsia="" w:cs="" w:cstheme="minorBidi" w:eastAsiaTheme="minorEastAsia"/>
        </w:rPr>
        <w:t>consent to a climate policy package</w:t>
      </w:r>
      <w:r>
        <w:rPr>
          <w:rFonts w:eastAsia="" w:cs="" w:cstheme="minorBidi" w:eastAsiaTheme="minorEastAsia"/>
        </w:rPr>
        <w:t xml:space="preserve">, even at the cost of a likely negative impact on their current employment status. </w:t>
      </w:r>
    </w:p>
    <w:p>
      <w:pPr>
        <w:pStyle w:val="Normal"/>
        <w:rPr>
          <w:rFonts w:ascii="Aptos" w:hAnsi="Aptos" w:asciiTheme="minorHAnsi" w:hAnsiTheme="minorHAnsi"/>
          <w:b/>
          <w:bCs/>
        </w:rPr>
      </w:pPr>
      <w:r>
        <w:rPr>
          <w:rFonts w:ascii="Aptos" w:hAnsi="Aptos" w:asciiTheme="minorHAnsi" w:hAnsiTheme="minorHAnsi"/>
          <w:b/>
          <w:bCs/>
        </w:rPr>
        <w:t xml:space="preserve"> </w:t>
      </w:r>
    </w:p>
    <w:p>
      <w:pPr>
        <w:pStyle w:val="ListParagraph"/>
        <w:numPr>
          <w:ilvl w:val="2"/>
          <w:numId w:val="4"/>
        </w:numPr>
        <w:rPr>
          <w:b/>
          <w:bCs/>
        </w:rPr>
      </w:pPr>
      <w:r>
        <w:rPr>
          <w:b/>
          <w:bCs/>
        </w:rPr>
        <w:t>Approach</w:t>
      </w:r>
    </w:p>
    <w:p>
      <w:pPr>
        <w:pStyle w:val="Standard"/>
        <w:widowControl/>
        <w:suppressAutoHyphens w:val="false"/>
        <w:bidi w:val="0"/>
        <w:spacing w:before="0" w:after="0"/>
        <w:jc w:val="both"/>
        <w:rPr/>
      </w:pPr>
      <w:r>
        <w:rPr>
          <w:rFonts w:eastAsia="" w:cs="" w:cstheme="minorBidi" w:eastAsiaTheme="minorEastAsia"/>
        </w:rPr>
        <w:t xml:space="preserve">Respondents are presented with </w:t>
      </w:r>
      <w:r>
        <w:rPr>
          <w:rFonts w:eastAsia="" w:cs="" w:cstheme="minorBidi" w:eastAsiaTheme="minorEastAsia"/>
          <w:b/>
          <w:bCs/>
        </w:rPr>
        <w:t xml:space="preserve">4 </w:t>
      </w:r>
      <w:r>
        <w:rPr>
          <w:rStyle w:val="Strong"/>
          <w:rFonts w:eastAsia="" w:cs="" w:cstheme="minorBidi" w:eastAsiaTheme="minorEastAsia"/>
        </w:rPr>
        <w:t>pairs of hypothetical policy packages</w:t>
      </w:r>
      <w:r>
        <w:rPr>
          <w:rFonts w:eastAsia="" w:cs="" w:cstheme="minorBidi" w:eastAsiaTheme="minorEastAsia"/>
        </w:rPr>
        <w:t xml:space="preserve"> (conjoint profiles) and asked to evaluate them. </w:t>
      </w:r>
    </w:p>
    <w:p>
      <w:pPr>
        <w:pStyle w:val="Normal"/>
        <w:rPr>
          <w:rFonts w:ascii="Aptos" w:hAnsi="Aptos" w:asciiTheme="minorHAnsi" w:hAnsiTheme="minorHAnsi"/>
          <w:b/>
          <w:bCs/>
        </w:rPr>
      </w:pPr>
      <w:r>
        <w:rPr>
          <w:rFonts w:asciiTheme="minorHAnsi" w:hAnsiTheme="minorHAnsi" w:ascii="Aptos" w:hAnsi="Aptos"/>
          <w:b/>
          <w:bCs/>
        </w:rPr>
      </w:r>
    </w:p>
    <w:p>
      <w:pPr>
        <w:pStyle w:val="ListParagraph"/>
        <w:numPr>
          <w:ilvl w:val="2"/>
          <w:numId w:val="4"/>
        </w:numPr>
        <w:rPr>
          <w:b/>
          <w:bCs/>
        </w:rPr>
      </w:pPr>
      <w:r>
        <w:rPr>
          <w:b/>
          <w:bCs/>
        </w:rPr>
        <w:t xml:space="preserve">Prompt </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b/>
          <w:bCs/>
        </w:rPr>
      </w:pPr>
      <w:r>
        <w:rPr>
          <w:rFonts w:eastAsia="" w:cs="" w:ascii="Aptos" w:hAnsi="Aptos" w:asciiTheme="minorHAnsi" w:cstheme="minorBidi" w:eastAsiaTheme="minorEastAsia" w:hAnsiTheme="minorHAnsi"/>
          <w:b/>
          <w:bCs/>
          <w:lang w:eastAsia="ja-JP"/>
        </w:rPr>
        <w:t>Prompt 1 - Conjoint</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rPr>
      </w:pPr>
      <w:r>
        <w:rPr>
          <w:rFonts w:ascii="Aptos" w:hAnsi="Aptos" w:asciiTheme="minorHAnsi" w:hAnsiTheme="minorHAnsi"/>
        </w:rPr>
        <w:t>To address global warming, the government has adopted a five-year plan to reduce emissions in high-polluting sectors by phasing out fossil fuels.</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rPr>
      </w:pPr>
      <w:r>
        <w:rPr>
          <w:rFonts w:asciiTheme="minorHAnsi" w:hAnsiTheme="minorHAnsi" w:ascii="Aptos" w:hAnsi="Aptos"/>
        </w:rPr>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rPr>
      </w:pPr>
      <w:r>
        <w:rPr>
          <w:rFonts w:ascii="Aptos" w:hAnsi="Aptos" w:asciiTheme="minorHAnsi" w:hAnsiTheme="minorHAnsi"/>
        </w:rPr>
        <w:t xml:space="preserve">As part of this national effort, your region </w:t>
      </w:r>
      <w:r>
        <w:rPr>
          <w:rFonts w:ascii="Aptos" w:hAnsi="Aptos" w:asciiTheme="minorHAnsi" w:hAnsiTheme="minorHAnsi"/>
          <w:strike/>
        </w:rPr>
        <w:t xml:space="preserve">(long reliant on coal and heavy industry) </w:t>
      </w:r>
      <w:r>
        <w:rPr>
          <w:rFonts w:ascii="Aptos" w:hAnsi="Aptos" w:asciiTheme="minorHAnsi" w:hAnsiTheme="minorHAnsi"/>
        </w:rPr>
        <w:t xml:space="preserve">has been selected for early implementation of this plan. Your company </w:t>
      </w:r>
      <w:r>
        <w:rPr>
          <w:rFonts w:ascii="Aptos" w:hAnsi="Aptos" w:asciiTheme="minorHAnsi" w:hAnsiTheme="minorHAnsi"/>
        </w:rPr>
        <w:t>is directly affected</w:t>
      </w:r>
      <w:r>
        <w:rPr>
          <w:rFonts w:ascii="Aptos" w:hAnsi="Aptos" w:asciiTheme="minorHAnsi" w:hAnsiTheme="minorHAnsi"/>
        </w:rPr>
        <w:t xml:space="preserve">, </w:t>
      </w:r>
      <w:r>
        <w:rPr>
          <w:rFonts w:ascii="Aptos" w:hAnsi="Aptos" w:asciiTheme="minorHAnsi" w:hAnsiTheme="minorHAnsi"/>
          <w:strike/>
        </w:rPr>
        <w:t>a large employer in the area,</w:t>
      </w:r>
      <w:r>
        <w:rPr>
          <w:rFonts w:ascii="Aptos" w:hAnsi="Aptos" w:asciiTheme="minorHAnsi" w:hAnsiTheme="minorHAnsi"/>
        </w:rPr>
        <w:t xml:space="preserve"> </w:t>
      </w:r>
      <w:r>
        <w:rPr>
          <w:rFonts w:ascii="Aptos" w:hAnsi="Aptos" w:asciiTheme="minorHAnsi" w:hAnsiTheme="minorHAnsi"/>
        </w:rPr>
        <w:t xml:space="preserve">and </w:t>
      </w:r>
      <w:r>
        <w:rPr>
          <w:rFonts w:ascii="Aptos" w:hAnsi="Aptos" w:asciiTheme="minorHAnsi" w:hAnsiTheme="minorHAnsi"/>
        </w:rPr>
        <w:t xml:space="preserve">expects to reduce its workforce by 30% over the </w:t>
      </w:r>
      <w:r>
        <w:rPr>
          <w:rFonts w:ascii="Aptos" w:hAnsi="Aptos" w:asciiTheme="minorHAnsi" w:hAnsiTheme="minorHAnsi"/>
        </w:rPr>
        <w:t xml:space="preserve">5 </w:t>
      </w:r>
      <w:r>
        <w:rPr>
          <w:rFonts w:ascii="Aptos" w:hAnsi="Aptos" w:asciiTheme="minorHAnsi" w:hAnsiTheme="minorHAnsi"/>
        </w:rPr>
        <w:t>coming years.</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rPr>
      </w:pPr>
      <w:r>
        <w:rPr>
          <w:rFonts w:asciiTheme="minorHAnsi" w:hAnsiTheme="minorHAnsi" w:ascii="Aptos" w:hAnsi="Aptos"/>
        </w:rPr>
        <w:t xml:space="preserve">                                                                         </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rPr>
      </w:pPr>
      <w:r>
        <w:rPr>
          <w:rFonts w:ascii="Aptos" w:hAnsi="Aptos" w:asciiTheme="minorHAnsi" w:hAnsiTheme="minorHAnsi"/>
        </w:rPr>
        <w:t>To limit the social costs of this transition, the government has introduced a Just Transition package for affected workers and communities.</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asciiTheme="minorHAnsi" w:hAnsiTheme="minorHAnsi"/>
        </w:rPr>
      </w:pPr>
      <w:r>
        <w:rPr>
          <w:rFonts w:asciiTheme="minorHAnsi" w:hAnsiTheme="minorHAnsi" w:ascii="Aptos" w:hAnsi="Aptos"/>
        </w:rPr>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eastAsia="" w:cs="" w:asciiTheme="minorHAnsi" w:cstheme="minorBidi" w:eastAsiaTheme="minorEastAsia" w:hAnsiTheme="minorHAnsi"/>
          <w:lang w:eastAsia="ja-JP"/>
        </w:rPr>
      </w:pPr>
      <w:r>
        <w:rPr>
          <w:rFonts w:ascii="Aptos" w:hAnsi="Aptos" w:asciiTheme="minorHAnsi" w:hAnsiTheme="minorHAnsi"/>
        </w:rPr>
        <w:t xml:space="preserve">In the following task, you will be shown </w:t>
      </w:r>
      <w:r>
        <w:rPr>
          <w:rFonts w:ascii="Aptos" w:hAnsi="Aptos" w:asciiTheme="minorHAnsi" w:hAnsiTheme="minorHAnsi"/>
          <w:b/>
          <w:bCs/>
        </w:rPr>
        <w:t>four pairs of proposed Just Transition packages</w:t>
      </w:r>
      <w:r>
        <w:rPr>
          <w:rFonts w:ascii="Aptos" w:hAnsi="Aptos" w:asciiTheme="minorHAnsi" w:hAnsiTheme="minorHAnsi"/>
        </w:rPr>
        <w:t>. Each proposal includes a combination of features such as the level of financial support, job retraining opportunities, investment in local infrastructure, and more.</w:t>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eastAsia="" w:cs="" w:asciiTheme="minorHAnsi" w:cstheme="minorBidi" w:eastAsiaTheme="minorEastAsia" w:hAnsiTheme="minorHAnsi"/>
          <w:lang w:eastAsia="ja-JP"/>
        </w:rPr>
      </w:pPr>
      <w:r>
        <w:rPr/>
      </w:r>
    </w:p>
    <w:p>
      <w:pPr>
        <w:pStyle w:val="Normal"/>
        <w:pBdr>
          <w:top w:val="single" w:sz="4" w:space="1" w:color="000000"/>
          <w:left w:val="single" w:sz="4" w:space="4" w:color="000000"/>
          <w:bottom w:val="single" w:sz="4" w:space="1" w:color="000000"/>
          <w:right w:val="single" w:sz="4" w:space="4" w:color="000000"/>
        </w:pBdr>
        <w:spacing w:lineRule="auto" w:line="276"/>
        <w:rPr>
          <w:rFonts w:ascii="Aptos" w:hAnsi="Aptos" w:eastAsia="" w:cs="" w:asciiTheme="minorHAnsi" w:cstheme="minorBidi" w:eastAsiaTheme="minorEastAsia" w:hAnsiTheme="minorHAnsi"/>
          <w:lang w:eastAsia="ja-JP"/>
        </w:rPr>
      </w:pPr>
      <w:r>
        <w:rPr>
          <w:rFonts w:ascii="Aptos" w:hAnsi="Aptos" w:asciiTheme="minorHAnsi" w:hAnsiTheme="minorHAnsi"/>
        </w:rPr>
        <w:t>For each pair, please review the proposals carefully and select the one you find more acceptable. There are no right or wrong answers—we are interested in your preferences.</w:t>
      </w:r>
    </w:p>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p>
      <w:pPr>
        <w:pStyle w:val="ListParagraph"/>
        <w:numPr>
          <w:ilvl w:val="2"/>
          <w:numId w:val="4"/>
        </w:numPr>
        <w:rPr>
          <w:b/>
          <w:bCs/>
        </w:rPr>
      </w:pPr>
      <w:r>
        <w:rPr>
          <w:b/>
          <w:bCs/>
        </w:rPr>
        <w:t>Attributes</w:t>
      </w:r>
    </w:p>
    <w:p>
      <w:pPr>
        <w:pStyle w:val="ListParagraph"/>
        <w:numPr>
          <w:ilvl w:val="3"/>
          <w:numId w:val="4"/>
        </w:numPr>
        <w:rPr>
          <w:u w:val="single"/>
        </w:rPr>
      </w:pPr>
      <w:r>
        <w:rPr>
          <w:u w:val="single"/>
        </w:rPr>
        <w:t>Financial compensation</w:t>
      </w:r>
    </w:p>
    <w:p>
      <w:pPr>
        <w:pStyle w:val="Normal"/>
        <w:rPr>
          <w:rFonts w:ascii="Aptos" w:hAnsi="Aptos" w:asciiTheme="minorHAnsi" w:hAnsiTheme="minorHAnsi"/>
          <w:u w:val="single"/>
        </w:rPr>
      </w:pPr>
      <w:r>
        <w:rPr>
          <w:rFonts w:asciiTheme="minorHAnsi" w:hAnsiTheme="minorHAnsi" w:ascii="Aptos" w:hAnsi="Aptos"/>
          <w:u w:val="single"/>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732"/>
        <w:gridCol w:w="3901"/>
        <w:gridCol w:w="3727"/>
      </w:tblGrid>
      <w:tr>
        <w:trPr>
          <w:trHeight w:val="332" w:hRule="atLeast"/>
        </w:trPr>
        <w:tc>
          <w:tcPr>
            <w:tcW w:w="1732"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Levels</w:t>
            </w:r>
          </w:p>
        </w:tc>
        <w:tc>
          <w:tcPr>
            <w:tcW w:w="3901"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Label</w:t>
            </w:r>
          </w:p>
        </w:tc>
        <w:tc>
          <w:tcPr>
            <w:tcW w:w="3727" w:type="dxa"/>
            <w:tcBorders>
              <w:top w:val="single" w:sz="4" w:space="0" w:color="000000"/>
              <w:left w:val="single" w:sz="4" w:space="0" w:color="000000"/>
              <w:bottom w:val="single" w:sz="4" w:space="0" w:color="000000"/>
              <w:right w:val="single" w:sz="4" w:space="0" w:color="000000"/>
            </w:tcBorders>
          </w:tcPr>
          <w:p>
            <w:pPr>
              <w:pStyle w:val="Standard"/>
              <w:spacing w:before="0" w:after="0"/>
              <w:rPr>
                <w:rFonts w:ascii="Aptos" w:hAnsi="Aptos" w:eastAsia="" w:cs="" w:asciiTheme="minorHAnsi" w:cstheme="minorBidi" w:eastAsiaTheme="minorEastAsia" w:hAnsiTheme="minorHAnsi"/>
                <w:b/>
                <w:bCs/>
              </w:rPr>
            </w:pPr>
            <w:r>
              <w:rPr>
                <w:rFonts w:eastAsia="" w:cs="" w:cstheme="minorBidi" w:eastAsiaTheme="minorEastAsia"/>
                <w:b/>
                <w:bCs/>
              </w:rPr>
              <w:t>Source / real-world examples</w:t>
            </w:r>
          </w:p>
        </w:tc>
      </w:tr>
      <w:tr>
        <w:trPr>
          <w:trHeight w:val="1074"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a) No additional compensation</w:t>
            </w:r>
          </w:p>
        </w:tc>
        <w:tc>
          <w:tcPr>
            <w:tcW w:w="3901" w:type="dxa"/>
            <w:tcBorders>
              <w:left w:val="single" w:sz="4" w:space="0" w:color="000000"/>
              <w:bottom w:val="single" w:sz="4" w:space="0" w:color="000000"/>
            </w:tcBorders>
          </w:tcPr>
          <w:p>
            <w:pPr>
              <w:pStyle w:val="Standard"/>
              <w:spacing w:before="0" w:after="0"/>
              <w:rPr>
                <w:rFonts w:ascii="Aptos" w:hAnsi="Aptos" w:asciiTheme="minorHAnsi" w:hAnsiTheme="minorHAnsi"/>
                <w:i/>
                <w:i/>
                <w:iCs/>
              </w:rPr>
            </w:pPr>
            <w:r>
              <w:rPr>
                <w:rFonts w:asciiTheme="minorHAnsi" w:hAnsiTheme="minorHAnsi"/>
                <w:i/>
                <w:iCs/>
              </w:rPr>
              <w:t>You receive only standard unemployment benefits.</w:t>
            </w:r>
          </w:p>
        </w:tc>
        <w:tc>
          <w:tcPr>
            <w:tcW w:w="3727" w:type="dxa"/>
            <w:tcBorders>
              <w:left w:val="single" w:sz="4" w:space="0" w:color="000000"/>
              <w:bottom w:val="single" w:sz="4" w:space="0" w:color="000000"/>
              <w:right w:val="single" w:sz="4" w:space="0" w:color="000000"/>
            </w:tcBorders>
          </w:tcPr>
          <w:p>
            <w:pPr>
              <w:pStyle w:val="Standard"/>
              <w:spacing w:before="0" w:after="0"/>
              <w:rPr>
                <w:rStyle w:val="relative"/>
                <w:rFonts w:ascii="Aptos" w:hAnsi="Aptos" w:asciiTheme="minorHAnsi" w:hAnsiTheme="minorHAnsi"/>
              </w:rPr>
            </w:pPr>
            <w:r>
              <w:rPr>
                <w:rStyle w:val="Strong"/>
                <w:rFonts w:asciiTheme="minorHAnsi" w:hAnsiTheme="minorHAnsi"/>
              </w:rPr>
              <w:t>Baseline condition</w:t>
            </w:r>
            <w:r>
              <w:rPr>
                <w:rFonts w:asciiTheme="minorHAnsi" w:hAnsiTheme="minorHAnsi"/>
              </w:rPr>
              <w:t xml:space="preserve"> in many EU settings when no deal is struck</w:t>
            </w:r>
          </w:p>
          <w:p>
            <w:pPr>
              <w:pStyle w:val="Standard"/>
              <w:spacing w:before="0" w:after="0"/>
              <w:rPr>
                <w:rStyle w:val="relative"/>
                <w:rFonts w:ascii="Aptos" w:hAnsi="Aptos" w:asciiTheme="minorHAnsi" w:hAnsiTheme="minorHAnsi"/>
              </w:rPr>
            </w:pPr>
            <w:r>
              <w:rPr>
                <w:rFonts w:asciiTheme="minorHAnsi" w:hAnsiTheme="minorHAnsi"/>
              </w:rPr>
            </w:r>
          </w:p>
          <w:p>
            <w:pPr>
              <w:pStyle w:val="Standard"/>
              <w:spacing w:before="0" w:after="0"/>
              <w:rPr>
                <w:rFonts w:ascii="Aptos" w:hAnsi="Aptos" w:asciiTheme="minorHAnsi" w:hAnsiTheme="minorHAnsi"/>
              </w:rPr>
            </w:pPr>
            <w:hyperlink r:id="rId2">
              <w:r>
                <w:rPr>
                  <w:rStyle w:val="Hyperlink"/>
                  <w:rFonts w:asciiTheme="minorHAnsi" w:hAnsiTheme="minorHAnsi"/>
                </w:rPr>
                <w:t>2021 Sines (Portugal) fired power plant closure</w:t>
              </w:r>
            </w:hyperlink>
            <w:r>
              <w:rPr>
                <w:rFonts w:asciiTheme="minorHAnsi" w:hAnsiTheme="minorHAnsi"/>
              </w:rPr>
              <w:t>: In 2021, Portugal closed its last two coal-fired power plants—Sines and Pego—as part of its commitment to climate change mitigation.</w:t>
            </w:r>
            <w:r>
              <w:rPr>
                <w:rStyle w:val="Heading1Char"/>
                <w:rFonts w:asciiTheme="minorHAnsi" w:hAnsiTheme="minorHAnsi"/>
              </w:rPr>
              <w:t xml:space="preserve"> </w:t>
            </w:r>
            <w:r>
              <w:rPr>
                <w:rStyle w:val="relative"/>
                <w:rFonts w:asciiTheme="minorHAnsi" w:hAnsiTheme="minorHAnsi"/>
              </w:rPr>
              <w:t>Many of the workers in Sines primarily relied on standard unemployment benefits, with limited additional compensation or support mechanisms in place.</w:t>
            </w:r>
          </w:p>
        </w:tc>
      </w:tr>
      <w:tr>
        <w:trPr>
          <w:trHeight w:val="498"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b) Lump sum (mandatory redundancy payment or negotiated severance payment)</w:t>
            </w:r>
          </w:p>
        </w:tc>
        <w:tc>
          <w:tcPr>
            <w:tcW w:w="3901" w:type="dxa"/>
            <w:tcBorders>
              <w:left w:val="single" w:sz="4" w:space="0" w:color="000000"/>
              <w:bottom w:val="single" w:sz="4" w:space="0" w:color="000000"/>
            </w:tcBorders>
          </w:tcPr>
          <w:p>
            <w:pPr>
              <w:pStyle w:val="Normal"/>
              <w:rPr>
                <w:rFonts w:ascii="Aptos" w:hAnsi="Aptos" w:asciiTheme="minorHAnsi" w:hAnsiTheme="minorHAnsi"/>
                <w:i/>
                <w:i/>
                <w:iCs/>
              </w:rPr>
            </w:pPr>
            <w:r>
              <w:rPr>
                <w:rStyle w:val="Emphasis"/>
                <w:rFonts w:eastAsia="" w:ascii="Aptos" w:hAnsi="Aptos" w:asciiTheme="minorHAnsi" w:eastAsiaTheme="majorEastAsia" w:hAnsiTheme="minorHAnsi"/>
              </w:rPr>
              <w:t>You receive a one-time compensation equal to approximately three months of your previous salary.</w:t>
            </w:r>
          </w:p>
          <w:p>
            <w:pPr>
              <w:pStyle w:val="Standard"/>
              <w:spacing w:before="0" w:after="0"/>
              <w:rPr>
                <w:rFonts w:ascii="Aptos" w:hAnsi="Aptos" w:asciiTheme="minorHAnsi" w:hAnsiTheme="minorHAnsi"/>
                <w:i/>
                <w:i/>
                <w:iCs/>
              </w:rPr>
            </w:pPr>
            <w:r>
              <w:rPr>
                <w:rFonts w:asciiTheme="minorHAnsi" w:hAnsiTheme="minorHAnsi"/>
                <w:i/>
                <w:iCs/>
              </w:rPr>
            </w:r>
          </w:p>
        </w:tc>
        <w:tc>
          <w:tcPr>
            <w:tcW w:w="3727"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NormalWeb"/>
              <w:shd w:val="clear" w:color="auto" w:fill="FFFFFF"/>
              <w:spacing w:beforeAutospacing="0" w:before="0" w:afterAutospacing="0" w:after="0"/>
              <w:textAlignment w:val="baseline"/>
              <w:rPr>
                <w:rFonts w:ascii="Aptos" w:hAnsi="Aptos" w:asciiTheme="minorHAnsi" w:hAnsiTheme="minorHAnsi"/>
                <w:color w:val="000000"/>
              </w:rPr>
            </w:pPr>
            <w:hyperlink r:id="rId3">
              <w:r>
                <w:rPr>
                  <w:rStyle w:val="Hyperlink"/>
                  <w:rFonts w:ascii="Aptos" w:hAnsi="Aptos" w:asciiTheme="minorHAnsi" w:hAnsiTheme="minorHAnsi"/>
                </w:rPr>
                <w:t>Poland 2024 closure of coal and lignite-fired power plants and mines</w:t>
              </w:r>
            </w:hyperlink>
            <w:r>
              <w:rPr>
                <w:rFonts w:ascii="Aptos" w:hAnsi="Aptos" w:asciiTheme="minorHAnsi" w:hAnsiTheme="minorHAnsi"/>
                <w:color w:val="000000"/>
              </w:rPr>
              <w:t>: collective labor agreements</w:t>
            </w:r>
            <w:r>
              <w:rPr>
                <w:rFonts w:ascii="Aptos" w:hAnsi="Aptos" w:asciiTheme="minorHAnsi" w:hAnsiTheme="minorHAnsi"/>
                <w:b/>
                <w:bCs/>
                <w:i/>
                <w:iCs/>
                <w:color w:val="333333"/>
              </w:rPr>
              <w:t xml:space="preserve"> envisage severance payments</w:t>
            </w:r>
            <w:r>
              <w:rPr>
                <w:rFonts w:ascii="Aptos" w:hAnsi="Aptos" w:asciiTheme="minorHAnsi" w:hAnsiTheme="minorHAnsi"/>
                <w:color w:val="000000"/>
              </w:rPr>
              <w:t>.</w:t>
            </w:r>
          </w:p>
          <w:p>
            <w:pPr>
              <w:pStyle w:val="NormalWeb"/>
              <w:shd w:val="clear" w:color="auto" w:fill="FFFFFF"/>
              <w:spacing w:beforeAutospacing="0" w:before="0" w:afterAutospacing="0" w:after="0"/>
              <w:textAlignment w:val="baseline"/>
              <w:rPr>
                <w:rFonts w:ascii="Aptos" w:hAnsi="Aptos" w:asciiTheme="minorHAnsi" w:hAnsiTheme="minorHAnsi"/>
                <w:color w:val="000000"/>
              </w:rPr>
            </w:pPr>
            <w:r>
              <w:rPr>
                <w:rFonts w:asciiTheme="minorHAnsi" w:hAnsiTheme="minorHAnsi" w:ascii="Aptos" w:hAnsi="Aptos"/>
                <w:color w:val="000000"/>
              </w:rPr>
            </w:r>
          </w:p>
          <w:p>
            <w:pPr>
              <w:pStyle w:val="NormalWeb"/>
              <w:shd w:val="clear" w:color="auto" w:fill="FFFFFF"/>
              <w:spacing w:beforeAutospacing="0" w:before="0" w:afterAutospacing="0" w:after="0"/>
              <w:textAlignment w:val="baseline"/>
              <w:rPr>
                <w:rFonts w:ascii="Aptos" w:hAnsi="Aptos" w:asciiTheme="minorHAnsi" w:hAnsiTheme="minorHAnsi"/>
                <w:color w:val="000000"/>
                <w:shd w:fill="FFFFFF" w:val="clear"/>
              </w:rPr>
            </w:pPr>
            <w:hyperlink r:id="rId4">
              <w:r>
                <w:rPr>
                  <w:rStyle w:val="Hyperlink"/>
                  <w:rFonts w:eastAsia="" w:ascii="Aptos" w:hAnsi="Aptos" w:asciiTheme="minorHAnsi" w:eastAsiaTheme="majorEastAsia" w:hAnsiTheme="minorHAnsi"/>
                </w:rPr>
                <w:t>Spain 2018 coal mines closure agreements</w:t>
              </w:r>
            </w:hyperlink>
            <w:r>
              <w:rPr>
                <w:rFonts w:ascii="Aptos" w:hAnsi="Aptos" w:asciiTheme="minorHAnsi" w:hAnsiTheme="minorHAnsi"/>
              </w:rPr>
              <w:t xml:space="preserve">: </w:t>
            </w:r>
            <w:r>
              <w:rPr>
                <w:rFonts w:ascii="Aptos" w:hAnsi="Aptos" w:asciiTheme="minorHAnsi" w:hAnsiTheme="minorHAnsi"/>
                <w:color w:val="000000"/>
                <w:shd w:fill="FFFFFF" w:val="clear"/>
              </w:rPr>
              <w:t>Younger miners will receive a redundancy payment of €10,000, as well as 35 days’ pay for every year of service.</w:t>
            </w:r>
          </w:p>
          <w:p>
            <w:pPr>
              <w:pStyle w:val="NormalWeb"/>
              <w:shd w:val="clear" w:color="auto" w:fill="FFFFFF"/>
              <w:spacing w:beforeAutospacing="0" w:before="0" w:afterAutospacing="0" w:after="0"/>
              <w:textAlignment w:val="baseline"/>
              <w:rPr>
                <w:rFonts w:ascii="Aptos" w:hAnsi="Aptos" w:asciiTheme="minorHAnsi" w:hAnsiTheme="minorHAnsi"/>
                <w:color w:val="000000"/>
                <w:shd w:fill="FFFFFF" w:val="clear"/>
              </w:rPr>
            </w:pPr>
            <w:r>
              <w:rPr>
                <w:rFonts w:ascii="Aptos" w:hAnsi="Aptos" w:asciiTheme="minorHAnsi" w:hAnsiTheme="minorHAnsi"/>
                <w:color w:val="000000"/>
                <w:shd w:fill="FFFFFF" w:val="clear"/>
              </w:rPr>
              <w:t xml:space="preserve">Miners with asbestosis will receive an additional payment of €26,000. (See also: </w:t>
            </w:r>
            <w:hyperlink r:id="rId5">
              <w:r>
                <w:rPr>
                  <w:rStyle w:val="Hyperlink"/>
                  <w:rFonts w:ascii="Aptos" w:hAnsi="Aptos" w:asciiTheme="minorHAnsi" w:hAnsiTheme="minorHAnsi"/>
                  <w:shd w:fill="FFFFFF" w:val="clear"/>
                </w:rPr>
                <w:t>https://www.industriall-union.org/sites/default/files/uploads/documents/2018/SPAIN/spanish_plan_for_coal_eng_oct_2018.pdf</w:t>
              </w:r>
            </w:hyperlink>
            <w:r>
              <w:rPr>
                <w:rFonts w:ascii="Aptos" w:hAnsi="Aptos" w:asciiTheme="minorHAnsi" w:hAnsiTheme="minorHAnsi"/>
                <w:color w:val="000000"/>
                <w:shd w:fill="FFFFFF" w:val="clear"/>
              </w:rPr>
              <w:t xml:space="preserve">) </w:t>
            </w:r>
          </w:p>
          <w:p>
            <w:pPr>
              <w:pStyle w:val="NormalWeb"/>
              <w:shd w:val="clear" w:color="auto" w:fill="FFFFFF"/>
              <w:spacing w:beforeAutospacing="0" w:before="0" w:afterAutospacing="0" w:after="0"/>
              <w:textAlignment w:val="baseline"/>
              <w:rPr>
                <w:rFonts w:ascii="Aptos" w:hAnsi="Aptos" w:asciiTheme="minorHAnsi" w:hAnsiTheme="minorHAnsi"/>
                <w:color w:val="000000"/>
              </w:rPr>
            </w:pPr>
            <w:r>
              <w:rPr>
                <w:rFonts w:asciiTheme="minorHAnsi" w:hAnsiTheme="minorHAnsi" w:ascii="Aptos" w:hAnsi="Aptos"/>
                <w:color w:val="000000"/>
              </w:rPr>
            </w:r>
          </w:p>
        </w:tc>
      </w:tr>
      <w:tr>
        <w:trPr>
          <w:trHeight w:val="346"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c) Monthly income bridge</w:t>
            </w:r>
          </w:p>
        </w:tc>
        <w:tc>
          <w:tcPr>
            <w:tcW w:w="390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
              <w:rPr>
                <w:rFonts w:ascii="Aptos" w:hAnsi="Aptos" w:asciiTheme="minorHAnsi" w:hAnsiTheme="minorHAnsi"/>
                <w:i/>
                <w:i/>
                <w:iCs/>
              </w:rPr>
            </w:pPr>
            <w:r>
              <w:rPr>
                <w:rStyle w:val="Emphasis"/>
                <w:rFonts w:eastAsia="" w:ascii="Aptos" w:hAnsi="Aptos" w:asciiTheme="minorHAnsi" w:eastAsiaTheme="majorEastAsia" w:hAnsiTheme="minorHAnsi"/>
              </w:rPr>
              <w:t>You receive a monthly allowance equal to around half of your previous salary, for up to 12 months.</w:t>
            </w:r>
          </w:p>
          <w:p>
            <w:pPr>
              <w:pStyle w:val="Standard"/>
              <w:spacing w:before="0" w:after="0"/>
              <w:rPr>
                <w:rFonts w:ascii="Aptos" w:hAnsi="Aptos" w:asciiTheme="minorHAnsi" w:hAnsiTheme="minorHAnsi"/>
                <w:i/>
                <w:i/>
                <w:iCs/>
                <w:lang w:val="en-FR"/>
              </w:rPr>
            </w:pPr>
            <w:r>
              <w:rPr>
                <w:rFonts w:asciiTheme="minorHAnsi" w:hAnsiTheme="minorHAnsi"/>
                <w:i/>
                <w:iCs/>
                <w:lang w:val="en-FR"/>
              </w:rPr>
            </w:r>
          </w:p>
        </w:tc>
        <w:tc>
          <w:tcPr>
            <w:tcW w:w="3727" w:type="dxa"/>
            <w:tcBorders>
              <w:left w:val="single" w:sz="4" w:space="0" w:color="000000"/>
              <w:bottom w:val="single" w:sz="4" w:space="0" w:color="000000"/>
              <w:right w:val="single" w:sz="4" w:space="0" w:color="000000"/>
            </w:tcBorders>
          </w:tcPr>
          <w:p>
            <w:pPr>
              <w:pStyle w:val="Standard"/>
              <w:spacing w:before="0" w:after="0"/>
              <w:rPr>
                <w:rFonts w:ascii="Aptos" w:hAnsi="Aptos" w:asciiTheme="minorHAnsi" w:hAnsiTheme="minorHAnsi"/>
              </w:rPr>
            </w:pPr>
            <w:hyperlink r:id="rId6">
              <w:r>
                <w:rPr>
                  <w:rStyle w:val="Hyperlink"/>
                  <w:rFonts w:asciiTheme="minorHAnsi" w:hAnsiTheme="minorHAnsi"/>
                </w:rPr>
                <w:t>Poland 2024 closure of coal and lignite-fired power plants and mines</w:t>
              </w:r>
            </w:hyperlink>
            <w:r>
              <w:rPr>
                <w:rFonts w:asciiTheme="minorHAnsi" w:hAnsiTheme="minorHAnsi"/>
                <w:color w:val="000000"/>
              </w:rPr>
              <w:t>: Employees are entitled to one-year severance payment, which they can choose instead of the severance payments foreseen in the applicable collective labor agreements.</w:t>
            </w:r>
          </w:p>
        </w:tc>
      </w:tr>
    </w:tbl>
    <w:p>
      <w:pPr>
        <w:pStyle w:val="Normal"/>
        <w:rPr>
          <w:rFonts w:ascii="Aptos" w:hAnsi="Aptos" w:asciiTheme="minorHAnsi" w:hAnsiTheme="minorHAnsi"/>
          <w:u w:val="single"/>
        </w:rPr>
      </w:pPr>
      <w:r>
        <w:rPr>
          <w:rFonts w:asciiTheme="minorHAnsi" w:hAnsiTheme="minorHAnsi" w:ascii="Aptos" w:hAnsi="Aptos"/>
          <w:u w:val="single"/>
        </w:rPr>
      </w:r>
    </w:p>
    <w:p>
      <w:pPr>
        <w:pStyle w:val="ListParagraph"/>
        <w:numPr>
          <w:ilvl w:val="3"/>
          <w:numId w:val="4"/>
        </w:numPr>
        <w:rPr>
          <w:u w:val="single"/>
        </w:rPr>
      </w:pPr>
      <w:r>
        <w:rPr>
          <w:u w:val="single"/>
        </w:rPr>
        <w:t>Job support</w:t>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rHeight w:val="12" w:hRule="exact"/>
        </w:trPr>
        <w:tc>
          <w:tcPr>
            <w:tcW w:w="96" w:type="dxa"/>
            <w:tcBorders/>
            <w:vAlign w:val="center"/>
          </w:tcPr>
          <w:p>
            <w:pPr>
              <w:pStyle w:val="Normal"/>
              <w:suppressAutoHyphens w:val="true"/>
              <w:rPr>
                <w:rFonts w:ascii="Aptos" w:hAnsi="Aptos" w:asciiTheme="minorHAnsi" w:hAnsiTheme="minorHAnsi"/>
                <w:i/>
                <w:i/>
                <w:iCs/>
                <w:sz w:val="20"/>
                <w:szCs w:val="20"/>
              </w:rPr>
            </w:pPr>
            <w:r>
              <w:rPr>
                <w:rFonts w:asciiTheme="minorHAnsi" w:hAnsiTheme="minorHAnsi" w:ascii="Aptos" w:hAnsi="Aptos"/>
                <w:i/>
                <w:iCs/>
                <w:sz w:val="20"/>
                <w:szCs w:val="20"/>
              </w:rPr>
            </w:r>
          </w:p>
        </w:tc>
      </w:tr>
    </w:tbl>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732"/>
        <w:gridCol w:w="3861"/>
        <w:gridCol w:w="3767"/>
      </w:tblGrid>
      <w:tr>
        <w:trPr>
          <w:trHeight w:val="332" w:hRule="atLeast"/>
        </w:trPr>
        <w:tc>
          <w:tcPr>
            <w:tcW w:w="1732" w:type="dxa"/>
            <w:tcBorders>
              <w:top w:val="single" w:sz="4" w:space="0" w:color="000000"/>
              <w:left w:val="single" w:sz="4" w:space="0" w:color="000000"/>
              <w:bottom w:val="single" w:sz="4" w:space="0" w:color="000000"/>
            </w:tcBorders>
          </w:tcPr>
          <w:p>
            <w:pPr>
              <w:pStyle w:val="Standard"/>
              <w:spacing w:lineRule="auto" w:line="240" w:before="0" w:after="0"/>
              <w:rPr>
                <w:rFonts w:ascii="Aptos" w:hAnsi="Aptos" w:asciiTheme="minorHAnsi" w:hAnsiTheme="minorHAnsi"/>
              </w:rPr>
            </w:pPr>
            <w:r>
              <w:rPr>
                <w:rFonts w:eastAsia="" w:cs="" w:cstheme="minorBidi" w:eastAsiaTheme="minorEastAsia"/>
                <w:b/>
                <w:bCs/>
              </w:rPr>
              <w:t>Levels</w:t>
            </w:r>
          </w:p>
        </w:tc>
        <w:tc>
          <w:tcPr>
            <w:tcW w:w="3861" w:type="dxa"/>
            <w:tcBorders>
              <w:top w:val="single" w:sz="4" w:space="0" w:color="000000"/>
              <w:left w:val="single" w:sz="4" w:space="0" w:color="000000"/>
              <w:bottom w:val="single" w:sz="4" w:space="0" w:color="000000"/>
            </w:tcBorders>
          </w:tcPr>
          <w:p>
            <w:pPr>
              <w:pStyle w:val="Standard"/>
              <w:spacing w:lineRule="auto" w:line="240" w:before="0" w:after="0"/>
              <w:rPr>
                <w:rFonts w:ascii="Aptos" w:hAnsi="Aptos" w:asciiTheme="minorHAnsi" w:hAnsiTheme="minorHAnsi"/>
              </w:rPr>
            </w:pPr>
            <w:r>
              <w:rPr>
                <w:rFonts w:eastAsia="" w:cs="" w:cstheme="minorBidi" w:eastAsiaTheme="minorEastAsia"/>
                <w:b/>
                <w:bCs/>
              </w:rPr>
              <w:t>Label</w:t>
            </w:r>
          </w:p>
        </w:tc>
        <w:tc>
          <w:tcPr>
            <w:tcW w:w="3767" w:type="dxa"/>
            <w:tcBorders>
              <w:top w:val="single" w:sz="4" w:space="0" w:color="000000"/>
              <w:left w:val="single" w:sz="4" w:space="0" w:color="000000"/>
              <w:bottom w:val="single" w:sz="4" w:space="0" w:color="000000"/>
              <w:right w:val="single" w:sz="4" w:space="0" w:color="000000"/>
            </w:tcBorders>
          </w:tcPr>
          <w:p>
            <w:pPr>
              <w:pStyle w:val="Standard"/>
              <w:spacing w:lineRule="auto" w:line="240" w:before="0" w:after="0"/>
              <w:rPr>
                <w:rFonts w:ascii="Aptos" w:hAnsi="Aptos" w:eastAsia="" w:cs="" w:asciiTheme="minorHAnsi" w:cstheme="minorBidi" w:eastAsiaTheme="minorEastAsia" w:hAnsiTheme="minorHAnsi"/>
                <w:b/>
                <w:bCs/>
              </w:rPr>
            </w:pPr>
            <w:r>
              <w:rPr>
                <w:rFonts w:eastAsia="" w:cs="" w:cstheme="minorBidi" w:eastAsiaTheme="minorEastAsia"/>
                <w:b/>
                <w:bCs/>
              </w:rPr>
              <w:t>Source / Real-world examples</w:t>
            </w:r>
          </w:p>
        </w:tc>
      </w:tr>
      <w:tr>
        <w:trPr>
          <w:trHeight w:val="1074" w:hRule="atLeast"/>
        </w:trPr>
        <w:tc>
          <w:tcPr>
            <w:tcW w:w="1732" w:type="dxa"/>
            <w:tcBorders>
              <w:left w:val="single" w:sz="4" w:space="0" w:color="000000"/>
              <w:bottom w:val="single" w:sz="4" w:space="0" w:color="000000"/>
            </w:tcBorders>
          </w:tcPr>
          <w:p>
            <w:pPr>
              <w:pStyle w:val="Standard"/>
              <w:spacing w:lineRule="auto" w:line="240" w:before="0" w:after="0"/>
              <w:rPr>
                <w:rFonts w:ascii="Aptos" w:hAnsi="Aptos" w:asciiTheme="minorHAnsi" w:hAnsiTheme="minorHAnsi"/>
              </w:rPr>
            </w:pPr>
            <w:r>
              <w:rPr>
                <w:rFonts w:asciiTheme="minorHAnsi" w:hAnsiTheme="minorHAnsi"/>
              </w:rPr>
              <w:t>a) No additional support</w:t>
            </w:r>
          </w:p>
        </w:tc>
        <w:tc>
          <w:tcPr>
            <w:tcW w:w="386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rHeight w:val="12" w:hRule="exact"/>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Web"/>
              <w:spacing w:beforeAutospacing="0" w:before="0" w:afterAutospacing="0" w:after="0"/>
              <w:rPr>
                <w:rFonts w:ascii="Aptos" w:hAnsi="Aptos" w:asciiTheme="minorHAnsi" w:hAnsiTheme="minorHAnsi"/>
                <w:i/>
                <w:i/>
                <w:iCs/>
              </w:rPr>
            </w:pPr>
            <w:r>
              <w:rPr>
                <w:rFonts w:ascii="Aptos" w:hAnsi="Aptos" w:asciiTheme="minorHAnsi" w:hAnsiTheme="minorHAnsi"/>
                <w:i/>
                <w:iCs/>
              </w:rPr>
              <w:t xml:space="preserve">You have access to the standard public employment services available in your country. </w:t>
            </w:r>
          </w:p>
          <w:p>
            <w:pPr>
              <w:pStyle w:val="Standard"/>
              <w:spacing w:lineRule="auto" w:line="240" w:before="0" w:after="0"/>
              <w:rPr>
                <w:rFonts w:ascii="Aptos" w:hAnsi="Aptos" w:asciiTheme="minorHAnsi" w:hAnsiTheme="minorHAnsi"/>
                <w:i/>
                <w:i/>
                <w:iCs/>
              </w:rPr>
            </w:pPr>
            <w:r>
              <w:rPr>
                <w:rFonts w:asciiTheme="minorHAnsi" w:hAnsiTheme="minorHAnsi"/>
                <w:i/>
                <w:iCs/>
              </w:rPr>
            </w:r>
          </w:p>
        </w:tc>
        <w:tc>
          <w:tcPr>
            <w:tcW w:w="3767"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rHeight w:val="12" w:hRule="exact"/>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Standard"/>
              <w:spacing w:lineRule="auto" w:line="240" w:before="0" w:after="0"/>
              <w:rPr>
                <w:rStyle w:val="relative"/>
                <w:rFonts w:ascii="Aptos" w:hAnsi="Aptos" w:cs="Times New Roman" w:asciiTheme="minorHAnsi" w:hAnsiTheme="minorHAnsi"/>
                <w:lang w:val="en-FR" w:eastAsia="en-GB"/>
              </w:rPr>
            </w:pPr>
            <w:r>
              <w:rPr>
                <w:rStyle w:val="Strong"/>
                <w:rFonts w:asciiTheme="minorHAnsi" w:hAnsiTheme="minorHAnsi"/>
              </w:rPr>
              <w:t>Baseline condition</w:t>
            </w:r>
            <w:r>
              <w:rPr>
                <w:rStyle w:val="Strong"/>
                <w:rFonts w:asciiTheme="minorHAnsi" w:hAnsiTheme="minorHAnsi"/>
                <w:b w:val="false"/>
                <w:bCs w:val="false"/>
              </w:rPr>
              <w:t xml:space="preserve"> most EU countries</w:t>
            </w:r>
            <w:r>
              <w:rPr>
                <w:rFonts w:asciiTheme="minorHAnsi" w:hAnsiTheme="minorHAnsi"/>
              </w:rPr>
              <w:t xml:space="preserve"> where PES (Public Employment Services) are available to all citizens.</w:t>
            </w:r>
          </w:p>
          <w:p>
            <w:pPr>
              <w:pStyle w:val="Standard"/>
              <w:spacing w:lineRule="auto" w:line="240" w:before="0" w:after="0"/>
              <w:rPr>
                <w:rFonts w:ascii="Aptos" w:hAnsi="Aptos" w:asciiTheme="minorHAnsi" w:hAnsiTheme="minorHAnsi"/>
              </w:rPr>
            </w:pPr>
            <w:r>
              <w:rPr>
                <w:rFonts w:asciiTheme="minorHAnsi" w:hAnsiTheme="minorHAnsi"/>
              </w:rPr>
            </w:r>
          </w:p>
        </w:tc>
      </w:tr>
      <w:tr>
        <w:trPr>
          <w:trHeight w:val="346" w:hRule="atLeast"/>
        </w:trPr>
        <w:tc>
          <w:tcPr>
            <w:tcW w:w="1732" w:type="dxa"/>
            <w:tcBorders>
              <w:left w:val="single" w:sz="4" w:space="0" w:color="000000"/>
              <w:bottom w:val="single" w:sz="4" w:space="0" w:color="000000"/>
            </w:tcBorders>
          </w:tcPr>
          <w:p>
            <w:pPr>
              <w:pStyle w:val="Standard"/>
              <w:spacing w:lineRule="auto" w:line="240" w:before="0" w:after="0"/>
              <w:rPr>
                <w:rFonts w:ascii="Aptos" w:hAnsi="Aptos" w:asciiTheme="minorHAnsi" w:hAnsiTheme="minorHAnsi"/>
              </w:rPr>
            </w:pPr>
            <w:r>
              <w:rPr>
                <w:rFonts w:asciiTheme="minorHAnsi" w:hAnsiTheme="minorHAnsi"/>
              </w:rPr>
              <w:t>b) Personalized job support</w:t>
            </w:r>
          </w:p>
        </w:tc>
        <w:tc>
          <w:tcPr>
            <w:tcW w:w="386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rHeight w:val="12" w:hRule="exact"/>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Web"/>
              <w:spacing w:beforeAutospacing="0" w:before="0" w:afterAutospacing="0" w:after="0"/>
              <w:rPr>
                <w:rFonts w:ascii="Aptos" w:hAnsi="Aptos" w:asciiTheme="minorHAnsi" w:hAnsiTheme="minorHAnsi"/>
              </w:rPr>
            </w:pPr>
            <w:r>
              <w:rPr>
                <w:rFonts w:ascii="Aptos" w:hAnsi="Aptos" w:asciiTheme="minorHAnsi" w:hAnsiTheme="minorHAnsi"/>
                <w:i/>
                <w:iCs/>
              </w:rPr>
              <w:t>You receive individualised support from a personal employment advisor or career coach.</w:t>
            </w:r>
          </w:p>
        </w:tc>
        <w:tc>
          <w:tcPr>
            <w:tcW w:w="3767" w:type="dxa"/>
            <w:tcBorders>
              <w:left w:val="single" w:sz="4" w:space="0" w:color="000000"/>
              <w:bottom w:val="single" w:sz="4" w:space="0" w:color="000000"/>
              <w:right w:val="single" w:sz="4" w:space="0" w:color="000000"/>
            </w:tcBorders>
          </w:tcPr>
          <w:p>
            <w:pPr>
              <w:pStyle w:val="Standard"/>
              <w:spacing w:lineRule="auto" w:line="240" w:before="0" w:after="0"/>
              <w:rPr>
                <w:rFonts w:ascii="Aptos" w:hAnsi="Aptos" w:asciiTheme="minorHAnsi" w:hAnsiTheme="minorHAnsi"/>
              </w:rPr>
            </w:pPr>
            <w:r>
              <w:rPr>
                <w:rFonts w:asciiTheme="minorHAnsi" w:hAnsiTheme="minorHAnsi"/>
              </w:rPr>
              <w:t>Spain's approach to the coal phase-out involved individualised support for workers as part of the so-called ‘</w:t>
            </w:r>
            <w:r>
              <w:rPr>
                <w:rStyle w:val="Strong"/>
                <w:rFonts w:asciiTheme="minorHAnsi" w:hAnsiTheme="minorHAnsi"/>
                <w:b w:val="false"/>
                <w:bCs w:val="false"/>
              </w:rPr>
              <w:t>Just Transition Agreements’</w:t>
            </w:r>
          </w:p>
        </w:tc>
      </w:tr>
      <w:tr>
        <w:trPr>
          <w:trHeight w:val="998" w:hRule="atLeast"/>
        </w:trPr>
        <w:tc>
          <w:tcPr>
            <w:tcW w:w="1732" w:type="dxa"/>
            <w:tcBorders>
              <w:left w:val="single" w:sz="4" w:space="0" w:color="000000"/>
              <w:bottom w:val="single" w:sz="4" w:space="0" w:color="000000"/>
            </w:tcBorders>
          </w:tcPr>
          <w:p>
            <w:pPr>
              <w:pStyle w:val="Standard"/>
              <w:spacing w:lineRule="auto" w:line="240" w:before="0" w:after="0"/>
              <w:rPr>
                <w:rFonts w:ascii="Aptos" w:hAnsi="Aptos" w:eastAsia="" w:cs="" w:asciiTheme="minorHAnsi" w:cstheme="minorBidi" w:eastAsiaTheme="minorEastAsia" w:hAnsiTheme="minorHAnsi"/>
              </w:rPr>
            </w:pPr>
            <w:r>
              <w:rPr>
                <w:rFonts w:asciiTheme="minorHAnsi" w:hAnsiTheme="minorHAnsi"/>
              </w:rPr>
              <w:t>c) Job transition guarantee</w:t>
            </w:r>
          </w:p>
        </w:tc>
        <w:tc>
          <w:tcPr>
            <w:tcW w:w="3861" w:type="dxa"/>
            <w:tcBorders>
              <w:left w:val="single" w:sz="4" w:space="0" w:color="000000"/>
              <w:bottom w:val="single" w:sz="4" w:space="0" w:color="000000"/>
            </w:tcBorders>
          </w:tcPr>
          <w:p>
            <w:pPr>
              <w:pStyle w:val="NormalWeb"/>
              <w:spacing w:beforeAutospacing="0" w:before="0" w:afterAutospacing="0" w:after="0"/>
              <w:rPr>
                <w:rFonts w:ascii="Aptos" w:hAnsi="Aptos" w:asciiTheme="minorHAnsi" w:hAnsiTheme="minorHAnsi"/>
                <w:i/>
                <w:i/>
                <w:iCs/>
              </w:rPr>
            </w:pPr>
            <w:r>
              <w:rPr>
                <w:rFonts w:ascii="Aptos" w:hAnsi="Aptos" w:asciiTheme="minorHAnsi" w:hAnsiTheme="minorHAnsi"/>
                <w:i/>
                <w:iCs/>
              </w:rPr>
              <w:t xml:space="preserve">You receive a job guarantee in another section for a limited duration period, either in the public or private sector. </w:t>
            </w:r>
          </w:p>
          <w:p>
            <w:pPr>
              <w:pStyle w:val="NormalWeb"/>
              <w:spacing w:beforeAutospacing="0" w:before="0" w:afterAutospacing="0" w:after="0"/>
              <w:rPr>
                <w:rFonts w:ascii="Aptos" w:hAnsi="Aptos" w:asciiTheme="minorHAnsi" w:hAnsiTheme="minorHAnsi"/>
              </w:rPr>
            </w:pPr>
            <w:r>
              <w:rPr>
                <w:rFonts w:asciiTheme="minorHAnsi" w:hAnsiTheme="minorHAnsi" w:ascii="Aptos" w:hAnsi="Aptos"/>
              </w:rPr>
            </w:r>
          </w:p>
        </w:tc>
        <w:tc>
          <w:tcPr>
            <w:tcW w:w="3767" w:type="dxa"/>
            <w:tcBorders>
              <w:left w:val="single" w:sz="4" w:space="0" w:color="000000"/>
              <w:bottom w:val="single" w:sz="4" w:space="0" w:color="000000"/>
              <w:right w:val="single" w:sz="4" w:space="0" w:color="000000"/>
            </w:tcBorders>
          </w:tcPr>
          <w:p>
            <w:pPr>
              <w:pStyle w:val="Normal"/>
              <w:rPr>
                <w:rFonts w:ascii="Aptos" w:hAnsi="Aptos" w:eastAsia="" w:asciiTheme="minorHAnsi" w:eastAsiaTheme="majorEastAsia" w:hAnsiTheme="minorHAnsi"/>
              </w:rPr>
            </w:pPr>
            <w:hyperlink r:id="rId7">
              <w:r>
                <w:rPr>
                  <w:rStyle w:val="Hyperlink"/>
                  <w:rFonts w:ascii="Aptos" w:hAnsi="Aptos" w:asciiTheme="minorHAnsi" w:hAnsiTheme="minorHAnsi"/>
                </w:rPr>
                <w:t>Transition companies</w:t>
              </w:r>
            </w:hyperlink>
            <w:r>
              <w:rPr>
                <w:rFonts w:ascii="Aptos" w:hAnsi="Aptos" w:asciiTheme="minorHAnsi" w:hAnsiTheme="minorHAnsi"/>
                <w:color w:val="000000"/>
              </w:rPr>
              <w:t xml:space="preserve"> in Germany</w:t>
            </w:r>
          </w:p>
        </w:tc>
      </w:tr>
    </w:tbl>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p>
      <w:pPr>
        <w:pStyle w:val="ListParagraph"/>
        <w:numPr>
          <w:ilvl w:val="3"/>
          <w:numId w:val="4"/>
        </w:numPr>
        <w:rPr>
          <w:u w:val="single"/>
        </w:rPr>
      </w:pPr>
      <w:r>
        <w:rPr>
          <w:u w:val="single"/>
        </w:rPr>
        <w:t>(Re-)training support</w:t>
      </w:r>
    </w:p>
    <w:p>
      <w:pPr>
        <w:pStyle w:val="Normal"/>
        <w:rPr>
          <w:rFonts w:ascii="Aptos" w:hAnsi="Aptos" w:asciiTheme="minorHAnsi" w:hAnsiTheme="minorHAnsi"/>
          <w:u w:val="single"/>
        </w:rPr>
      </w:pPr>
      <w:r>
        <w:rPr>
          <w:rFonts w:asciiTheme="minorHAnsi" w:hAnsiTheme="minorHAnsi" w:ascii="Aptos" w:hAnsi="Aptos"/>
          <w:u w:val="single"/>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732"/>
        <w:gridCol w:w="3861"/>
        <w:gridCol w:w="3767"/>
      </w:tblGrid>
      <w:tr>
        <w:trPr>
          <w:trHeight w:val="332" w:hRule="atLeast"/>
        </w:trPr>
        <w:tc>
          <w:tcPr>
            <w:tcW w:w="1732"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Levels</w:t>
            </w:r>
          </w:p>
        </w:tc>
        <w:tc>
          <w:tcPr>
            <w:tcW w:w="3861"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Label</w:t>
            </w:r>
          </w:p>
        </w:tc>
        <w:tc>
          <w:tcPr>
            <w:tcW w:w="3767" w:type="dxa"/>
            <w:tcBorders>
              <w:top w:val="single" w:sz="4" w:space="0" w:color="000000"/>
              <w:left w:val="single" w:sz="4" w:space="0" w:color="000000"/>
              <w:bottom w:val="single" w:sz="4" w:space="0" w:color="000000"/>
              <w:right w:val="single" w:sz="4" w:space="0" w:color="000000"/>
            </w:tcBorders>
          </w:tcPr>
          <w:p>
            <w:pPr>
              <w:pStyle w:val="Standard"/>
              <w:spacing w:before="0" w:after="0"/>
              <w:rPr>
                <w:rFonts w:ascii="Aptos" w:hAnsi="Aptos" w:eastAsia="" w:cs="" w:asciiTheme="minorHAnsi" w:cstheme="minorBidi" w:eastAsiaTheme="minorEastAsia" w:hAnsiTheme="minorHAnsi"/>
                <w:b/>
                <w:bCs/>
              </w:rPr>
            </w:pPr>
            <w:r>
              <w:rPr>
                <w:rFonts w:eastAsia="" w:cs="" w:cstheme="minorBidi" w:eastAsiaTheme="minorEastAsia"/>
                <w:b/>
                <w:bCs/>
              </w:rPr>
              <w:t>Source / Real-world examples</w:t>
            </w:r>
          </w:p>
        </w:tc>
      </w:tr>
      <w:tr>
        <w:trPr>
          <w:trHeight w:val="1074"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a) No training offered</w:t>
            </w:r>
          </w:p>
        </w:tc>
        <w:tc>
          <w:tcPr>
            <w:tcW w:w="3861" w:type="dxa"/>
            <w:tcBorders>
              <w:left w:val="single" w:sz="4" w:space="0" w:color="000000"/>
              <w:bottom w:val="single" w:sz="4" w:space="0" w:color="000000"/>
            </w:tcBorders>
          </w:tcPr>
          <w:p>
            <w:pPr>
              <w:pStyle w:val="NormalWeb"/>
              <w:spacing w:before="0" w:after="280"/>
              <w:rPr>
                <w:rFonts w:ascii="Aptos" w:hAnsi="Aptos" w:asciiTheme="minorHAnsi" w:hAnsiTheme="minorHAnsi"/>
              </w:rPr>
            </w:pPr>
            <w:r>
              <w:rPr>
                <w:rFonts w:ascii="Aptos" w:hAnsi="Aptos" w:asciiTheme="minorHAnsi" w:hAnsiTheme="minorHAnsi"/>
              </w:rPr>
              <w:t xml:space="preserve">You are not offered any (re-)training program as part of the transition. </w:t>
            </w:r>
          </w:p>
          <w:p>
            <w:pPr>
              <w:pStyle w:val="Normal"/>
              <w:rPr>
                <w:rFonts w:ascii="Aptos" w:hAnsi="Aptos" w:asciiTheme="minorHAnsi" w:hAnsiTheme="minorHAnsi"/>
                <w:i/>
                <w:i/>
                <w:iCs/>
                <w:vanish/>
              </w:rPr>
            </w:pPr>
            <w:r>
              <w:rPr>
                <w:rFonts w:asciiTheme="minorHAnsi" w:hAnsiTheme="minorHAnsi" w:ascii="Aptos" w:hAnsi="Aptos"/>
                <w:i/>
                <w:iCs/>
                <w:vanish/>
              </w:rPr>
            </w:r>
          </w:p>
          <w:p>
            <w:pPr>
              <w:pStyle w:val="Standard"/>
              <w:spacing w:lineRule="auto" w:line="240" w:before="0" w:after="0"/>
              <w:rPr>
                <w:rFonts w:ascii="Aptos" w:hAnsi="Aptos" w:asciiTheme="minorHAnsi" w:hAnsiTheme="minorHAnsi"/>
                <w:i/>
                <w:i/>
                <w:iCs/>
              </w:rPr>
            </w:pPr>
            <w:r>
              <w:rPr>
                <w:rFonts w:asciiTheme="minorHAnsi" w:hAnsiTheme="minorHAnsi"/>
                <w:i/>
                <w:iCs/>
              </w:rPr>
            </w:r>
          </w:p>
        </w:tc>
        <w:tc>
          <w:tcPr>
            <w:tcW w:w="3767"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Standard"/>
              <w:spacing w:before="0" w:after="0"/>
              <w:rPr>
                <w:rFonts w:ascii="Aptos" w:hAnsi="Aptos" w:asciiTheme="minorHAnsi" w:hAnsiTheme="minorHAnsi"/>
              </w:rPr>
            </w:pPr>
            <w:r>
              <w:rPr>
                <w:rStyle w:val="Strong"/>
                <w:rFonts w:asciiTheme="minorHAnsi" w:hAnsiTheme="minorHAnsi"/>
              </w:rPr>
              <w:t>Baseline condition</w:t>
            </w:r>
            <w:r>
              <w:rPr>
                <w:rStyle w:val="Strong"/>
                <w:rFonts w:asciiTheme="minorHAnsi" w:hAnsiTheme="minorHAnsi"/>
                <w:b w:val="false"/>
                <w:bCs w:val="false"/>
              </w:rPr>
              <w:t xml:space="preserve"> </w:t>
            </w:r>
          </w:p>
        </w:tc>
      </w:tr>
      <w:tr>
        <w:trPr>
          <w:trHeight w:val="498"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b) Basic training (entry-level)</w:t>
            </w:r>
          </w:p>
        </w:tc>
        <w:tc>
          <w:tcPr>
            <w:tcW w:w="386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Web"/>
              <w:spacing w:before="0" w:after="280"/>
              <w:rPr>
                <w:rFonts w:ascii="Aptos" w:hAnsi="Aptos" w:asciiTheme="minorHAnsi" w:hAnsiTheme="minorHAnsi"/>
              </w:rPr>
            </w:pPr>
            <w:r>
              <w:rPr>
                <w:rFonts w:ascii="Aptos" w:hAnsi="Aptos" w:asciiTheme="minorHAnsi" w:hAnsiTheme="minorHAnsi"/>
              </w:rPr>
              <w:t xml:space="preserve">You receive short-term training or apprenticeship to help you secure a job in low-skilled services (e.g., logistics, care work). </w:t>
            </w:r>
          </w:p>
          <w:p>
            <w:pPr>
              <w:pStyle w:val="Normal"/>
              <w:rPr>
                <w:rFonts w:ascii="Aptos" w:hAnsi="Aptos" w:asciiTheme="minorHAnsi" w:hAnsiTheme="minorHAnsi"/>
                <w:i/>
                <w:i/>
                <w:iCs/>
                <w:vanish/>
              </w:rPr>
            </w:pPr>
            <w:r>
              <w:rPr>
                <w:rFonts w:asciiTheme="minorHAnsi" w:hAnsiTheme="minorHAnsi" w:ascii="Aptos" w:hAnsi="Aptos"/>
                <w:i/>
                <w:iCs/>
                <w:vanish/>
              </w:rPr>
            </w:r>
          </w:p>
          <w:p>
            <w:pPr>
              <w:pStyle w:val="NormalWeb"/>
              <w:spacing w:beforeAutospacing="0" w:before="0" w:afterAutospacing="0" w:after="0"/>
              <w:rPr>
                <w:rFonts w:ascii="Aptos" w:hAnsi="Aptos" w:asciiTheme="minorHAnsi" w:hAnsiTheme="minorHAnsi"/>
                <w:i/>
                <w:i/>
                <w:iCs/>
              </w:rPr>
            </w:pPr>
            <w:r>
              <w:rPr>
                <w:rFonts w:asciiTheme="minorHAnsi" w:hAnsiTheme="minorHAnsi" w:ascii="Aptos" w:hAnsi="Aptos"/>
                <w:i/>
                <w:iCs/>
              </w:rPr>
            </w:r>
          </w:p>
        </w:tc>
        <w:tc>
          <w:tcPr>
            <w:tcW w:w="3767"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NormalWeb"/>
              <w:shd w:val="clear" w:color="auto" w:fill="FFFFFF"/>
              <w:spacing w:beforeAutospacing="0" w:before="0" w:afterAutospacing="0" w:after="0"/>
              <w:textAlignment w:val="baseline"/>
              <w:rPr>
                <w:rFonts w:ascii="Aptos" w:hAnsi="Aptos" w:asciiTheme="minorHAnsi" w:hAnsiTheme="minorHAnsi"/>
                <w:color w:val="000000"/>
                <w:lang w:val="en-US"/>
              </w:rPr>
            </w:pPr>
            <w:r>
              <w:rPr>
                <w:rFonts w:ascii="Aptos" w:hAnsi="Aptos" w:asciiTheme="minorHAnsi" w:hAnsiTheme="minorHAnsi"/>
                <w:color w:val="000000"/>
                <w:lang w:val="en-US"/>
              </w:rPr>
              <w:t>TBD</w:t>
            </w:r>
          </w:p>
        </w:tc>
      </w:tr>
      <w:tr>
        <w:trPr>
          <w:trHeight w:val="346"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c) Advanced training</w:t>
            </w:r>
          </w:p>
        </w:tc>
        <w:tc>
          <w:tcPr>
            <w:tcW w:w="386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p>
            <w:pPr>
              <w:pStyle w:val="NormalWeb"/>
              <w:spacing w:before="280" w:after="0"/>
              <w:rPr>
                <w:rFonts w:ascii="Aptos" w:hAnsi="Aptos" w:asciiTheme="minorHAnsi" w:hAnsiTheme="minorHAnsi"/>
              </w:rPr>
            </w:pPr>
            <w:r>
              <w:rPr>
                <w:rFonts w:ascii="Aptos" w:hAnsi="Aptos" w:asciiTheme="minorHAnsi" w:hAnsiTheme="minorHAnsi"/>
              </w:rPr>
              <w:t>You receive vocational or educational upskilling to help you shift to a higher-skilled profession (e.g., technician, engineer).</w:t>
            </w:r>
          </w:p>
        </w:tc>
        <w:tc>
          <w:tcPr>
            <w:tcW w:w="3767" w:type="dxa"/>
            <w:tcBorders>
              <w:left w:val="single" w:sz="4" w:space="0" w:color="000000"/>
              <w:bottom w:val="single" w:sz="4" w:space="0" w:color="000000"/>
              <w:right w:val="single" w:sz="4" w:space="0" w:color="000000"/>
            </w:tcBorders>
          </w:tcPr>
          <w:p>
            <w:pPr>
              <w:pStyle w:val="Standard"/>
              <w:spacing w:before="0" w:after="0"/>
              <w:rPr>
                <w:rFonts w:ascii="Aptos" w:hAnsi="Aptos" w:asciiTheme="minorHAnsi" w:hAnsiTheme="minorHAnsi"/>
              </w:rPr>
            </w:pPr>
            <w:r>
              <w:rPr>
                <w:rFonts w:asciiTheme="minorHAnsi" w:hAnsiTheme="minorHAnsi"/>
                <w:color w:val="000000"/>
              </w:rPr>
              <w:t>TBD</w:t>
            </w:r>
          </w:p>
        </w:tc>
      </w:tr>
    </w:tbl>
    <w:p>
      <w:pPr>
        <w:pStyle w:val="Normal"/>
        <w:rPr>
          <w:rFonts w:ascii="Aptos" w:hAnsi="Aptos" w:asciiTheme="minorHAnsi" w:hAnsiTheme="minorHAnsi"/>
          <w:u w:val="single"/>
        </w:rPr>
      </w:pPr>
      <w:r>
        <w:rPr>
          <w:rFonts w:asciiTheme="minorHAnsi" w:hAnsiTheme="minorHAnsi" w:ascii="Aptos" w:hAnsi="Aptos"/>
          <w:u w:val="single"/>
        </w:rPr>
      </w:r>
    </w:p>
    <w:p>
      <w:pPr>
        <w:pStyle w:val="Normal"/>
        <w:rPr>
          <w:rFonts w:ascii="Aptos" w:hAnsi="Aptos" w:asciiTheme="minorHAnsi" w:hAnsiTheme="minorHAnsi"/>
          <w:u w:val="single"/>
        </w:rPr>
      </w:pPr>
      <w:r>
        <w:rPr>
          <w:rFonts w:asciiTheme="minorHAnsi" w:hAnsiTheme="minorHAnsi" w:ascii="Aptos" w:hAnsi="Aptos"/>
          <w:u w:val="single"/>
        </w:rPr>
      </w:r>
    </w:p>
    <w:p>
      <w:pPr>
        <w:pStyle w:val="ListParagraph"/>
        <w:numPr>
          <w:ilvl w:val="3"/>
          <w:numId w:val="4"/>
        </w:numPr>
        <w:rPr>
          <w:u w:val="single"/>
        </w:rPr>
      </w:pPr>
      <w:r>
        <w:rPr>
          <w:u w:val="single"/>
        </w:rPr>
        <w:t>Location of the new activity</w:t>
      </w:r>
    </w:p>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732"/>
        <w:gridCol w:w="3861"/>
        <w:gridCol w:w="3767"/>
      </w:tblGrid>
      <w:tr>
        <w:trPr>
          <w:trHeight w:val="332" w:hRule="atLeast"/>
        </w:trPr>
        <w:tc>
          <w:tcPr>
            <w:tcW w:w="1732"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Levels</w:t>
            </w:r>
          </w:p>
        </w:tc>
        <w:tc>
          <w:tcPr>
            <w:tcW w:w="3861"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Label</w:t>
            </w:r>
          </w:p>
        </w:tc>
        <w:tc>
          <w:tcPr>
            <w:tcW w:w="3767" w:type="dxa"/>
            <w:tcBorders>
              <w:top w:val="single" w:sz="4" w:space="0" w:color="000000"/>
              <w:left w:val="single" w:sz="4" w:space="0" w:color="000000"/>
              <w:bottom w:val="single" w:sz="4" w:space="0" w:color="000000"/>
              <w:right w:val="single" w:sz="4" w:space="0" w:color="000000"/>
            </w:tcBorders>
          </w:tcPr>
          <w:p>
            <w:pPr>
              <w:pStyle w:val="Standard"/>
              <w:spacing w:before="0" w:after="0"/>
              <w:rPr>
                <w:rFonts w:ascii="Aptos" w:hAnsi="Aptos" w:eastAsia="" w:cs="" w:asciiTheme="minorHAnsi" w:cstheme="minorBidi" w:eastAsiaTheme="minorEastAsia" w:hAnsiTheme="minorHAnsi"/>
                <w:b/>
                <w:bCs/>
              </w:rPr>
            </w:pPr>
            <w:r>
              <w:rPr>
                <w:rFonts w:eastAsia="" w:cs="" w:cstheme="minorBidi" w:eastAsiaTheme="minorEastAsia"/>
                <w:b/>
                <w:bCs/>
              </w:rPr>
              <w:t>Source / Real-world examples</w:t>
            </w:r>
          </w:p>
        </w:tc>
      </w:tr>
      <w:tr>
        <w:trPr>
          <w:trHeight w:val="1074"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 xml:space="preserve">a) </w:t>
            </w:r>
            <w:r>
              <w:rPr>
                <w:rFonts w:asciiTheme="minorHAnsi" w:hAnsiTheme="minorHAnsi"/>
              </w:rPr>
              <w:t>In your area: commute time under 30 minutes a day</w:t>
            </w:r>
          </w:p>
        </w:tc>
        <w:tc>
          <w:tcPr>
            <w:tcW w:w="386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Standard"/>
              <w:spacing w:lineRule="auto" w:line="240" w:before="0" w:after="0"/>
              <w:rPr>
                <w:rFonts w:ascii="Aptos" w:hAnsi="Aptos" w:asciiTheme="minorHAnsi" w:hAnsiTheme="minorHAnsi"/>
                <w:i/>
                <w:i/>
                <w:iCs/>
              </w:rPr>
            </w:pPr>
            <w:r>
              <w:rPr>
                <w:rFonts w:asciiTheme="minorHAnsi" w:hAnsiTheme="minorHAnsi"/>
                <w:i/>
                <w:iCs/>
              </w:rPr>
              <w:t>Y</w:t>
            </w:r>
            <w:r>
              <w:rPr>
                <w:rFonts w:asciiTheme="minorHAnsi" w:hAnsiTheme="minorHAnsi"/>
                <w:i/>
                <w:iCs/>
              </w:rPr>
              <w:t>our new activity is nearby and requires no more than 30 minutes of commuting each day.</w:t>
            </w:r>
          </w:p>
        </w:tc>
        <w:tc>
          <w:tcPr>
            <w:tcW w:w="3767"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Standard"/>
              <w:spacing w:before="0" w:after="0"/>
              <w:rPr>
                <w:rFonts w:ascii="Aptos" w:hAnsi="Aptos" w:asciiTheme="minorHAnsi" w:hAnsiTheme="minorHAnsi"/>
              </w:rPr>
            </w:pPr>
            <w:r>
              <w:rPr>
                <w:rStyle w:val="Strong"/>
                <w:rFonts w:asciiTheme="minorHAnsi" w:hAnsiTheme="minorHAnsi"/>
              </w:rPr>
              <w:t>Baseline condition</w:t>
            </w:r>
            <w:r>
              <w:rPr>
                <w:rStyle w:val="Strong"/>
                <w:rFonts w:asciiTheme="minorHAnsi" w:hAnsiTheme="minorHAnsi"/>
                <w:b w:val="false"/>
                <w:bCs w:val="false"/>
              </w:rPr>
              <w:t xml:space="preserve"> </w:t>
            </w:r>
            <w:r>
              <w:rPr>
                <w:rFonts w:asciiTheme="minorHAnsi" w:hAnsiTheme="minorHAnsi"/>
              </w:rPr>
              <w:t>in most countries where relocation is voluntary and unsupported.</w:t>
            </w:r>
          </w:p>
          <w:p>
            <w:pPr>
              <w:pStyle w:val="Standard"/>
              <w:spacing w:before="0" w:after="0"/>
              <w:rPr>
                <w:rFonts w:ascii="Aptos" w:hAnsi="Aptos" w:asciiTheme="minorHAnsi" w:hAnsiTheme="minorHAnsi"/>
              </w:rPr>
            </w:pPr>
            <w:r>
              <w:rPr>
                <w:rFonts w:asciiTheme="minorHAnsi" w:hAnsiTheme="minorHAnsi"/>
              </w:rPr>
            </w:r>
          </w:p>
          <w:p>
            <w:pPr>
              <w:pStyle w:val="Standard"/>
              <w:spacing w:before="0" w:after="0"/>
              <w:rPr>
                <w:rFonts w:ascii="Aptos" w:hAnsi="Aptos" w:asciiTheme="minorHAnsi" w:hAnsiTheme="minorHAnsi"/>
              </w:rPr>
            </w:pPr>
            <w:r>
              <w:rPr>
                <w:rFonts w:eastAsia="" w:cs="" w:cstheme="minorBidi" w:eastAsiaTheme="minorEastAsia"/>
              </w:rPr>
              <w:t>Blankenship et al. (2022)</w:t>
            </w:r>
          </w:p>
        </w:tc>
      </w:tr>
      <w:tr>
        <w:trPr>
          <w:trHeight w:val="498"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 xml:space="preserve">b) </w:t>
            </w:r>
            <w:r>
              <w:rPr>
                <w:rFonts w:asciiTheme="minorHAnsi" w:hAnsiTheme="minorHAnsi"/>
              </w:rPr>
              <w:t>In neighbouring area: commuting time beteen  of 1 and 2 hours a day</w:t>
            </w:r>
          </w:p>
        </w:tc>
        <w:tc>
          <w:tcPr>
            <w:tcW w:w="3861"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
              <w:rPr>
                <w:rFonts w:ascii="Aptos" w:hAnsi="Aptos" w:asciiTheme="minorHAnsi" w:hAnsiTheme="minorHAnsi"/>
                <w:vanish/>
              </w:rPr>
            </w:pPr>
            <w:r>
              <w:rPr>
                <w:rFonts w:asciiTheme="minorHAnsi" w:hAnsiTheme="minorHAnsi" w:ascii="Aptos" w:hAnsi="Aptos"/>
                <w:vanish/>
              </w:rPr>
            </w:r>
          </w:p>
          <w:p>
            <w:pPr>
              <w:pStyle w:val="NormalWeb"/>
              <w:spacing w:beforeAutospacing="0" w:before="0" w:afterAutospacing="0" w:after="0"/>
              <w:rPr>
                <w:rFonts w:ascii="Aptos" w:hAnsi="Aptos" w:asciiTheme="minorHAnsi" w:hAnsiTheme="minorHAnsi"/>
              </w:rPr>
            </w:pPr>
            <w:r>
              <w:rPr>
                <w:rFonts w:ascii="Aptos" w:hAnsi="Aptos" w:asciiTheme="minorHAnsi" w:hAnsiTheme="minorHAnsi"/>
              </w:rPr>
              <w:t xml:space="preserve">Your new activity is located in a neighbouring area within </w:t>
            </w:r>
            <w:r>
              <w:rPr>
                <w:rFonts w:ascii="Aptos" w:hAnsi="Aptos" w:asciiTheme="minorHAnsi" w:hAnsiTheme="minorHAnsi"/>
              </w:rPr>
              <w:t>1 to 2 hours</w:t>
            </w:r>
            <w:r>
              <w:rPr>
                <w:rFonts w:ascii="Aptos" w:hAnsi="Aptos" w:asciiTheme="minorHAnsi" w:hAnsiTheme="minorHAnsi"/>
              </w:rPr>
              <w:t xml:space="preserve"> commuting distance. </w:t>
            </w:r>
          </w:p>
          <w:p>
            <w:pPr>
              <w:pStyle w:val="Normal"/>
              <w:rPr>
                <w:rFonts w:ascii="Aptos" w:hAnsi="Aptos" w:asciiTheme="minorHAnsi" w:hAnsiTheme="minorHAnsi"/>
                <w:i/>
                <w:i/>
                <w:iCs/>
                <w:vanish/>
              </w:rPr>
            </w:pPr>
            <w:r>
              <w:rPr>
                <w:rFonts w:asciiTheme="minorHAnsi" w:hAnsiTheme="minorHAnsi" w:ascii="Aptos" w:hAnsi="Aptos"/>
                <w:i/>
                <w:iCs/>
                <w:vanish/>
              </w:rPr>
            </w:r>
          </w:p>
          <w:p>
            <w:pPr>
              <w:pStyle w:val="NormalWeb"/>
              <w:spacing w:beforeAutospacing="0" w:before="0" w:afterAutospacing="0" w:after="0"/>
              <w:rPr>
                <w:rFonts w:ascii="Aptos" w:hAnsi="Aptos" w:asciiTheme="minorHAnsi" w:hAnsiTheme="minorHAnsi"/>
                <w:i/>
                <w:i/>
                <w:iCs/>
              </w:rPr>
            </w:pPr>
            <w:r>
              <w:rPr>
                <w:rFonts w:asciiTheme="minorHAnsi" w:hAnsiTheme="minorHAnsi" w:ascii="Aptos" w:hAnsi="Aptos"/>
                <w:i/>
                <w:iCs/>
              </w:rPr>
              <w:t xml:space="preserve">                   </w:t>
            </w:r>
          </w:p>
        </w:tc>
        <w:tc>
          <w:tcPr>
            <w:tcW w:w="3767"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highlight w:val="cyan"/>
              </w:rPr>
            </w:pPr>
            <w:r>
              <w:rPr>
                <w:rFonts w:asciiTheme="minorHAnsi" w:hAnsiTheme="minorHAnsi" w:ascii="Aptos" w:hAnsi="Aptos"/>
                <w:vanish/>
                <w:highlight w:val="cyan"/>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highlight w:val="cyan"/>
                    </w:rPr>
                  </w:pPr>
                  <w:r>
                    <w:rPr>
                      <w:rFonts w:asciiTheme="minorHAnsi" w:hAnsiTheme="minorHAnsi" w:ascii="Aptos" w:hAnsi="Aptos"/>
                      <w:highlight w:val="cyan"/>
                    </w:rPr>
                  </w:r>
                </w:p>
              </w:tc>
            </w:tr>
          </w:tbl>
          <w:p>
            <w:pPr>
              <w:pStyle w:val="NormalWeb"/>
              <w:shd w:val="clear" w:color="auto" w:fill="FFFFFF"/>
              <w:spacing w:beforeAutospacing="0" w:before="0" w:afterAutospacing="0" w:after="0"/>
              <w:textAlignment w:val="baseline"/>
              <w:rPr>
                <w:rFonts w:ascii="Aptos" w:hAnsi="Aptos" w:asciiTheme="minorHAnsi" w:hAnsiTheme="minorHAnsi"/>
                <w:color w:val="000000"/>
                <w:highlight w:val="cyan"/>
                <w:lang w:val="en-US"/>
              </w:rPr>
            </w:pPr>
            <w:r>
              <w:rPr>
                <w:rFonts w:ascii="Aptos" w:hAnsi="Aptos" w:asciiTheme="minorHAnsi" w:hAnsiTheme="minorHAnsi"/>
                <w:color w:val="000000"/>
                <w:highlight w:val="cyan"/>
                <w:lang w:val="en-US"/>
              </w:rPr>
              <w:t>TBD</w:t>
            </w:r>
          </w:p>
        </w:tc>
      </w:tr>
      <w:tr>
        <w:trPr>
          <w:trHeight w:val="346" w:hRule="atLeast"/>
        </w:trPr>
        <w:tc>
          <w:tcPr>
            <w:tcW w:w="1732"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c) Other region</w:t>
            </w:r>
          </w:p>
        </w:tc>
        <w:tc>
          <w:tcPr>
            <w:tcW w:w="3861" w:type="dxa"/>
            <w:tcBorders>
              <w:left w:val="single" w:sz="4" w:space="0" w:color="000000"/>
              <w:bottom w:val="single" w:sz="4" w:space="0" w:color="000000"/>
            </w:tcBorders>
          </w:tcPr>
          <w:p>
            <w:pPr>
              <w:pStyle w:val="NormalWeb"/>
              <w:spacing w:beforeAutospacing="0" w:before="0" w:afterAutospacing="0" w:after="0"/>
              <w:rPr>
                <w:rFonts w:ascii="Aptos" w:hAnsi="Aptos" w:asciiTheme="minorHAnsi" w:hAnsiTheme="minorHAnsi"/>
              </w:rPr>
            </w:pPr>
            <w:r>
              <w:rPr>
                <w:rFonts w:ascii="Aptos" w:hAnsi="Aptos" w:asciiTheme="minorHAnsi" w:hAnsiTheme="minorHAnsi"/>
              </w:rPr>
              <w:t xml:space="preserve">Your new activity requires you to relocate to another region. </w:t>
            </w:r>
          </w:p>
          <w:p>
            <w:pPr>
              <w:pStyle w:val="Standard"/>
              <w:spacing w:lineRule="auto" w:line="240" w:before="0" w:after="0"/>
              <w:rPr>
                <w:rFonts w:ascii="Aptos" w:hAnsi="Aptos" w:asciiTheme="minorHAnsi" w:hAnsiTheme="minorHAnsi"/>
                <w:i/>
                <w:i/>
                <w:iCs/>
              </w:rPr>
            </w:pPr>
            <w:r>
              <w:rPr>
                <w:rFonts w:asciiTheme="minorHAnsi" w:hAnsiTheme="minorHAnsi"/>
                <w:i/>
                <w:iCs/>
              </w:rPr>
              <w:t xml:space="preserve">                                                 </w:t>
            </w:r>
          </w:p>
        </w:tc>
        <w:tc>
          <w:tcPr>
            <w:tcW w:w="3767" w:type="dxa"/>
            <w:tcBorders>
              <w:left w:val="single" w:sz="4" w:space="0" w:color="000000"/>
              <w:bottom w:val="single" w:sz="4" w:space="0" w:color="000000"/>
              <w:right w:val="single" w:sz="4" w:space="0" w:color="000000"/>
            </w:tcBorders>
          </w:tcPr>
          <w:p>
            <w:pPr>
              <w:pStyle w:val="Standard"/>
              <w:spacing w:before="0" w:after="0"/>
              <w:rPr>
                <w:rFonts w:ascii="Aptos" w:hAnsi="Aptos" w:asciiTheme="minorHAnsi" w:hAnsiTheme="minorHAnsi"/>
                <w:highlight w:val="cyan"/>
              </w:rPr>
            </w:pPr>
            <w:r>
              <w:rPr>
                <w:rFonts w:asciiTheme="minorHAnsi" w:hAnsiTheme="minorHAnsi"/>
                <w:color w:val="000000"/>
                <w:highlight w:val="cyan"/>
              </w:rPr>
              <w:t>TBD</w:t>
            </w:r>
          </w:p>
        </w:tc>
      </w:tr>
    </w:tbl>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p>
      <w:pPr>
        <w:pStyle w:val="Normal"/>
        <w:spacing w:lineRule="auto" w:line="276"/>
        <w:rPr>
          <w:rFonts w:ascii="Aptos" w:hAnsi="Aptos" w:eastAsia="" w:cs="" w:asciiTheme="minorHAnsi" w:cstheme="minorBidi" w:eastAsiaTheme="minorEastAsia" w:hAnsiTheme="minorHAnsi"/>
          <w:lang w:eastAsia="ja-JP"/>
        </w:rPr>
      </w:pPr>
      <w:r>
        <w:rPr>
          <w:rFonts w:eastAsia="" w:cs="" w:cstheme="minorBidi" w:eastAsiaTheme="minorEastAsia" w:ascii="Aptos" w:hAnsi="Aptos"/>
          <w:lang w:eastAsia="ja-JP"/>
        </w:rPr>
      </w:r>
    </w:p>
    <w:p>
      <w:pPr>
        <w:pStyle w:val="ListParagraph"/>
        <w:numPr>
          <w:ilvl w:val="3"/>
          <w:numId w:val="4"/>
        </w:numPr>
        <w:rPr/>
      </w:pPr>
      <w:r>
        <w:rPr>
          <w:u w:val="single"/>
        </w:rPr>
        <w:t>Community investment</w:t>
      </w:r>
    </w:p>
    <w:p>
      <w:pPr>
        <w:pStyle w:val="Normal"/>
        <w:rPr>
          <w:rFonts w:ascii="Aptos" w:hAnsi="Aptos" w:asciiTheme="minorHAnsi" w:hAnsiTheme="minorHAnsi"/>
        </w:rPr>
      </w:pPr>
      <w:r>
        <w:rPr>
          <w:rFonts w:asciiTheme="minorHAnsi" w:hAnsiTheme="minorHAnsi" w:ascii="Aptos" w:hAnsi="Aptos"/>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731"/>
        <w:gridCol w:w="2788"/>
        <w:gridCol w:w="4841"/>
      </w:tblGrid>
      <w:tr>
        <w:trPr>
          <w:trHeight w:val="332" w:hRule="atLeast"/>
        </w:trPr>
        <w:tc>
          <w:tcPr>
            <w:tcW w:w="1731"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Levels</w:t>
            </w:r>
          </w:p>
        </w:tc>
        <w:tc>
          <w:tcPr>
            <w:tcW w:w="2788"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Label</w:t>
            </w:r>
          </w:p>
        </w:tc>
        <w:tc>
          <w:tcPr>
            <w:tcW w:w="4841" w:type="dxa"/>
            <w:tcBorders>
              <w:top w:val="single" w:sz="4" w:space="0" w:color="000000"/>
              <w:left w:val="single" w:sz="4" w:space="0" w:color="000000"/>
              <w:bottom w:val="single" w:sz="4" w:space="0" w:color="000000"/>
              <w:right w:val="single" w:sz="4" w:space="0" w:color="000000"/>
            </w:tcBorders>
          </w:tcPr>
          <w:p>
            <w:pPr>
              <w:pStyle w:val="Standard"/>
              <w:spacing w:before="0" w:after="0"/>
              <w:rPr>
                <w:rFonts w:ascii="Aptos" w:hAnsi="Aptos" w:eastAsia="" w:cs="" w:asciiTheme="minorHAnsi" w:cstheme="minorBidi" w:eastAsiaTheme="minorEastAsia" w:hAnsiTheme="minorHAnsi"/>
                <w:b/>
                <w:bCs/>
              </w:rPr>
            </w:pPr>
            <w:r>
              <w:rPr>
                <w:rFonts w:eastAsia="" w:cs="" w:cstheme="minorBidi" w:eastAsiaTheme="minorEastAsia"/>
                <w:b/>
                <w:bCs/>
              </w:rPr>
              <w:t>Source / Real-world examples</w:t>
            </w:r>
          </w:p>
        </w:tc>
      </w:tr>
      <w:tr>
        <w:trPr>
          <w:trHeight w:val="1074" w:hRule="atLeast"/>
        </w:trPr>
        <w:tc>
          <w:tcPr>
            <w:tcW w:w="1731"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a) No investment</w:t>
            </w:r>
          </w:p>
        </w:tc>
        <w:tc>
          <w:tcPr>
            <w:tcW w:w="2788"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Web"/>
              <w:spacing w:beforeAutospacing="0" w:before="0" w:afterAutospacing="0" w:after="0"/>
              <w:rPr>
                <w:rFonts w:ascii="Aptos" w:hAnsi="Aptos" w:asciiTheme="minorHAnsi" w:hAnsiTheme="minorHAnsi"/>
                <w:color w:val="000000"/>
              </w:rPr>
            </w:pPr>
            <w:r>
              <w:rPr>
                <w:rFonts w:ascii="Aptos" w:hAnsi="Aptos" w:asciiTheme="minorHAnsi" w:hAnsiTheme="minorHAnsi"/>
                <w:color w:val="000000"/>
              </w:rPr>
              <w:t>No additional government investment is targeting the local community.</w:t>
            </w:r>
          </w:p>
          <w:p>
            <w:pPr>
              <w:pStyle w:val="NormalWeb"/>
              <w:spacing w:before="280" w:after="0"/>
              <w:rPr>
                <w:rFonts w:ascii="Aptos" w:hAnsi="Aptos" w:asciiTheme="minorHAnsi" w:hAnsiTheme="minorHAnsi"/>
                <w:i/>
                <w:i/>
                <w:iCs/>
              </w:rPr>
            </w:pPr>
            <w:r>
              <w:rPr>
                <w:rFonts w:asciiTheme="minorHAnsi" w:hAnsiTheme="minorHAnsi" w:ascii="Aptos" w:hAnsi="Aptos"/>
                <w:i/>
                <w:iCs/>
              </w:rPr>
            </w:r>
          </w:p>
        </w:tc>
        <w:tc>
          <w:tcPr>
            <w:tcW w:w="4841"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Standard"/>
              <w:spacing w:before="0" w:after="0"/>
              <w:rPr>
                <w:rFonts w:ascii="Aptos" w:hAnsi="Aptos" w:asciiTheme="minorHAnsi" w:hAnsiTheme="minorHAnsi"/>
              </w:rPr>
            </w:pPr>
            <w:r>
              <w:rPr>
                <w:rStyle w:val="Strong"/>
                <w:rFonts w:asciiTheme="minorHAnsi" w:hAnsiTheme="minorHAnsi"/>
              </w:rPr>
              <w:t>Baseline condition</w:t>
            </w:r>
            <w:r>
              <w:rPr>
                <w:rStyle w:val="Strong"/>
                <w:rFonts w:asciiTheme="minorHAnsi" w:hAnsiTheme="minorHAnsi"/>
                <w:b w:val="false"/>
                <w:bCs w:val="false"/>
              </w:rPr>
              <w:t xml:space="preserve"> for an un-managed transition.</w:t>
            </w:r>
          </w:p>
        </w:tc>
      </w:tr>
      <w:tr>
        <w:trPr>
          <w:trHeight w:val="498" w:hRule="atLeast"/>
        </w:trPr>
        <w:tc>
          <w:tcPr>
            <w:tcW w:w="1731" w:type="dxa"/>
            <w:tcBorders>
              <w:left w:val="single" w:sz="4" w:space="0" w:color="000000"/>
              <w:bottom w:val="single" w:sz="4" w:space="0" w:color="000000"/>
            </w:tcBorders>
          </w:tcPr>
          <w:p>
            <w:pPr>
              <w:pStyle w:val="Standard"/>
              <w:spacing w:before="0" w:after="0"/>
              <w:rPr>
                <w:rFonts w:ascii="Aptos" w:hAnsi="Aptos" w:asciiTheme="minorHAnsi" w:hAnsiTheme="minorHAnsi"/>
              </w:rPr>
            </w:pPr>
            <w:commentRangeStart w:id="2"/>
            <w:r>
              <w:rPr>
                <w:rFonts w:asciiTheme="minorHAnsi" w:hAnsiTheme="minorHAnsi"/>
              </w:rPr>
              <w:t>b) Green job-creating investment</w:t>
            </w:r>
          </w:p>
        </w:tc>
        <w:tc>
          <w:tcPr>
            <w:tcW w:w="2788"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
              <w:rPr>
                <w:rFonts w:ascii="Aptos" w:hAnsi="Aptos" w:asciiTheme="minorHAnsi" w:hAnsiTheme="minorHAnsi"/>
                <w:vanish/>
              </w:rPr>
            </w:pPr>
            <w:r>
              <w:rPr>
                <w:rFonts w:asciiTheme="minorHAnsi" w:hAnsiTheme="minorHAnsi" w:ascii="Aptos" w:hAnsi="Aptos"/>
                <w:vanish/>
              </w:rPr>
            </w:r>
          </w:p>
          <w:p>
            <w:pPr>
              <w:pStyle w:val="NormalWeb"/>
              <w:spacing w:beforeAutospacing="0" w:before="0" w:afterAutospacing="0" w:after="0"/>
              <w:rPr>
                <w:rFonts w:ascii="Aptos" w:hAnsi="Aptos" w:asciiTheme="minorHAnsi" w:hAnsiTheme="minorHAnsi"/>
                <w:color w:val="000000"/>
              </w:rPr>
            </w:pPr>
            <w:r>
              <w:rPr>
                <w:rFonts w:ascii="Aptos" w:hAnsi="Aptos" w:asciiTheme="minorHAnsi" w:hAnsiTheme="minorHAnsi"/>
                <w:color w:val="000000"/>
              </w:rPr>
              <w:t>The government invests in renewable industries to attract or retrain workers.</w:t>
            </w:r>
          </w:p>
          <w:p>
            <w:pPr>
              <w:pStyle w:val="NormalWeb"/>
              <w:spacing w:beforeAutospacing="0" w:before="0" w:afterAutospacing="0" w:after="0"/>
              <w:rPr>
                <w:rFonts w:ascii="Aptos" w:hAnsi="Aptos" w:asciiTheme="minorHAnsi" w:hAnsiTheme="minorHAnsi"/>
                <w:i/>
                <w:i/>
                <w:iCs/>
              </w:rPr>
            </w:pPr>
            <w:r>
              <w:rPr>
                <w:rFonts w:asciiTheme="minorHAnsi" w:hAnsiTheme="minorHAnsi" w:ascii="Aptos" w:hAnsi="Aptos"/>
                <w:i/>
                <w:iCs/>
              </w:rPr>
            </w:r>
          </w:p>
        </w:tc>
        <w:tc>
          <w:tcPr>
            <w:tcW w:w="4841"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NormalWeb"/>
              <w:spacing w:beforeAutospacing="0" w:before="0" w:afterAutospacing="0" w:after="0"/>
              <w:rPr>
                <w:rFonts w:ascii="Aptos" w:hAnsi="Aptos" w:asciiTheme="minorHAnsi" w:hAnsiTheme="minorHAnsi"/>
                <w:color w:val="000000"/>
              </w:rPr>
            </w:pPr>
            <w:r>
              <w:rPr>
                <w:rFonts w:ascii="Aptos" w:hAnsi="Aptos" w:asciiTheme="minorHAnsi" w:hAnsiTheme="minorHAnsi"/>
                <w:color w:val="000000"/>
              </w:rPr>
              <w:t xml:space="preserve">In </w:t>
            </w:r>
            <w:hyperlink r:id="rId8">
              <w:r>
                <w:rPr>
                  <w:rStyle w:val="Hyperlink"/>
                  <w:rFonts w:ascii="Aptos" w:hAnsi="Aptos" w:asciiTheme="minorHAnsi" w:hAnsiTheme="minorHAnsi"/>
                </w:rPr>
                <w:t>Asturias</w:t>
              </w:r>
            </w:hyperlink>
            <w:r>
              <w:rPr>
                <w:rFonts w:ascii="Aptos" w:hAnsi="Aptos" w:asciiTheme="minorHAnsi" w:hAnsiTheme="minorHAnsi"/>
                <w:color w:val="000000"/>
              </w:rPr>
              <w:t>, in the Suroccidente JTA action area, the Institute has allocated more than 77 million euro to support business projects, municipal infrastructures and three major environmental restoration works for mining operations. In addition to the environmental restoration of degraded areas in Buseiro, Cerredo and Tormaleo, with a total outlay of 82.4 million, 10 projects have been funded for sanitation, water supply and lighting infrastructures, energy efficiency measures in industrial estates and the construction of mini-warehouses to provide facilities for companies on a temporary basis. The installation of a plant for the drying and thermal treatment of wood as a source of renewable heat has also received funding.</w:t>
            </w:r>
            <w:commentRangeEnd w:id="2"/>
            <w:r>
              <w:commentReference w:id="2"/>
            </w:r>
            <w:r>
              <w:rPr>
                <w:rFonts w:ascii="Aptos" w:hAnsi="Aptos" w:asciiTheme="minorHAnsi" w:hAnsiTheme="minorHAnsi"/>
                <w:color w:val="000000"/>
              </w:rPr>
            </w:r>
          </w:p>
          <w:p>
            <w:pPr>
              <w:pStyle w:val="NormalWeb"/>
              <w:shd w:val="clear" w:color="auto" w:fill="FFFFFF"/>
              <w:spacing w:beforeAutospacing="0" w:before="0" w:afterAutospacing="0" w:after="0"/>
              <w:textAlignment w:val="baseline"/>
              <w:rPr>
                <w:rFonts w:ascii="Aptos" w:hAnsi="Aptos" w:asciiTheme="minorHAnsi" w:hAnsiTheme="minorHAnsi"/>
                <w:color w:val="000000"/>
                <w:lang w:val="en-US"/>
              </w:rPr>
            </w:pPr>
            <w:r>
              <w:rPr>
                <w:rFonts w:asciiTheme="minorHAnsi" w:hAnsiTheme="minorHAnsi" w:ascii="Aptos" w:hAnsi="Aptos"/>
                <w:color w:val="000000"/>
                <w:lang w:val="en-US"/>
              </w:rPr>
            </w:r>
          </w:p>
        </w:tc>
      </w:tr>
      <w:tr>
        <w:trPr>
          <w:trHeight w:val="346" w:hRule="atLeast"/>
        </w:trPr>
        <w:tc>
          <w:tcPr>
            <w:tcW w:w="1731"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c) Local infrastructure upgrading</w:t>
            </w:r>
          </w:p>
        </w:tc>
        <w:tc>
          <w:tcPr>
            <w:tcW w:w="2788" w:type="dxa"/>
            <w:tcBorders>
              <w:left w:val="single" w:sz="4" w:space="0" w:color="000000"/>
              <w:bottom w:val="single" w:sz="4" w:space="0" w:color="000000"/>
            </w:tcBorders>
          </w:tcPr>
          <w:p>
            <w:pPr>
              <w:pStyle w:val="NormalWeb"/>
              <w:spacing w:before="0" w:after="280"/>
              <w:rPr>
                <w:rFonts w:ascii="Aptos" w:hAnsi="Aptos" w:asciiTheme="minorHAnsi" w:hAnsiTheme="minorHAnsi"/>
              </w:rPr>
            </w:pPr>
            <w:r>
              <w:rPr>
                <w:rFonts w:ascii="Aptos" w:hAnsi="Aptos" w:asciiTheme="minorHAnsi" w:hAnsiTheme="minorHAnsi"/>
              </w:rPr>
              <w:t>The government funds improvements to local infrastructure, such as transport or broadband connectivity.</w:t>
            </w:r>
          </w:p>
          <w:p>
            <w:pPr>
              <w:pStyle w:val="Standard"/>
              <w:spacing w:lineRule="auto" w:line="240" w:before="0" w:after="0"/>
              <w:rPr>
                <w:rFonts w:ascii="Aptos" w:hAnsi="Aptos" w:asciiTheme="minorHAnsi" w:hAnsiTheme="minorHAnsi"/>
                <w:i/>
                <w:i/>
                <w:iCs/>
              </w:rPr>
            </w:pPr>
            <w:r>
              <w:rPr>
                <w:rFonts w:asciiTheme="minorHAnsi" w:hAnsiTheme="minorHAnsi"/>
                <w:i/>
                <w:iCs/>
              </w:rPr>
            </w:r>
          </w:p>
        </w:tc>
        <w:tc>
          <w:tcPr>
            <w:tcW w:w="4841" w:type="dxa"/>
            <w:tcBorders>
              <w:left w:val="single" w:sz="4" w:space="0" w:color="000000"/>
              <w:bottom w:val="single" w:sz="4" w:space="0" w:color="000000"/>
              <w:right w:val="single" w:sz="4" w:space="0" w:color="000000"/>
            </w:tcBorders>
          </w:tcPr>
          <w:p>
            <w:pPr>
              <w:pStyle w:val="Standard"/>
              <w:spacing w:before="0" w:after="0"/>
              <w:rPr>
                <w:rFonts w:ascii="Aptos" w:hAnsi="Aptos" w:asciiTheme="minorHAnsi" w:hAnsiTheme="minorHAnsi"/>
              </w:rPr>
            </w:pPr>
            <w:r>
              <w:rPr>
                <w:rFonts w:asciiTheme="minorHAnsi" w:hAnsiTheme="minorHAnsi"/>
              </w:rPr>
              <w:t>See e.g., EU Just Transition Fund projects in Poland and Eastern Germany (mobility, digital access).</w:t>
            </w:r>
          </w:p>
        </w:tc>
      </w:tr>
      <w:tr>
        <w:trPr>
          <w:trHeight w:val="998" w:hRule="atLeast"/>
        </w:trPr>
        <w:tc>
          <w:tcPr>
            <w:tcW w:w="1731" w:type="dxa"/>
            <w:tcBorders>
              <w:left w:val="single" w:sz="4" w:space="0" w:color="000000"/>
              <w:bottom w:val="single" w:sz="4" w:space="0" w:color="000000"/>
            </w:tcBorders>
          </w:tcPr>
          <w:p>
            <w:pPr>
              <w:pStyle w:val="Standard"/>
              <w:spacing w:before="0" w:after="0"/>
              <w:rPr>
                <w:rFonts w:ascii="Aptos" w:hAnsi="Aptos" w:asciiTheme="minorHAnsi" w:hAnsiTheme="minorHAnsi"/>
              </w:rPr>
            </w:pPr>
            <w:r>
              <w:rPr>
                <w:rFonts w:asciiTheme="minorHAnsi" w:hAnsiTheme="minorHAnsi"/>
              </w:rPr>
              <w:t>d) Welfare services investment</w:t>
            </w:r>
          </w:p>
          <w:p>
            <w:pPr>
              <w:pStyle w:val="Normal"/>
              <w:jc w:val="center"/>
              <w:rPr>
                <w:rFonts w:ascii="Aptos" w:hAnsi="Aptos" w:eastAsia="" w:asciiTheme="minorHAnsi" w:eastAsiaTheme="minorEastAsia" w:hAnsiTheme="minorHAnsi"/>
                <w:lang w:val="en-US" w:eastAsia="ja-JP"/>
              </w:rPr>
            </w:pPr>
            <w:r>
              <w:rPr>
                <w:rFonts w:eastAsia="" w:eastAsiaTheme="minorEastAsia" w:ascii="Aptos" w:hAnsi="Aptos"/>
                <w:lang w:val="en-US" w:eastAsia="ja-JP"/>
              </w:rPr>
            </w:r>
          </w:p>
        </w:tc>
        <w:tc>
          <w:tcPr>
            <w:tcW w:w="2788" w:type="dxa"/>
            <w:tcBorders>
              <w:left w:val="single" w:sz="4" w:space="0" w:color="000000"/>
              <w:bottom w:val="single" w:sz="4" w:space="0" w:color="000000"/>
            </w:tcBorders>
          </w:tcPr>
          <w:p>
            <w:pPr>
              <w:pStyle w:val="NormalWeb"/>
              <w:spacing w:before="0" w:after="280"/>
              <w:rPr>
                <w:rFonts w:ascii="Aptos" w:hAnsi="Aptos" w:asciiTheme="minorHAnsi" w:hAnsiTheme="minorHAnsi"/>
                <w:color w:val="000000"/>
              </w:rPr>
            </w:pPr>
            <w:r>
              <w:rPr>
                <w:rFonts w:ascii="Aptos" w:hAnsi="Aptos" w:asciiTheme="minorHAnsi" w:hAnsiTheme="minorHAnsi"/>
                <w:color w:val="000000"/>
              </w:rPr>
              <w:t>Investment in local schools, hospitals, or childcare to improve public services.</w:t>
            </w:r>
          </w:p>
          <w:p>
            <w:pPr>
              <w:pStyle w:val="Normal"/>
              <w:rPr>
                <w:rFonts w:ascii="Aptos" w:hAnsi="Aptos" w:asciiTheme="minorHAnsi" w:hAnsiTheme="minorHAnsi"/>
                <w:i/>
                <w:i/>
                <w:iCs/>
                <w:vanish/>
              </w:rPr>
            </w:pPr>
            <w:r>
              <w:rPr>
                <w:rFonts w:asciiTheme="minorHAnsi" w:hAnsiTheme="minorHAnsi" w:ascii="Aptos" w:hAnsi="Aptos"/>
                <w:i/>
                <w:iCs/>
                <w:vanish/>
              </w:rPr>
            </w:r>
          </w:p>
          <w:p>
            <w:pPr>
              <w:pStyle w:val="NormalWeb"/>
              <w:spacing w:before="280" w:after="0"/>
              <w:rPr>
                <w:rFonts w:ascii="Aptos" w:hAnsi="Aptos" w:asciiTheme="minorHAnsi" w:hAnsiTheme="minorHAnsi"/>
                <w:i/>
                <w:i/>
                <w:iCs/>
              </w:rPr>
            </w:pPr>
            <w:r>
              <w:rPr>
                <w:rFonts w:asciiTheme="minorHAnsi" w:hAnsiTheme="minorHAnsi" w:ascii="Aptos" w:hAnsi="Aptos"/>
                <w:i/>
                <w:iCs/>
              </w:rPr>
            </w:r>
          </w:p>
        </w:tc>
        <w:tc>
          <w:tcPr>
            <w:tcW w:w="4841" w:type="dxa"/>
            <w:tcBorders>
              <w:left w:val="single" w:sz="4" w:space="0" w:color="000000"/>
              <w:bottom w:val="single" w:sz="4" w:space="0" w:color="000000"/>
              <w:right w:val="single" w:sz="4" w:space="0" w:color="000000"/>
            </w:tcBorders>
          </w:tcPr>
          <w:p>
            <w:pPr>
              <w:pStyle w:val="Normal"/>
              <w:rPr>
                <w:rFonts w:ascii="Aptos" w:hAnsi="Aptos" w:asciiTheme="minorHAnsi" w:hAnsiTheme="minorHAnsi"/>
                <w:color w:val="000000"/>
              </w:rPr>
            </w:pPr>
            <w:hyperlink r:id="rId9">
              <w:r>
                <w:rPr>
                  <w:rStyle w:val="Hyperlink"/>
                  <w:rFonts w:ascii="Aptos" w:hAnsi="Aptos" w:asciiTheme="minorHAnsi" w:hAnsiTheme="minorHAnsi"/>
                </w:rPr>
                <w:t>EU JTF investments in Ireland</w:t>
              </w:r>
            </w:hyperlink>
            <w:r>
              <w:rPr>
                <w:rFonts w:ascii="Aptos" w:hAnsi="Aptos" w:asciiTheme="minorHAnsi" w:hAnsiTheme="minorHAnsi"/>
                <w:color w:val="000000"/>
              </w:rPr>
              <w:t xml:space="preserve"> foresee financial support to “</w:t>
            </w:r>
            <w:r>
              <w:rPr>
                <w:rFonts w:ascii="Aptos" w:hAnsi="Aptos" w:asciiTheme="minorHAnsi" w:hAnsiTheme="minorHAnsi"/>
                <w:color w:val="0B0C0C"/>
              </w:rPr>
              <w:t>the delivery of education, skills, and training and the associated social care infrastructure, for the purposes of supporting participation in skills training and employment”</w:t>
            </w:r>
          </w:p>
        </w:tc>
      </w:tr>
    </w:tbl>
    <w:p>
      <w:pPr>
        <w:pStyle w:val="Normal"/>
        <w:rPr>
          <w:rFonts w:ascii="Aptos" w:hAnsi="Aptos" w:asciiTheme="minorHAnsi" w:hAnsiTheme="minorHAnsi"/>
          <w:b/>
          <w:bCs/>
        </w:rPr>
      </w:pPr>
      <w:r>
        <w:rPr>
          <w:rFonts w:asciiTheme="minorHAnsi" w:hAnsiTheme="minorHAnsi" w:ascii="Aptos" w:hAnsi="Aptos"/>
          <w:b/>
          <w:bCs/>
        </w:rPr>
      </w:r>
    </w:p>
    <w:p>
      <w:pPr>
        <w:pStyle w:val="Normal"/>
        <w:rPr>
          <w:rFonts w:ascii="Aptos" w:hAnsi="Aptos" w:asciiTheme="minorHAnsi" w:hAnsiTheme="minorHAnsi"/>
          <w:b/>
          <w:bCs/>
        </w:rPr>
      </w:pPr>
      <w:r>
        <w:rPr>
          <w:rFonts w:asciiTheme="minorHAnsi" w:hAnsiTheme="minorHAnsi" w:ascii="Aptos" w:hAnsi="Aptos"/>
          <w:b/>
          <w:bCs/>
        </w:rPr>
      </w:r>
    </w:p>
    <w:p>
      <w:pPr>
        <w:pStyle w:val="ListParagraph"/>
        <w:numPr>
          <w:ilvl w:val="3"/>
          <w:numId w:val="4"/>
        </w:numPr>
        <w:rPr/>
      </w:pPr>
      <w:r>
        <w:rPr>
          <w:u w:val="single"/>
        </w:rPr>
        <w:t>Union position</w:t>
      </w:r>
    </w:p>
    <w:p>
      <w:pPr>
        <w:pStyle w:val="Normal"/>
        <w:rPr>
          <w:rFonts w:ascii="Aptos" w:hAnsi="Aptos" w:asciiTheme="minorHAnsi" w:hAnsiTheme="minorHAnsi"/>
        </w:rPr>
      </w:pPr>
      <w:r>
        <w:rPr>
          <w:rFonts w:asciiTheme="minorHAnsi" w:hAnsiTheme="minorHAnsi" w:ascii="Aptos" w:hAnsi="Aptos"/>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731"/>
        <w:gridCol w:w="2788"/>
        <w:gridCol w:w="4841"/>
      </w:tblGrid>
      <w:tr>
        <w:trPr>
          <w:trHeight w:val="332" w:hRule="atLeast"/>
        </w:trPr>
        <w:tc>
          <w:tcPr>
            <w:tcW w:w="1731"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Levels</w:t>
            </w:r>
          </w:p>
        </w:tc>
        <w:tc>
          <w:tcPr>
            <w:tcW w:w="2788" w:type="dxa"/>
            <w:tcBorders>
              <w:top w:val="single" w:sz="4" w:space="0" w:color="000000"/>
              <w:left w:val="single" w:sz="4" w:space="0" w:color="000000"/>
              <w:bottom w:val="single" w:sz="4" w:space="0" w:color="000000"/>
            </w:tcBorders>
          </w:tcPr>
          <w:p>
            <w:pPr>
              <w:pStyle w:val="Standard"/>
              <w:spacing w:before="0" w:after="0"/>
              <w:rPr>
                <w:rFonts w:ascii="Aptos" w:hAnsi="Aptos" w:asciiTheme="minorHAnsi" w:hAnsiTheme="minorHAnsi"/>
              </w:rPr>
            </w:pPr>
            <w:r>
              <w:rPr>
                <w:rFonts w:eastAsia="" w:cs="" w:cstheme="minorBidi" w:eastAsiaTheme="minorEastAsia"/>
                <w:b/>
                <w:bCs/>
              </w:rPr>
              <w:t>Label</w:t>
            </w:r>
          </w:p>
        </w:tc>
        <w:tc>
          <w:tcPr>
            <w:tcW w:w="4841" w:type="dxa"/>
            <w:tcBorders>
              <w:top w:val="single" w:sz="4" w:space="0" w:color="000000"/>
              <w:left w:val="single" w:sz="4" w:space="0" w:color="000000"/>
              <w:bottom w:val="single" w:sz="4" w:space="0" w:color="000000"/>
              <w:right w:val="single" w:sz="4" w:space="0" w:color="000000"/>
            </w:tcBorders>
          </w:tcPr>
          <w:p>
            <w:pPr>
              <w:pStyle w:val="Standard"/>
              <w:spacing w:before="0" w:after="0"/>
              <w:rPr>
                <w:rFonts w:ascii="Aptos" w:hAnsi="Aptos" w:eastAsia="" w:cs="" w:asciiTheme="minorHAnsi" w:cstheme="minorBidi" w:eastAsiaTheme="minorEastAsia" w:hAnsiTheme="minorHAnsi"/>
                <w:b/>
                <w:bCs/>
              </w:rPr>
            </w:pPr>
            <w:r>
              <w:rPr>
                <w:rFonts w:eastAsia="" w:cs="" w:cstheme="minorBidi" w:eastAsiaTheme="minorEastAsia"/>
                <w:b/>
                <w:bCs/>
              </w:rPr>
              <w:t>Source / Real-world examples</w:t>
            </w:r>
          </w:p>
        </w:tc>
      </w:tr>
      <w:tr>
        <w:trPr>
          <w:trHeight w:val="1074" w:hRule="atLeast"/>
        </w:trPr>
        <w:tc>
          <w:tcPr>
            <w:tcW w:w="1731" w:type="dxa"/>
            <w:tcBorders>
              <w:left w:val="single" w:sz="4" w:space="0" w:color="000000"/>
              <w:bottom w:val="single" w:sz="4" w:space="0" w:color="000000"/>
            </w:tcBorders>
          </w:tcPr>
          <w:p>
            <w:pPr>
              <w:pStyle w:val="NormalWeb"/>
              <w:spacing w:before="0" w:after="280"/>
              <w:rPr>
                <w:rFonts w:ascii="Aptos" w:hAnsi="Aptos" w:asciiTheme="minorHAnsi" w:hAnsiTheme="minorHAnsi"/>
                <w:color w:val="000000"/>
              </w:rPr>
            </w:pPr>
            <w:r>
              <w:rPr>
                <w:rFonts w:ascii="Aptos" w:hAnsi="Aptos" w:asciiTheme="minorHAnsi" w:hAnsiTheme="minorHAnsi"/>
              </w:rPr>
              <w:t xml:space="preserve">a) No </w:t>
            </w:r>
            <w:r>
              <w:rPr>
                <w:rFonts w:ascii="Aptos" w:hAnsi="Aptos" w:asciiTheme="minorHAnsi" w:hAnsiTheme="minorHAnsi"/>
                <w:color w:val="000000"/>
              </w:rPr>
              <w:t>union position</w:t>
            </w:r>
          </w:p>
          <w:p>
            <w:pPr>
              <w:pStyle w:val="Standard"/>
              <w:spacing w:before="0" w:after="0"/>
              <w:rPr>
                <w:rFonts w:ascii="Aptos" w:hAnsi="Aptos" w:asciiTheme="minorHAnsi" w:hAnsiTheme="minorHAnsi"/>
              </w:rPr>
            </w:pPr>
            <w:r>
              <w:rPr>
                <w:rFonts w:asciiTheme="minorHAnsi" w:hAnsiTheme="minorHAnsi"/>
              </w:rPr>
            </w:r>
          </w:p>
        </w:tc>
        <w:tc>
          <w:tcPr>
            <w:tcW w:w="2788"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Aptos" w:hAnsi="Aptos" w:asciiTheme="minorHAnsi" w:hAnsiTheme="minorHAnsi"/>
                <w:color w:val="000000"/>
              </w:rPr>
              <w:t>The trade union representing workers in your industry has not taken a position on the government’s plan.</w:t>
            </w:r>
          </w:p>
          <w:p>
            <w:pPr>
              <w:pStyle w:val="NormalWeb"/>
              <w:spacing w:beforeAutospacing="0" w:before="0" w:afterAutospacing="0" w:after="0"/>
              <w:rPr>
                <w:rFonts w:ascii="Aptos" w:hAnsi="Aptos" w:asciiTheme="minorHAnsi" w:hAnsiTheme="minorHAnsi"/>
                <w:i/>
                <w:i/>
                <w:iCs/>
              </w:rPr>
            </w:pPr>
            <w:r>
              <w:rPr>
                <w:rFonts w:asciiTheme="minorHAnsi" w:hAnsiTheme="minorHAnsi" w:ascii="Aptos" w:hAnsi="Aptos"/>
                <w:i/>
                <w:iCs/>
              </w:rPr>
            </w:r>
          </w:p>
        </w:tc>
        <w:tc>
          <w:tcPr>
            <w:tcW w:w="4841"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Standard"/>
              <w:spacing w:before="0" w:after="0"/>
              <w:rPr>
                <w:rFonts w:ascii="Aptos" w:hAnsi="Aptos" w:asciiTheme="minorHAnsi" w:hAnsiTheme="minorHAnsi"/>
                <w:b/>
                <w:bCs/>
              </w:rPr>
            </w:pPr>
            <w:r>
              <w:rPr>
                <w:rStyle w:val="Strong"/>
                <w:rFonts w:asciiTheme="minorHAnsi" w:hAnsiTheme="minorHAnsi"/>
                <w:b w:val="false"/>
                <w:bCs w:val="false"/>
              </w:rPr>
              <w:t>Baseline condition</w:t>
            </w:r>
          </w:p>
        </w:tc>
      </w:tr>
      <w:tr>
        <w:trPr>
          <w:trHeight w:val="498" w:hRule="atLeast"/>
        </w:trPr>
        <w:tc>
          <w:tcPr>
            <w:tcW w:w="1731" w:type="dxa"/>
            <w:tcBorders>
              <w:left w:val="single" w:sz="4" w:space="0" w:color="000000"/>
              <w:bottom w:val="single" w:sz="4" w:space="0" w:color="000000"/>
            </w:tcBorders>
          </w:tcPr>
          <w:p>
            <w:pPr>
              <w:pStyle w:val="NormalWeb"/>
              <w:spacing w:before="0" w:after="280"/>
              <w:rPr>
                <w:rFonts w:ascii="Aptos" w:hAnsi="Aptos" w:asciiTheme="minorHAnsi" w:hAnsiTheme="minorHAnsi"/>
                <w:color w:val="000000"/>
              </w:rPr>
            </w:pPr>
            <w:r>
              <w:rPr>
                <w:rFonts w:ascii="Aptos" w:hAnsi="Aptos" w:asciiTheme="minorHAnsi" w:hAnsiTheme="minorHAnsi"/>
              </w:rPr>
              <w:t xml:space="preserve">b) </w:t>
            </w:r>
            <w:r>
              <w:rPr>
                <w:rFonts w:ascii="Aptos" w:hAnsi="Aptos" w:asciiTheme="minorHAnsi" w:hAnsiTheme="minorHAnsi"/>
                <w:color w:val="000000"/>
              </w:rPr>
              <w:t>Union opposes plan</w:t>
            </w:r>
          </w:p>
          <w:p>
            <w:pPr>
              <w:pStyle w:val="Standard"/>
              <w:spacing w:before="0" w:after="0"/>
              <w:rPr>
                <w:rFonts w:ascii="Aptos" w:hAnsi="Aptos" w:asciiTheme="minorHAnsi" w:hAnsiTheme="minorHAnsi"/>
              </w:rPr>
            </w:pPr>
            <w:r>
              <w:rPr>
                <w:rFonts w:asciiTheme="minorHAnsi" w:hAnsiTheme="minorHAnsi"/>
              </w:rPr>
            </w:r>
          </w:p>
        </w:tc>
        <w:tc>
          <w:tcPr>
            <w:tcW w:w="2788" w:type="dxa"/>
            <w:tcBorders>
              <w:left w:val="single" w:sz="4" w:space="0" w:color="000000"/>
              <w:bottom w:val="single" w:sz="4" w:space="0" w:color="000000"/>
            </w:tcBorders>
          </w:tcPr>
          <w:p>
            <w:pPr>
              <w:pStyle w:val="Normal"/>
              <w:rPr>
                <w:rFonts w:ascii="Aptos" w:hAnsi="Aptos" w:asciiTheme="minorHAnsi" w:hAnsiTheme="minorHAnsi"/>
                <w:i/>
                <w:i/>
                <w:iCs/>
                <w:vanish/>
              </w:rPr>
            </w:pPr>
            <w:r>
              <w:rPr>
                <w:rFonts w:asciiTheme="minorHAnsi" w:hAnsiTheme="minorHAnsi" w:ascii="Aptos" w:hAnsi="Aptos"/>
                <w:i/>
                <w:iC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i/>
                      <w:i/>
                      <w:iCs/>
                    </w:rPr>
                  </w:pPr>
                  <w:r>
                    <w:rPr>
                      <w:rFonts w:asciiTheme="minorHAnsi" w:hAnsiTheme="minorHAnsi" w:ascii="Aptos" w:hAnsi="Aptos"/>
                      <w:i/>
                      <w:iCs/>
                    </w:rPr>
                  </w:r>
                </w:p>
              </w:tc>
            </w:tr>
          </w:tbl>
          <w:p>
            <w:pPr>
              <w:pStyle w:val="Normal"/>
              <w:rPr>
                <w:rFonts w:ascii="Aptos" w:hAnsi="Aptos" w:asciiTheme="minorHAnsi" w:hAnsiTheme="minorHAnsi"/>
                <w:vanish/>
              </w:rPr>
            </w:pPr>
            <w:r>
              <w:rPr>
                <w:rFonts w:asciiTheme="minorHAnsi" w:hAnsiTheme="minorHAnsi" w:ascii="Aptos" w:hAnsi="Aptos"/>
                <w:vanish/>
              </w:rPr>
            </w:r>
          </w:p>
          <w:p>
            <w:pPr>
              <w:pStyle w:val="NormalWeb"/>
              <w:spacing w:beforeAutospacing="0" w:before="0" w:afterAutospacing="0" w:after="0"/>
              <w:rPr>
                <w:rFonts w:ascii="Aptos" w:hAnsi="Aptos" w:asciiTheme="minorHAnsi" w:hAnsiTheme="minorHAnsi"/>
                <w:i/>
                <w:i/>
                <w:iCs/>
              </w:rPr>
            </w:pPr>
            <w:r>
              <w:rPr>
                <w:rFonts w:ascii="Aptos" w:hAnsi="Aptos" w:asciiTheme="minorHAnsi" w:hAnsiTheme="minorHAnsi"/>
                <w:color w:val="000000"/>
              </w:rPr>
              <w:t>The trade union representing workers in your industry opposes the government’s transition plan.</w:t>
            </w:r>
          </w:p>
        </w:tc>
        <w:tc>
          <w:tcPr>
            <w:tcW w:w="4841" w:type="dxa"/>
            <w:tcBorders>
              <w:left w:val="single" w:sz="4" w:space="0" w:color="000000"/>
              <w:bottom w:val="single" w:sz="4" w:space="0" w:color="000000"/>
              <w:right w:val="single" w:sz="4" w:space="0" w:color="000000"/>
            </w:tcBorders>
          </w:tcPr>
          <w:p>
            <w:pPr>
              <w:pStyle w:val="Normal"/>
              <w:rPr>
                <w:rFonts w:ascii="Aptos" w:hAnsi="Aptos" w:asciiTheme="minorHAnsi" w:hAnsiTheme="minorHAnsi"/>
                <w:vanish/>
              </w:rPr>
            </w:pPr>
            <w:r>
              <w:rPr>
                <w:rFonts w:asciiTheme="minorHAnsi" w:hAnsiTheme="minorHAnsi" w:ascii="Aptos" w:hAnsi="Aptos"/>
                <w:vanish/>
              </w:rPr>
            </w:r>
          </w:p>
          <w:tbl>
            <w:tblPr>
              <w:tblW w:w="11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1"/>
            </w:tblGrid>
            <w:tr>
              <w:trPr/>
              <w:tc>
                <w:tcPr>
                  <w:tcW w:w="111" w:type="dxa"/>
                  <w:tcBorders/>
                  <w:vAlign w:val="center"/>
                </w:tcPr>
                <w:p>
                  <w:pPr>
                    <w:pStyle w:val="Normal"/>
                    <w:rPr>
                      <w:rFonts w:ascii="Aptos" w:hAnsi="Aptos" w:asciiTheme="minorHAnsi" w:hAnsiTheme="minorHAnsi"/>
                    </w:rPr>
                  </w:pPr>
                  <w:r>
                    <w:rPr>
                      <w:rFonts w:asciiTheme="minorHAnsi" w:hAnsiTheme="minorHAnsi" w:ascii="Aptos" w:hAnsi="Aptos"/>
                    </w:rPr>
                  </w:r>
                </w:p>
              </w:tc>
            </w:tr>
          </w:tbl>
          <w:p>
            <w:pPr>
              <w:pStyle w:val="NormalWeb"/>
              <w:spacing w:beforeAutospacing="0" w:before="0" w:afterAutospacing="0" w:after="0"/>
              <w:rPr>
                <w:rFonts w:ascii="Aptos" w:hAnsi="Aptos" w:asciiTheme="minorHAnsi" w:hAnsiTheme="minorHAnsi"/>
                <w:color w:val="000000"/>
              </w:rPr>
            </w:pPr>
            <w:r>
              <w:rPr>
                <w:rFonts w:ascii="Aptos" w:hAnsi="Aptos" w:asciiTheme="minorHAnsi" w:hAnsiTheme="minorHAnsi"/>
                <w:color w:val="000000"/>
              </w:rPr>
              <w:t xml:space="preserve">In 2015, </w:t>
            </w:r>
            <w:hyperlink r:id="rId10">
              <w:r>
                <w:rPr>
                  <w:rStyle w:val="Hyperlink"/>
                  <w:rFonts w:ascii="Aptos" w:hAnsi="Aptos" w:asciiTheme="minorHAnsi" w:hAnsiTheme="minorHAnsi"/>
                </w:rPr>
                <w:t>IG BCE</w:t>
              </w:r>
            </w:hyperlink>
            <w:r>
              <w:rPr>
                <w:rFonts w:ascii="Aptos" w:hAnsi="Aptos" w:asciiTheme="minorHAnsi" w:hAnsiTheme="minorHAnsi"/>
                <w:color w:val="000000"/>
              </w:rPr>
              <w:t xml:space="preserve"> organized a large demonstration in Berlin, with approximately 15,000 participants, protesting against the government's proposed climate protection levy, which aimed to reduce emissions from older coal-fired power plants.</w:t>
            </w:r>
          </w:p>
          <w:p>
            <w:pPr>
              <w:pStyle w:val="NormalWeb"/>
              <w:shd w:val="clear" w:color="auto" w:fill="FFFFFF"/>
              <w:spacing w:beforeAutospacing="0" w:before="0" w:afterAutospacing="0" w:after="0"/>
              <w:textAlignment w:val="baseline"/>
              <w:rPr>
                <w:rFonts w:ascii="Aptos" w:hAnsi="Aptos" w:asciiTheme="minorHAnsi" w:hAnsiTheme="minorHAnsi"/>
                <w:color w:val="000000"/>
              </w:rPr>
            </w:pPr>
            <w:r>
              <w:rPr>
                <w:rFonts w:asciiTheme="minorHAnsi" w:hAnsiTheme="minorHAnsi" w:ascii="Aptos" w:hAnsi="Aptos"/>
                <w:color w:val="000000"/>
              </w:rPr>
            </w:r>
          </w:p>
        </w:tc>
      </w:tr>
      <w:tr>
        <w:trPr>
          <w:trHeight w:val="346" w:hRule="atLeast"/>
        </w:trPr>
        <w:tc>
          <w:tcPr>
            <w:tcW w:w="1731" w:type="dxa"/>
            <w:tcBorders>
              <w:left w:val="single" w:sz="4" w:space="0" w:color="000000"/>
              <w:bottom w:val="single" w:sz="4" w:space="0" w:color="000000"/>
            </w:tcBorders>
          </w:tcPr>
          <w:p>
            <w:pPr>
              <w:pStyle w:val="NormalWeb"/>
              <w:spacing w:before="0" w:after="0"/>
              <w:rPr>
                <w:rFonts w:ascii="Aptos" w:hAnsi="Aptos" w:asciiTheme="minorHAnsi" w:hAnsiTheme="minorHAnsi"/>
                <w:color w:val="000000"/>
              </w:rPr>
            </w:pPr>
            <w:r>
              <w:rPr>
                <w:rFonts w:ascii="Aptos" w:hAnsi="Aptos" w:asciiTheme="minorHAnsi" w:hAnsiTheme="minorHAnsi"/>
              </w:rPr>
              <w:t xml:space="preserve">c) </w:t>
            </w:r>
            <w:r>
              <w:rPr>
                <w:rFonts w:ascii="Aptos" w:hAnsi="Aptos" w:asciiTheme="minorHAnsi" w:hAnsiTheme="minorHAnsi"/>
                <w:color w:val="000000"/>
              </w:rPr>
              <w:t>Union supports plan</w:t>
            </w:r>
          </w:p>
        </w:tc>
        <w:tc>
          <w:tcPr>
            <w:tcW w:w="2788" w:type="dxa"/>
            <w:tcBorders>
              <w:left w:val="single" w:sz="4" w:space="0" w:color="000000"/>
              <w:bottom w:val="single" w:sz="4" w:space="0" w:color="000000"/>
            </w:tcBorders>
          </w:tcPr>
          <w:p>
            <w:pPr>
              <w:pStyle w:val="NormalWeb"/>
              <w:spacing w:before="0" w:after="0"/>
              <w:rPr>
                <w:rFonts w:ascii="Aptos" w:hAnsi="Aptos" w:asciiTheme="minorHAnsi" w:hAnsiTheme="minorHAnsi"/>
                <w:color w:val="000000"/>
              </w:rPr>
            </w:pPr>
            <w:r>
              <w:rPr>
                <w:rFonts w:ascii="Aptos" w:hAnsi="Aptos" w:asciiTheme="minorHAnsi" w:hAnsiTheme="minorHAnsi"/>
                <w:color w:val="000000"/>
              </w:rPr>
              <w:t>The trade union supports the transition plan.</w:t>
            </w:r>
          </w:p>
        </w:tc>
        <w:tc>
          <w:tcPr>
            <w:tcW w:w="4841" w:type="dxa"/>
            <w:tcBorders>
              <w:left w:val="single" w:sz="4" w:space="0" w:color="000000"/>
              <w:bottom w:val="single" w:sz="4" w:space="0" w:color="000000"/>
              <w:right w:val="single" w:sz="4" w:space="0" w:color="000000"/>
            </w:tcBorders>
          </w:tcPr>
          <w:p>
            <w:pPr>
              <w:pStyle w:val="Standard"/>
              <w:spacing w:before="0" w:after="0"/>
              <w:rPr>
                <w:rFonts w:ascii="Aptos" w:hAnsi="Aptos" w:asciiTheme="minorHAnsi" w:hAnsiTheme="minorHAnsi"/>
              </w:rPr>
            </w:pPr>
            <w:r>
              <w:rPr>
                <w:rFonts w:asciiTheme="minorHAnsi" w:hAnsiTheme="minorHAnsi"/>
              </w:rPr>
              <w:t xml:space="preserve">TBD </w:t>
            </w:r>
          </w:p>
        </w:tc>
      </w:tr>
    </w:tbl>
    <w:p>
      <w:pPr>
        <w:pStyle w:val="Normal"/>
        <w:rPr>
          <w:rFonts w:ascii="Aptos" w:hAnsi="Aptos" w:asciiTheme="minorHAnsi" w:hAnsiTheme="minorHAnsi"/>
        </w:rPr>
      </w:pPr>
      <w:r>
        <w:rPr>
          <w:rFonts w:asciiTheme="minorHAnsi" w:hAnsiTheme="minorHAnsi" w:ascii="Aptos" w:hAnsi="Aptos"/>
        </w:rPr>
      </w:r>
    </w:p>
    <w:p>
      <w:pPr>
        <w:pStyle w:val="Normal"/>
        <w:rPr>
          <w:rFonts w:ascii="Aptos" w:hAnsi="Aptos" w:asciiTheme="minorHAnsi" w:hAnsiTheme="minorHAnsi"/>
        </w:rPr>
      </w:pPr>
      <w:r>
        <w:rPr>
          <w:rFonts w:asciiTheme="minorHAnsi" w:hAnsiTheme="minorHAnsi" w:ascii="Aptos" w:hAnsi="Aptos"/>
        </w:rPr>
      </w:r>
    </w:p>
    <w:p>
      <w:pPr>
        <w:pStyle w:val="Normal"/>
        <w:rPr>
          <w:rFonts w:ascii="Aptos" w:hAnsi="Aptos" w:asciiTheme="minorHAnsi" w:hAnsiTheme="minorHAnsi"/>
        </w:rPr>
      </w:pPr>
      <w:r>
        <w:rPr>
          <w:rFonts w:asciiTheme="minorHAnsi" w:hAnsiTheme="minorHAnsi" w:ascii="Aptos" w:hAnsi="Aptos"/>
        </w:rPr>
      </w:r>
    </w:p>
    <w:p>
      <w:pPr>
        <w:pStyle w:val="ListParagraph"/>
        <w:numPr>
          <w:ilvl w:val="1"/>
          <w:numId w:val="4"/>
        </w:numPr>
        <w:rPr/>
      </w:pPr>
      <w:r>
        <w:rPr>
          <w:rFonts w:eastAsia="Aptos" w:cs="Aptos"/>
          <w:b/>
          <w:bCs/>
        </w:rPr>
        <w:t xml:space="preserve">The vignette experiment </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t>To test Hypotheses 2 and 3, we implement a vignette experiment. The design follows a factorial structure in which we vary both the policy mix and the stance of the labor union. Each scenario corresponds to an ideal type of union, as outlined in the table below.</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rPr>
          <w:rFonts w:ascii="Aptos" w:hAnsi="Aptos" w:asciiTheme="minorHAnsi" w:hAnsiTheme="minorHAnsi"/>
        </w:rPr>
      </w:pPr>
      <w:r>
        <w:rPr>
          <w:rFonts w:eastAsia="" w:cs="" w:cstheme="minorBidi" w:eastAsiaTheme="minorEastAsia"/>
          <w:b/>
          <w:bCs/>
        </w:rPr>
        <w:t>We devise the following scenario:</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t xml:space="preserve">To fight global warming, policymakers are considering policies to move away from fossil fuels and reducing sectors that have large emissions. </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r>
    </w:p>
    <w:p>
      <w:pPr>
        <w:pStyle w:val="Normal"/>
        <w:pBdr>
          <w:top w:val="single" w:sz="4" w:space="1" w:color="000000"/>
          <w:left w:val="single" w:sz="4" w:space="4" w:color="000000"/>
          <w:bottom w:val="single" w:sz="4" w:space="1" w:color="000000"/>
          <w:right w:val="single" w:sz="4" w:space="4" w:color="000000"/>
        </w:pBdr>
        <w:suppressAutoHyphens w:val="true"/>
        <w:spacing w:lineRule="auto" w:line="276"/>
        <w:rPr>
          <w:rFonts w:ascii="Aptos" w:hAnsi="Aptos" w:asciiTheme="minorHAnsi" w:hAnsiTheme="minorHAnsi"/>
          <w:b/>
          <w:bCs/>
        </w:rPr>
      </w:pPr>
      <w:r>
        <w:rPr>
          <w:rFonts w:ascii="Aptos" w:hAnsi="Aptos" w:asciiTheme="minorHAnsi" w:hAnsiTheme="minorHAnsi"/>
          <w:b/>
          <w:bCs/>
        </w:rPr>
        <w:t>Prompt 2 - Vignette</w:t>
      </w:r>
    </w:p>
    <w:p>
      <w:pPr>
        <w:pStyle w:val="Normal"/>
        <w:pBdr>
          <w:top w:val="single" w:sz="4" w:space="1" w:color="000000"/>
          <w:left w:val="single" w:sz="4" w:space="4" w:color="000000"/>
          <w:bottom w:val="single" w:sz="4" w:space="1" w:color="000000"/>
          <w:right w:val="single" w:sz="4" w:space="4" w:color="000000"/>
        </w:pBdr>
        <w:suppressAutoHyphens w:val="true"/>
        <w:spacing w:lineRule="auto" w:line="276"/>
        <w:rPr>
          <w:rFonts w:ascii="Aptos" w:hAnsi="Aptos" w:asciiTheme="minorHAnsi" w:hAnsiTheme="minorHAnsi"/>
        </w:rPr>
      </w:pPr>
      <w:r>
        <w:rPr>
          <w:rFonts w:ascii="Aptos" w:hAnsi="Aptos" w:asciiTheme="minorHAnsi" w:hAnsiTheme="minorHAnsi"/>
        </w:rPr>
        <w:t>To address global warming, the government has adopted a five-year plan to reduce emissions in high-polluting sectors by phasing out fossil fuels.</w:t>
      </w:r>
    </w:p>
    <w:p>
      <w:pPr>
        <w:pStyle w:val="Normal"/>
        <w:pBdr>
          <w:top w:val="single" w:sz="4" w:space="1" w:color="000000"/>
          <w:left w:val="single" w:sz="4" w:space="4" w:color="000000"/>
          <w:bottom w:val="single" w:sz="4" w:space="1" w:color="000000"/>
          <w:right w:val="single" w:sz="4" w:space="4" w:color="000000"/>
        </w:pBdr>
        <w:spacing w:beforeAutospacing="1" w:afterAutospacing="1"/>
        <w:rPr>
          <w:rFonts w:ascii="Aptos" w:hAnsi="Aptos" w:asciiTheme="minorHAnsi" w:hAnsiTheme="minorHAnsi"/>
        </w:rPr>
      </w:pPr>
      <w:r>
        <w:rPr>
          <w:rFonts w:ascii="Aptos" w:hAnsi="Aptos" w:asciiTheme="minorHAnsi" w:hAnsiTheme="minorHAnsi"/>
        </w:rPr>
        <w:t>As part of this national effort, your region (long reliant on coal and heavy industry) has been selected for early implementation of this plan. Your company, a large employer in the area, expects to reduce its workforce by 30% over the coming years.</w:t>
      </w:r>
    </w:p>
    <w:p>
      <w:pPr>
        <w:pStyle w:val="Normal"/>
        <w:pBdr>
          <w:top w:val="single" w:sz="4" w:space="1" w:color="000000"/>
          <w:left w:val="single" w:sz="4" w:space="4" w:color="000000"/>
          <w:bottom w:val="single" w:sz="4" w:space="1" w:color="000000"/>
          <w:right w:val="single" w:sz="4" w:space="4" w:color="000000"/>
        </w:pBdr>
        <w:spacing w:beforeAutospacing="1" w:afterAutospacing="1"/>
        <w:rPr>
          <w:rFonts w:ascii="Aptos" w:hAnsi="Aptos" w:asciiTheme="minorHAnsi" w:hAnsiTheme="minorHAnsi"/>
        </w:rPr>
      </w:pPr>
      <w:r>
        <w:rPr>
          <w:rFonts w:ascii="Aptos" w:hAnsi="Aptos" w:asciiTheme="minorHAnsi" w:hAnsiTheme="minorHAnsi"/>
        </w:rPr>
        <w:t xml:space="preserve">To limit the social costs of this transition, the government has proposed to introduce a Just Transition package. </w:t>
      </w:r>
      <w:r>
        <w:rPr>
          <w:rFonts w:ascii="Aptos" w:hAnsi="Aptos" w:asciiTheme="minorHAnsi" w:hAnsiTheme="minorHAnsi"/>
          <w:b/>
          <w:bCs/>
        </w:rPr>
        <w:t xml:space="preserve">FACTOR </w:t>
      </w:r>
      <w:r>
        <w:rPr>
          <w:rFonts w:ascii="Aptos" w:hAnsi="Aptos" w:asciiTheme="minorHAnsi" w:hAnsiTheme="minorHAnsi"/>
          <w:b/>
          <w:bCs/>
        </w:rPr>
        <w:t>1</w:t>
      </w:r>
    </w:p>
    <w:p>
      <w:pPr>
        <w:pStyle w:val="Normal"/>
        <w:pBdr>
          <w:top w:val="single" w:sz="4" w:space="1" w:color="000000"/>
          <w:left w:val="single" w:sz="4" w:space="4" w:color="000000"/>
          <w:bottom w:val="single" w:sz="4" w:space="1" w:color="000000"/>
          <w:right w:val="single" w:sz="4" w:space="4" w:color="000000"/>
        </w:pBdr>
        <w:spacing w:beforeAutospacing="1" w:afterAutospacing="1"/>
        <w:rPr>
          <w:rFonts w:ascii="Aptos" w:hAnsi="Aptos" w:asciiTheme="minorHAnsi" w:hAnsiTheme="minorHAnsi"/>
          <w:b/>
          <w:bCs/>
        </w:rPr>
      </w:pPr>
      <w:r>
        <w:rPr>
          <w:rFonts w:ascii="Aptos" w:hAnsi="Aptos" w:asciiTheme="minorHAnsi" w:hAnsiTheme="minorHAnsi"/>
          <w:b/>
          <w:bCs/>
        </w:rPr>
        <w:t xml:space="preserve">FACTOR </w:t>
      </w:r>
      <w:r>
        <w:rPr>
          <w:rFonts w:ascii="Aptos" w:hAnsi="Aptos" w:asciiTheme="minorHAnsi" w:hAnsiTheme="minorHAnsi"/>
          <w:b/>
          <w:bCs/>
        </w:rPr>
        <w:t>2</w:t>
      </w:r>
    </w:p>
    <w:p>
      <w:pPr>
        <w:pStyle w:val="Standard"/>
        <w:spacing w:before="0" w:after="0"/>
        <w:rPr>
          <w:rFonts w:ascii="Aptos" w:hAnsi="Aptos" w:asciiTheme="minorHAnsi" w:hAnsiTheme="minorHAnsi"/>
          <w:b/>
          <w:bCs/>
        </w:rPr>
      </w:pPr>
      <w:r>
        <w:rPr>
          <w:rFonts w:asciiTheme="minorHAnsi" w:hAnsiTheme="minorHAnsi"/>
          <w:b/>
          <w:bCs/>
        </w:rPr>
        <w:t xml:space="preserve">FACTOR </w:t>
      </w:r>
      <w:r>
        <w:rPr>
          <w:rFonts w:asciiTheme="minorHAnsi" w:hAnsiTheme="minorHAnsi"/>
          <w:b/>
          <w:bCs/>
        </w:rPr>
        <w:t>1</w:t>
      </w:r>
      <w:r>
        <w:rPr>
          <w:rFonts w:asciiTheme="minorHAnsi" w:hAnsiTheme="minorHAnsi"/>
          <w:b/>
          <w:bCs/>
        </w:rPr>
        <w:t xml:space="preserve"> (policy design): </w:t>
      </w:r>
    </w:p>
    <w:p>
      <w:pPr>
        <w:pStyle w:val="Standard"/>
        <w:numPr>
          <w:ilvl w:val="0"/>
          <w:numId w:val="13"/>
        </w:numPr>
        <w:spacing w:before="0" w:after="0"/>
        <w:rPr>
          <w:rFonts w:ascii="Aptos" w:hAnsi="Aptos" w:eastAsia="" w:cs="" w:asciiTheme="minorHAnsi" w:cstheme="minorBidi" w:eastAsiaTheme="minorEastAsia" w:hAnsiTheme="minorHAnsi"/>
        </w:rPr>
      </w:pPr>
      <w:r>
        <w:rPr>
          <w:rFonts w:eastAsia="" w:cs="" w:cstheme="minorBidi" w:eastAsiaTheme="minorEastAsia"/>
        </w:rPr>
        <w:t xml:space="preserve">Level 1 – Workers-oriented support: </w:t>
      </w:r>
      <w:r>
        <w:rPr>
          <w:rFonts w:asciiTheme="minorHAnsi" w:hAnsiTheme="minorHAnsi"/>
        </w:rPr>
        <w:t>While the plan is still under development, it is expected to include some form of direct financial compensation and job guarantees for affected workers.</w:t>
      </w:r>
    </w:p>
    <w:p>
      <w:pPr>
        <w:pStyle w:val="Standard"/>
        <w:numPr>
          <w:ilvl w:val="0"/>
          <w:numId w:val="13"/>
        </w:numPr>
        <w:spacing w:before="0" w:after="0"/>
        <w:rPr>
          <w:rFonts w:ascii="Aptos" w:hAnsi="Aptos" w:eastAsia="" w:cs="" w:asciiTheme="minorHAnsi" w:cstheme="minorBidi" w:eastAsiaTheme="minorEastAsia" w:hAnsiTheme="minorHAnsi"/>
        </w:rPr>
      </w:pPr>
      <w:r>
        <w:rPr>
          <w:rFonts w:eastAsia="" w:cs="" w:cstheme="minorBidi" w:eastAsiaTheme="minorEastAsia"/>
          <w:b w:val="false"/>
          <w:bCs w:val="false"/>
        </w:rPr>
        <w:t>Level 2 -</w:t>
      </w:r>
      <w:r>
        <w:rPr>
          <w:rFonts w:eastAsia="" w:cs="" w:cstheme="minorBidi" w:eastAsiaTheme="minorEastAsia"/>
          <w:b/>
          <w:bCs/>
        </w:rPr>
        <w:t xml:space="preserve"> </w:t>
      </w:r>
      <w:r>
        <w:rPr>
          <w:rFonts w:eastAsia="" w:cs="" w:cstheme="minorBidi" w:eastAsiaTheme="minorEastAsia"/>
          <w:b w:val="false"/>
          <w:bCs w:val="false"/>
        </w:rPr>
        <w:t xml:space="preserve">Community-oriented support:  </w:t>
      </w:r>
      <w:r>
        <w:rPr>
          <w:rFonts w:eastAsia="" w:cs=""/>
          <w:b w:val="false"/>
          <w:bCs w:val="false"/>
        </w:rPr>
        <w:t>While the plan is still under development, it is expected to include some form of public investment in local infrastructure, schools, and healthcare services.</w:t>
      </w:r>
    </w:p>
    <w:p>
      <w:pPr>
        <w:pStyle w:val="Standard"/>
        <w:spacing w:before="0" w:after="0"/>
        <w:rPr>
          <w:rFonts w:ascii="Aptos" w:hAnsi="Aptos" w:eastAsia="" w:cs="" w:asciiTheme="minorHAnsi" w:cstheme="minorBidi" w:eastAsiaTheme="minorEastAsia" w:hAnsiTheme="minorHAnsi"/>
        </w:rPr>
      </w:pPr>
      <w:r>
        <w:rPr/>
      </w:r>
    </w:p>
    <w:p>
      <w:pPr>
        <w:pStyle w:val="Standard"/>
        <w:spacing w:before="0" w:after="0"/>
        <w:rPr>
          <w:rFonts w:ascii="Aptos" w:hAnsi="Aptos" w:eastAsia="" w:cs="" w:asciiTheme="minorHAnsi" w:cstheme="minorBidi" w:eastAsiaTheme="minorEastAsia" w:hAnsiTheme="minorHAnsi"/>
          <w:b/>
          <w:bCs/>
        </w:rPr>
      </w:pPr>
      <w:r>
        <w:rPr>
          <w:rFonts w:eastAsia="" w:cs="" w:cstheme="minorBidi" w:eastAsiaTheme="minorEastAsia"/>
          <w:b/>
          <w:bCs/>
        </w:rPr>
        <w:t xml:space="preserve">FACTOR </w:t>
      </w:r>
      <w:r>
        <w:rPr>
          <w:rFonts w:eastAsia="" w:cs="" w:cstheme="minorBidi" w:eastAsiaTheme="minorEastAsia"/>
          <w:b/>
          <w:bCs/>
        </w:rPr>
        <w:t>2</w:t>
      </w:r>
      <w:r>
        <w:rPr>
          <w:rFonts w:eastAsia="" w:cs="" w:cstheme="minorBidi" w:eastAsiaTheme="minorEastAsia"/>
          <w:b/>
          <w:bCs/>
        </w:rPr>
        <w:t xml:space="preserve"> (Union support) will take the following levels: </w:t>
      </w:r>
    </w:p>
    <w:p>
      <w:pPr>
        <w:pStyle w:val="Standard"/>
        <w:numPr>
          <w:ilvl w:val="0"/>
          <w:numId w:val="13"/>
        </w:numPr>
        <w:spacing w:before="0" w:after="0"/>
        <w:rPr>
          <w:rFonts w:ascii="Aptos" w:hAnsi="Aptos" w:eastAsia="" w:cs="" w:asciiTheme="minorHAnsi" w:cstheme="minorBidi" w:eastAsiaTheme="minorEastAsia" w:hAnsiTheme="minorHAnsi"/>
        </w:rPr>
      </w:pPr>
      <w:r>
        <w:rPr>
          <w:rFonts w:eastAsia="" w:cs="" w:cstheme="minorBidi" w:eastAsiaTheme="minorEastAsia"/>
        </w:rPr>
        <w:t xml:space="preserve">Level </w:t>
      </w:r>
      <w:r>
        <w:rPr>
          <w:rFonts w:eastAsia="" w:cs="" w:cstheme="minorBidi" w:eastAsiaTheme="minorEastAsia"/>
        </w:rPr>
        <w:t>1</w:t>
      </w:r>
      <w:r>
        <w:rPr>
          <w:rFonts w:eastAsia="" w:cs="" w:cstheme="minorBidi" w:eastAsiaTheme="minorEastAsia"/>
        </w:rPr>
        <w:t xml:space="preserve"> – Union opposition: ‘The trade union representing workers in your industry has opposed the </w:t>
      </w:r>
      <w:r>
        <w:rPr>
          <w:rFonts w:asciiTheme="minorHAnsi" w:hAnsiTheme="minorHAnsi"/>
        </w:rPr>
        <w:t xml:space="preserve">Just Transition </w:t>
      </w:r>
      <w:r>
        <w:rPr>
          <w:rFonts w:eastAsia="" w:cs="" w:cstheme="minorBidi" w:eastAsiaTheme="minorEastAsia"/>
        </w:rPr>
        <w:t>package.’</w:t>
      </w:r>
    </w:p>
    <w:p>
      <w:pPr>
        <w:pStyle w:val="Standard"/>
        <w:numPr>
          <w:ilvl w:val="0"/>
          <w:numId w:val="13"/>
        </w:numPr>
        <w:spacing w:before="0" w:after="0"/>
        <w:rPr>
          <w:rFonts w:ascii="Aptos" w:hAnsi="Aptos" w:eastAsia="" w:cs="" w:asciiTheme="minorHAnsi" w:cstheme="minorBidi" w:eastAsiaTheme="minorEastAsia" w:hAnsiTheme="minorHAnsi"/>
        </w:rPr>
      </w:pPr>
      <w:r>
        <w:rPr>
          <w:rFonts w:eastAsia="" w:cs="" w:cstheme="minorBidi" w:eastAsiaTheme="minorEastAsia"/>
        </w:rPr>
        <w:t xml:space="preserve">Level </w:t>
      </w:r>
      <w:r>
        <w:rPr>
          <w:rFonts w:eastAsia="" w:cs="" w:cstheme="minorBidi" w:eastAsiaTheme="minorEastAsia"/>
        </w:rPr>
        <w:t>2</w:t>
      </w:r>
      <w:r>
        <w:rPr>
          <w:rFonts w:eastAsia="" w:cs="" w:cstheme="minorBidi" w:eastAsiaTheme="minorEastAsia"/>
        </w:rPr>
        <w:t xml:space="preserve"> – Union support:  ‘The trade union representing workers in your industry has endorsed the </w:t>
      </w:r>
      <w:r>
        <w:rPr>
          <w:rFonts w:asciiTheme="minorHAnsi" w:hAnsiTheme="minorHAnsi"/>
        </w:rPr>
        <w:t xml:space="preserve">Just Transition </w:t>
      </w:r>
      <w:r>
        <w:rPr>
          <w:rFonts w:eastAsia="" w:cs="" w:cstheme="minorBidi" w:eastAsiaTheme="minorEastAsia"/>
        </w:rPr>
        <w:t>package.’</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r>
    </w:p>
    <w:p>
      <w:pPr>
        <w:pStyle w:val="ListParagraph"/>
        <w:numPr>
          <w:ilvl w:val="0"/>
          <w:numId w:val="4"/>
        </w:numPr>
        <w:rPr>
          <w:sz w:val="28"/>
          <w:szCs w:val="28"/>
        </w:rPr>
      </w:pPr>
      <w:r>
        <w:rPr>
          <w:rFonts w:eastAsia="Aptos" w:cs="Aptos"/>
          <w:b/>
          <w:bCs/>
          <w:sz w:val="28"/>
          <w:szCs w:val="28"/>
        </w:rPr>
        <w:t>Measurement strategy</w:t>
      </w:r>
    </w:p>
    <w:p>
      <w:pPr>
        <w:pStyle w:val="Standard"/>
        <w:spacing w:before="0" w:after="0"/>
        <w:jc w:val="both"/>
        <w:rPr>
          <w:rFonts w:ascii="Aptos" w:hAnsi="Aptos" w:asciiTheme="minorHAnsi" w:hAnsiTheme="minorHAnsi"/>
        </w:rPr>
      </w:pPr>
      <w:r>
        <w:rPr>
          <w:rFonts w:eastAsia="" w:cs="" w:cstheme="minorBidi" w:eastAsiaTheme="minorEastAsia"/>
        </w:rPr>
        <w:t xml:space="preserve">For the </w:t>
      </w:r>
      <w:r>
        <w:rPr>
          <w:rFonts w:eastAsia="" w:cs="" w:cstheme="minorBidi" w:eastAsiaTheme="minorEastAsia"/>
          <w:u w:val="single"/>
        </w:rPr>
        <w:t>conjoint experiment</w:t>
      </w:r>
      <w:r>
        <w:rPr>
          <w:rFonts w:eastAsia="" w:cs="" w:cstheme="minorBidi" w:eastAsiaTheme="minorEastAsia"/>
        </w:rPr>
        <w:t xml:space="preserve"> we use two main dependent variable as advised by Druckman and Green (2021):</w:t>
      </w:r>
    </w:p>
    <w:p>
      <w:pPr>
        <w:pStyle w:val="Standard"/>
        <w:numPr>
          <w:ilvl w:val="0"/>
          <w:numId w:val="3"/>
        </w:numPr>
        <w:spacing w:before="0" w:after="0"/>
        <w:jc w:val="both"/>
        <w:rPr>
          <w:rFonts w:ascii="Aptos" w:hAnsi="Aptos" w:asciiTheme="minorHAnsi" w:hAnsiTheme="minorHAnsi"/>
          <w:b/>
          <w:bCs/>
        </w:rPr>
      </w:pPr>
      <w:r>
        <w:rPr>
          <w:rFonts w:eastAsia="" w:cs="" w:cstheme="minorBidi" w:eastAsiaTheme="minorEastAsia"/>
          <w:b/>
          <w:bCs/>
        </w:rPr>
        <w:t>Main outcome</w:t>
      </w:r>
      <w:r>
        <w:rPr>
          <w:rFonts w:eastAsia="" w:cs="" w:cstheme="minorBidi" w:eastAsiaTheme="minorEastAsia"/>
        </w:rPr>
        <w:t xml:space="preserve"> – a dummy indicating the preferred policy</w:t>
      </w:r>
    </w:p>
    <w:p>
      <w:pPr>
        <w:pStyle w:val="Standard"/>
        <w:numPr>
          <w:ilvl w:val="0"/>
          <w:numId w:val="3"/>
        </w:numPr>
        <w:spacing w:before="0" w:after="0"/>
        <w:jc w:val="both"/>
        <w:rPr>
          <w:rFonts w:ascii="Aptos" w:hAnsi="Aptos" w:asciiTheme="minorHAnsi" w:hAnsiTheme="minorHAnsi"/>
        </w:rPr>
      </w:pPr>
      <w:r>
        <w:rPr>
          <w:rFonts w:eastAsia="" w:cs="" w:cstheme="minorBidi" w:eastAsiaTheme="minorEastAsia"/>
        </w:rPr>
        <w:t>(</w:t>
      </w:r>
      <w:r>
        <w:rPr>
          <w:rFonts w:eastAsia="" w:cs="" w:cstheme="minorBidi" w:eastAsiaTheme="minorEastAsia"/>
          <w:i/>
          <w:iCs/>
        </w:rPr>
        <w:t>secondary outcome for robustness check)</w:t>
      </w:r>
      <w:r>
        <w:rPr>
          <w:rFonts w:eastAsia="" w:cs="" w:cstheme="minorBidi" w:eastAsiaTheme="minorEastAsia"/>
        </w:rPr>
        <w:t xml:space="preserve"> Respondents are asked to determine how strongly they feel about their preference from 1-3 similarly to Blankenship et al. (2022). </w:t>
      </w:r>
    </w:p>
    <w:p>
      <w:pPr>
        <w:pStyle w:val="Standard"/>
        <w:spacing w:before="0" w:after="0"/>
        <w:jc w:val="both"/>
        <w:rPr>
          <w:rFonts w:ascii="Aptos" w:hAnsi="Aptos" w:asciiTheme="minorHAnsi" w:hAnsiTheme="minorHAnsi"/>
        </w:rPr>
      </w:pPr>
      <w:r>
        <w:rPr>
          <w:rFonts w:asciiTheme="minorHAnsi" w:hAnsiTheme="minorHAnsi"/>
        </w:rPr>
      </w:r>
    </w:p>
    <w:p>
      <w:pPr>
        <w:pStyle w:val="Standard"/>
        <w:spacing w:before="0" w:after="0"/>
        <w:jc w:val="both"/>
        <w:rPr>
          <w:rFonts w:ascii="Aptos" w:hAnsi="Aptos" w:asciiTheme="minorHAnsi" w:hAnsiTheme="minorHAnsi"/>
        </w:rPr>
      </w:pPr>
      <w:r>
        <w:rPr>
          <w:rFonts w:eastAsia="" w:cs="" w:cstheme="minorBidi" w:eastAsiaTheme="minorEastAsia"/>
        </w:rPr>
        <w:t xml:space="preserve">For the </w:t>
      </w:r>
      <w:r>
        <w:rPr>
          <w:rFonts w:eastAsia="" w:cs="" w:cstheme="minorBidi" w:eastAsiaTheme="minorEastAsia"/>
          <w:u w:val="single"/>
        </w:rPr>
        <w:t>vignette experiment</w:t>
      </w:r>
      <w:r>
        <w:rPr>
          <w:rFonts w:eastAsia="" w:cs="" w:cstheme="minorBidi" w:eastAsiaTheme="minorEastAsia"/>
        </w:rPr>
        <w:t>, we use the following dependent variables</w:t>
      </w:r>
    </w:p>
    <w:p>
      <w:pPr>
        <w:pStyle w:val="Standard"/>
        <w:numPr>
          <w:ilvl w:val="0"/>
          <w:numId w:val="2"/>
        </w:numPr>
        <w:spacing w:before="0" w:after="0"/>
        <w:jc w:val="both"/>
        <w:rPr>
          <w:rFonts w:ascii="Aptos" w:hAnsi="Aptos" w:asciiTheme="minorHAnsi" w:hAnsiTheme="minorHAnsi"/>
        </w:rPr>
      </w:pPr>
      <w:r>
        <w:rPr>
          <w:rFonts w:eastAsia="" w:cs="" w:cstheme="minorBidi" w:eastAsiaTheme="minorEastAsia"/>
          <w:b/>
          <w:bCs/>
        </w:rPr>
        <w:t xml:space="preserve">Main outcome - </w:t>
      </w:r>
      <w:r>
        <w:rPr>
          <w:rFonts w:eastAsia="" w:cs="" w:cstheme="minorBidi" w:eastAsiaTheme="minorEastAsia"/>
          <w:i/>
          <w:iCs/>
        </w:rPr>
        <w:t>How much do you support such a policy?</w:t>
      </w:r>
      <w:r>
        <w:rPr>
          <w:rFonts w:eastAsia="" w:cs="" w:cstheme="minorBidi" w:eastAsiaTheme="minorEastAsia"/>
        </w:rPr>
        <w:t xml:space="preserve"> 0 = Strongly oppose, 10 = Strongly support</w:t>
      </w:r>
    </w:p>
    <w:p>
      <w:pPr>
        <w:pStyle w:val="ListParagraph"/>
        <w:numPr>
          <w:ilvl w:val="0"/>
          <w:numId w:val="2"/>
        </w:numPr>
        <w:rPr>
          <w:rStyle w:val="Emphasis"/>
          <w:i w:val="false"/>
          <w:i w:val="false"/>
          <w:iCs w:val="false"/>
        </w:rPr>
      </w:pPr>
      <w:r>
        <w:rPr>
          <w:b/>
          <w:bCs/>
        </w:rPr>
        <w:t xml:space="preserve">Mechanism - </w:t>
      </w:r>
      <w:r>
        <w:rPr>
          <w:rStyle w:val="Emphasis"/>
          <w:rFonts w:eastAsia="" w:eastAsiaTheme="majorEastAsia"/>
          <w:color w:val="000000"/>
        </w:rPr>
        <w:t xml:space="preserve">To what extent does the union’s position increase your trust in the fairness of this policy? </w:t>
      </w:r>
      <w:r>
        <w:rPr/>
        <w:t>0 = Strongly oppose, 10 = Strongly support</w:t>
      </w:r>
    </w:p>
    <w:p>
      <w:pPr>
        <w:pStyle w:val="ListParagraph"/>
        <w:numPr>
          <w:ilvl w:val="0"/>
          <w:numId w:val="2"/>
        </w:numPr>
        <w:rPr/>
      </w:pPr>
      <w:r>
        <w:rPr>
          <w:b/>
          <w:bCs/>
          <w:color w:val="000000"/>
        </w:rPr>
        <w:t>Open-ended follow up</w:t>
      </w:r>
      <w:r>
        <w:rPr>
          <w:i/>
          <w:iCs/>
          <w:color w:val="000000"/>
        </w:rPr>
        <w:t xml:space="preserve"> - In your own words, why does the union’s position influence—or not influence—your view of this policy?  </w:t>
      </w:r>
      <w:r>
        <w:rPr>
          <w:color w:val="000000"/>
        </w:rPr>
        <w:t>Optional text entry</w:t>
      </w:r>
    </w:p>
    <w:p>
      <w:pPr>
        <w:pStyle w:val="ListParagraph"/>
        <w:numPr>
          <w:ilvl w:val="0"/>
          <w:numId w:val="2"/>
        </w:numPr>
        <w:rPr/>
      </w:pPr>
      <w:r>
        <w:rPr>
          <w:b/>
          <w:bCs/>
          <w:color w:val="000000"/>
        </w:rPr>
        <w:t xml:space="preserve">Impact on unions’ credibility  - </w:t>
      </w:r>
      <w:r>
        <w:rPr>
          <w:rStyle w:val="Emphasis"/>
          <w:rFonts w:eastAsia="" w:eastAsiaTheme="majorEastAsia"/>
          <w:color w:val="000000"/>
        </w:rPr>
        <w:t xml:space="preserve">To what extent does the union’s position make you more or less likely to see unions as effective actors in shaping climate policy? </w:t>
      </w:r>
      <w:r>
        <w:rPr/>
        <w:t>0 = Strongly oppose, 10 = Strongly support</w:t>
      </w:r>
    </w:p>
    <w:p>
      <w:pPr>
        <w:pStyle w:val="ListParagraph"/>
        <w:numPr>
          <w:ilvl w:val="0"/>
          <w:numId w:val="2"/>
        </w:numPr>
        <w:rPr/>
      </w:pPr>
      <w:r>
        <w:rPr>
          <w:b/>
          <w:bCs/>
          <w:color w:val="000000"/>
        </w:rPr>
        <w:t xml:space="preserve">Impact on unions’ action - </w:t>
      </w:r>
      <w:r>
        <w:rPr>
          <w:rStyle w:val="Emphasis"/>
          <w:color w:val="000000"/>
        </w:rPr>
        <w:t>How likely would you be to attend a union meeting about this transition plan?</w:t>
      </w:r>
      <w:r>
        <w:rPr>
          <w:b/>
          <w:bCs/>
          <w:color w:val="000000"/>
        </w:rPr>
        <w:t xml:space="preserve">  </w:t>
      </w:r>
      <w:r>
        <w:rPr/>
        <w:t>0 = Strongly oppose, 10 = Strongly support</w:t>
      </w:r>
    </w:p>
    <w:p>
      <w:pPr>
        <w:pStyle w:val="ListParagraph"/>
        <w:spacing w:before="0" w:after="0"/>
        <w:ind w:left="0"/>
        <w:contextualSpacing/>
        <w:rPr/>
      </w:pPr>
      <w:r>
        <w:rPr/>
      </w:r>
    </w:p>
    <w:p>
      <w:pPr>
        <w:pStyle w:val="ListParagraph"/>
        <w:numPr>
          <w:ilvl w:val="1"/>
          <w:numId w:val="4"/>
        </w:numPr>
        <w:spacing w:before="0" w:after="0"/>
        <w:contextualSpacing/>
        <w:rPr/>
      </w:pPr>
      <w:r>
        <w:rPr>
          <w:rFonts w:eastAsia="Aptos" w:cs="Aptos"/>
          <w:b/>
          <w:bCs/>
        </w:rPr>
        <w:t>Statistical analysis</w:t>
      </w:r>
    </w:p>
    <w:p>
      <w:pPr>
        <w:pStyle w:val="Standard"/>
        <w:spacing w:before="0" w:after="0"/>
        <w:jc w:val="both"/>
        <w:rPr>
          <w:rFonts w:ascii="Aptos" w:hAnsi="Aptos" w:asciiTheme="minorHAnsi" w:hAnsiTheme="minorHAnsi"/>
        </w:rPr>
      </w:pPr>
      <w:r>
        <w:rPr>
          <w:rFonts w:eastAsia="" w:cs="" w:cstheme="minorBidi" w:eastAsiaTheme="minorEastAsia"/>
        </w:rPr>
        <w:t>To test Hypothesis 1, we use insights from the conjoint experiment. We estimate the Average Marginal Component Effect (AMCE) by calculating the average effect of an attribute, averaged over the joint distribution of the remaining attributes (Hainmueller, Hopkins, and Yamamoto 2014). We cluster standard errors at the respondent level, since each subject makes multiple comparisons across which residuals are likely to be correlated. We will focus the analysis on the Free Retraining Program and Worker Support attributes.</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jc w:val="both"/>
        <w:rPr>
          <w:rFonts w:ascii="Aptos" w:hAnsi="Aptos" w:asciiTheme="minorHAnsi" w:hAnsiTheme="minorHAnsi"/>
        </w:rPr>
      </w:pPr>
      <w:r>
        <w:rPr>
          <w:rFonts w:eastAsia="" w:cs="" w:cstheme="minorBidi" w:eastAsiaTheme="minorEastAsia"/>
        </w:rPr>
        <w:t>To test Hypothesis 2, we will use both the vignette and the conjoint experiment. For the vignette, the main estimand is the Average Treatment Effect (ATE) of the Community Investment condition on support for climate policy. We estimate this quantity by (i) calculating the difference in means between the D1b and D1a groups, (ii) employing a bivariate Ordinary Least Squares (OLS) regression, and (iii) employing a multivariate OLS regression that controls for age, sex, race, education, income, and partisan identification, following the approach of Gazmararian (2024). For the conjoint, we will use the same test as in Hypothesis 1, focusing on the Community Investment attribute.</w:t>
      </w:r>
    </w:p>
    <w:p>
      <w:pPr>
        <w:pStyle w:val="Standard"/>
        <w:spacing w:before="0" w:after="0"/>
        <w:jc w:val="both"/>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jc w:val="both"/>
        <w:rPr>
          <w:rFonts w:ascii="Aptos" w:hAnsi="Aptos" w:asciiTheme="minorHAnsi" w:hAnsiTheme="minorHAnsi"/>
        </w:rPr>
      </w:pPr>
      <w:r>
        <w:rPr>
          <w:rFonts w:eastAsia="" w:cs="" w:cstheme="minorBidi" w:eastAsiaTheme="minorEastAsia"/>
        </w:rPr>
        <w:t>To test Hypothesis 3, we will again use both the vignette and the conjoint experiment. For the vignette, the main estimand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Gazmararian (2024). For the conjoint, we will use the same test as in Hypothesis 1, focusing on the Union attribute.</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r>
    </w:p>
    <w:p>
      <w:pPr>
        <w:pStyle w:val="ListParagraph"/>
        <w:numPr>
          <w:ilvl w:val="1"/>
          <w:numId w:val="4"/>
        </w:numPr>
        <w:spacing w:before="0" w:after="0"/>
        <w:contextualSpacing/>
        <w:rPr/>
      </w:pPr>
      <w:r>
        <w:rPr>
          <w:rFonts w:eastAsia="Aptos" w:cs="Aptos"/>
          <w:b/>
          <w:bCs/>
        </w:rPr>
        <w:t>Power</w:t>
      </w:r>
    </w:p>
    <w:p>
      <w:pPr>
        <w:pStyle w:val="ListParagraph"/>
        <w:spacing w:before="0" w:after="0"/>
        <w:ind w:left="0"/>
        <w:contextualSpacing/>
        <w:jc w:val="both"/>
        <w:rPr/>
      </w:pPr>
      <w:r>
        <w:rPr/>
        <w:t xml:space="preserve">For the conjoint experiment, assuming an effect size of 0.03, 1,500 respondents, four tasks per respondent, and a maximum of three levels per attribute, we expect to achieve 80% power. With a larger effect size of 0.05—commonly used in power analyses on this topic (see Gazmararian 2024)—we reach 80% power with only 500 respondents. Power calculations were conducted using the following tool: </w:t>
      </w:r>
      <w:hyperlink r:id="rId11">
        <w:r>
          <w:rPr>
            <w:rStyle w:val="Hyperlink"/>
          </w:rPr>
          <w:t>https://mblukac.shinyapps.io/conjoints-power-shiny/</w:t>
        </w:r>
      </w:hyperlink>
      <w:r>
        <w:rPr/>
        <w:t xml:space="preserve">. </w:t>
      </w:r>
    </w:p>
    <w:p>
      <w:pPr>
        <w:pStyle w:val="ListParagraph"/>
        <w:spacing w:before="0" w:after="0"/>
        <w:ind w:left="0"/>
        <w:contextualSpacing/>
        <w:jc w:val="both"/>
        <w:rPr/>
      </w:pPr>
      <w:r>
        <w:rPr/>
      </w:r>
    </w:p>
    <w:p>
      <w:pPr>
        <w:pStyle w:val="ListParagraph"/>
        <w:spacing w:before="0" w:after="0"/>
        <w:ind w:left="0"/>
        <w:contextualSpacing/>
        <w:jc w:val="both"/>
        <w:rPr/>
      </w:pPr>
      <w:r>
        <w:rPr/>
        <w:t xml:space="preserve">For the vignette experiment, we benchmarked values using data from the survey experiment embedded in Gazmararian’s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hyperlink r:id="rId12">
        <w:r>
          <w:rPr>
            <w:rStyle w:val="Hyperlink"/>
          </w:rPr>
          <w:t>https://egap.shinyapps.io/power-app/</w:t>
        </w:r>
      </w:hyperlink>
      <w:r>
        <w:rPr/>
        <w:t xml:space="preserve">. </w:t>
      </w:r>
    </w:p>
    <w:p>
      <w:pPr>
        <w:pStyle w:val="ListParagraph"/>
        <w:spacing w:before="0" w:after="0"/>
        <w:ind w:left="0"/>
        <w:contextualSpacing/>
        <w:jc w:val="both"/>
        <w:rPr/>
      </w:pPr>
      <w:r>
        <w:rPr/>
      </w:r>
    </w:p>
    <w:p>
      <w:pPr>
        <w:pStyle w:val="Standard"/>
        <w:numPr>
          <w:ilvl w:val="0"/>
          <w:numId w:val="4"/>
        </w:numPr>
        <w:spacing w:before="0" w:after="0"/>
        <w:rPr>
          <w:rFonts w:ascii="Aptos" w:hAnsi="Aptos" w:asciiTheme="minorHAnsi" w:hAnsiTheme="minorHAnsi"/>
          <w:b/>
          <w:bCs/>
          <w:sz w:val="28"/>
          <w:szCs w:val="26"/>
        </w:rPr>
      </w:pPr>
      <w:r>
        <w:rPr>
          <w:rFonts w:eastAsia="Aptos" w:cs="Aptos"/>
          <w:b/>
          <w:bCs/>
          <w:sz w:val="28"/>
          <w:szCs w:val="28"/>
        </w:rPr>
        <w:t>Conclusion / expected contribution</w:t>
      </w:r>
    </w:p>
    <w:p>
      <w:pPr>
        <w:pStyle w:val="Standard"/>
        <w:spacing w:before="0" w:after="0"/>
        <w:rPr>
          <w:rFonts w:ascii="Aptos" w:hAnsi="Aptos" w:asciiTheme="minorHAnsi" w:hAnsiTheme="minorHAnsi"/>
          <w:b/>
          <w:bCs/>
        </w:rPr>
      </w:pPr>
      <w:r>
        <w:rPr>
          <w:rFonts w:asciiTheme="minorHAnsi" w:hAnsiTheme="minorHAnsi"/>
          <w:b/>
          <w:bCs/>
        </w:rPr>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t>Overall, the project may help us identify public support for stereotypical Just Transition pathways.  We aim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r>
    </w:p>
    <w:p>
      <w:pPr>
        <w:pStyle w:val="Standard"/>
        <w:spacing w:before="0" w:after="0"/>
        <w:rPr>
          <w:rFonts w:ascii="Aptos" w:hAnsi="Aptos" w:asciiTheme="minorHAnsi" w:hAnsiTheme="minorHAnsi"/>
        </w:rPr>
      </w:pPr>
      <w:r>
        <w:rPr>
          <w:rFonts w:eastAsia="" w:cs="" w:cstheme="minorBidi" w:eastAsiaTheme="minorEastAsia"/>
        </w:rPr>
        <w:t xml:space="preserve">At this stage, we could – for example, consider whether empirical evidence would support an analytical distinction between: </w:t>
      </w:r>
    </w:p>
    <w:p>
      <w:pPr>
        <w:pStyle w:val="Standard"/>
        <w:numPr>
          <w:ilvl w:val="0"/>
          <w:numId w:val="1"/>
        </w:numPr>
        <w:spacing w:before="0" w:after="0"/>
        <w:rPr>
          <w:rFonts w:ascii="Aptos" w:hAnsi="Aptos" w:asciiTheme="minorHAnsi" w:hAnsiTheme="minorHAnsi"/>
        </w:rPr>
      </w:pPr>
      <w:r>
        <w:rPr>
          <w:rFonts w:eastAsia="" w:cs="" w:cstheme="minorBidi" w:eastAsiaTheme="minorEastAsia"/>
          <w:b/>
          <w:bCs/>
        </w:rPr>
        <w:t>An individual compensation path</w:t>
      </w:r>
    </w:p>
    <w:p>
      <w:pPr>
        <w:pStyle w:val="Standard"/>
        <w:numPr>
          <w:ilvl w:val="0"/>
          <w:numId w:val="1"/>
        </w:numPr>
        <w:spacing w:before="0" w:after="0"/>
        <w:rPr>
          <w:rFonts w:ascii="Aptos" w:hAnsi="Aptos" w:asciiTheme="minorHAnsi" w:hAnsiTheme="minorHAnsi"/>
        </w:rPr>
      </w:pPr>
      <w:r>
        <w:rPr>
          <w:rFonts w:eastAsia="" w:cs="" w:cstheme="minorBidi" w:eastAsiaTheme="minorEastAsia"/>
          <w:b/>
          <w:bCs/>
        </w:rPr>
        <w:t>A group-securisation path</w:t>
      </w:r>
    </w:p>
    <w:p>
      <w:pPr>
        <w:pStyle w:val="Standard"/>
        <w:numPr>
          <w:ilvl w:val="0"/>
          <w:numId w:val="1"/>
        </w:numPr>
        <w:spacing w:before="0" w:after="0"/>
        <w:rPr>
          <w:rFonts w:ascii="Aptos" w:hAnsi="Aptos" w:asciiTheme="minorHAnsi" w:hAnsiTheme="minorHAnsi"/>
        </w:rPr>
      </w:pPr>
      <w:r>
        <w:rPr>
          <w:rFonts w:eastAsia="" w:cs="" w:cstheme="minorBidi" w:eastAsiaTheme="minorEastAsia"/>
          <w:b/>
          <w:bCs/>
        </w:rPr>
        <w:t xml:space="preserve">A collective capacitation path </w:t>
      </w:r>
    </w:p>
    <w:p>
      <w:pPr>
        <w:pStyle w:val="Standard"/>
        <w:spacing w:before="0" w:after="0"/>
        <w:rPr>
          <w:rFonts w:ascii="Aptos" w:hAnsi="Aptos" w:asciiTheme="minorHAnsi" w:hAnsiTheme="minorHAnsi"/>
        </w:rPr>
      </w:pPr>
      <w:r>
        <w:rPr>
          <w:rFonts w:asciiTheme="minorHAnsi" w:hAnsiTheme="minorHAnsi"/>
        </w:rPr>
      </w:r>
    </w:p>
    <w:p>
      <w:pPr>
        <w:pStyle w:val="Standard"/>
        <w:spacing w:before="0" w:after="0"/>
        <w:rPr>
          <w:rFonts w:ascii="Aptos" w:hAnsi="Aptos" w:asciiTheme="minorHAnsi" w:hAnsiTheme="minorHAnsi"/>
        </w:rPr>
      </w:pPr>
      <w:r>
        <w:rPr>
          <w:rFonts w:eastAsia="" w:cs="" w:cstheme="minorBidi" w:eastAsiaTheme="minorEastAsia"/>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in  shaping individual realignment. </w:t>
      </w:r>
    </w:p>
    <w:p>
      <w:pPr>
        <w:pStyle w:val="Standard"/>
        <w:spacing w:before="0" w:after="0"/>
        <w:rPr>
          <w:rFonts w:ascii="Aptos" w:hAnsi="Aptos" w:eastAsia="" w:cs="" w:asciiTheme="minorHAnsi" w:cstheme="minorBidi" w:eastAsiaTheme="minorEastAsia" w:hAnsiTheme="minorHAnsi"/>
        </w:rPr>
      </w:pPr>
      <w:r>
        <w:rPr>
          <w:rFonts w:eastAsia="" w:cs="" w:cstheme="minorBidi" w:eastAsiaTheme="minorEastAsia"/>
        </w:rPr>
      </w:r>
    </w:p>
    <w:p>
      <w:pPr>
        <w:pStyle w:val="Standard"/>
        <w:numPr>
          <w:ilvl w:val="0"/>
          <w:numId w:val="4"/>
        </w:numPr>
        <w:rPr>
          <w:rFonts w:ascii="Aptos" w:hAnsi="Aptos" w:asciiTheme="minorHAnsi" w:hAnsiTheme="minorHAnsi"/>
          <w:sz w:val="28"/>
          <w:szCs w:val="26"/>
        </w:rPr>
      </w:pPr>
      <w:r>
        <w:rPr>
          <w:rFonts w:asciiTheme="minorHAnsi" w:hAnsiTheme="minorHAnsi"/>
          <w:b/>
          <w:bCs/>
          <w:sz w:val="28"/>
          <w:szCs w:val="26"/>
        </w:rPr>
        <w:t>References</w:t>
      </w:r>
    </w:p>
    <w:p>
      <w:pPr>
        <w:pStyle w:val="Standard"/>
        <w:rPr>
          <w:rFonts w:ascii="Aptos" w:hAnsi="Aptos" w:asciiTheme="minorHAnsi" w:hAnsiTheme="minorHAnsi"/>
        </w:rPr>
      </w:pPr>
      <w:r>
        <w:rPr>
          <w:rFonts w:asciiTheme="minorHAnsi" w:hAnsiTheme="minorHAnsi"/>
        </w:rPr>
        <w:t xml:space="preserve">Birch, Sarah. “Political Polarization and Environmental Attitudes: A Cross-National Analysis.” Environmental Politics 29, no. 4 (June 6, 2020): 697–718. </w:t>
      </w:r>
      <w:hyperlink r:id="rId13">
        <w:r>
          <w:rPr>
            <w:rStyle w:val="Hyperlink"/>
            <w:rFonts w:asciiTheme="minorHAnsi" w:hAnsiTheme="minorHAnsi"/>
          </w:rPr>
          <w:t>https://doi.org/10.1080/09644016.2019.1673997</w:t>
        </w:r>
      </w:hyperlink>
      <w:r>
        <w:rPr>
          <w:rFonts w:asciiTheme="minorHAnsi" w:hAnsiTheme="minorHAnsi"/>
        </w:rPr>
        <w:t>.</w:t>
      </w:r>
    </w:p>
    <w:p>
      <w:pPr>
        <w:pStyle w:val="Standard"/>
        <w:rPr>
          <w:rFonts w:ascii="Aptos" w:hAnsi="Aptos" w:asciiTheme="minorHAnsi" w:hAnsiTheme="minorHAnsi"/>
        </w:rPr>
      </w:pPr>
      <w:r>
        <w:rPr>
          <w:rFonts w:asciiTheme="minorHAnsi" w:hAnsiTheme="minorHAnsi"/>
        </w:rPr>
        <w:t>Guber, Deborah Lynn. “A Cooling Climate for Change? Party Polarization and the Politics of Global Warming.” American Behavioral Scientist 57, no. 1 (January 1, 2013): 93–115. https://doi.org/10.1177/0002764212463361.</w:t>
      </w:r>
    </w:p>
    <w:p>
      <w:pPr>
        <w:pStyle w:val="Standard"/>
        <w:rPr>
          <w:rFonts w:ascii="Aptos" w:hAnsi="Aptos" w:asciiTheme="minorHAnsi" w:hAnsiTheme="minorHAnsi"/>
        </w:rPr>
      </w:pPr>
      <w:r>
        <w:rPr>
          <w:rFonts w:asciiTheme="minorHAnsi" w:hAnsiTheme="minorHAnsi"/>
        </w:rPr>
        <w:t xml:space="preserve">Kono, Daniel Yuichi. “Compensating for the Climate: Unemployment Insurance and Climate Change Votes.” Political Studies 68, no. 1 (February 1, 2020): 167–86. </w:t>
      </w:r>
      <w:hyperlink r:id="rId14">
        <w:r>
          <w:rPr>
            <w:rStyle w:val="Hyperlink"/>
            <w:rFonts w:asciiTheme="minorHAnsi" w:hAnsiTheme="minorHAnsi"/>
          </w:rPr>
          <w:t>https://doi.org/10.1177/0032321719836066</w:t>
        </w:r>
      </w:hyperlink>
      <w:r>
        <w:rPr>
          <w:rFonts w:asciiTheme="minorHAnsi" w:hAnsiTheme="minorHAnsi"/>
        </w:rPr>
        <w:t>.</w:t>
      </w:r>
    </w:p>
    <w:p>
      <w:pPr>
        <w:pStyle w:val="Standard"/>
        <w:rPr>
          <w:rFonts w:ascii="Aptos" w:hAnsi="Aptos" w:asciiTheme="minorHAnsi" w:hAnsiTheme="minorHAnsi"/>
        </w:rPr>
      </w:pPr>
      <w:r>
        <w:rPr>
          <w:rFonts w:asciiTheme="minorHAnsi" w:hAnsiTheme="minorHAnsi"/>
        </w:rPr>
        <w:t xml:space="preserve">Maestre-Andrés, Sara, Stefan Drews, and Jeroen van den Bergh. “Perceived Fairness and Public Acceptability of Carbon Pricing: A Review of the Literature.” Climate Policy 19, no. 9 (October 21, 2019): 1186–1204. </w:t>
      </w:r>
      <w:hyperlink r:id="rId15">
        <w:r>
          <w:rPr>
            <w:rStyle w:val="Hyperlink"/>
            <w:rFonts w:asciiTheme="minorHAnsi" w:hAnsiTheme="minorHAnsi"/>
          </w:rPr>
          <w:t>https://doi.org/10.1080/14693062.2019.1639490</w:t>
        </w:r>
      </w:hyperlink>
      <w:r>
        <w:rPr>
          <w:rFonts w:asciiTheme="minorHAnsi" w:hAnsiTheme="minorHAnsi"/>
        </w:rPr>
        <w:t>.</w:t>
      </w:r>
    </w:p>
    <w:p>
      <w:pPr>
        <w:pStyle w:val="Standard"/>
        <w:rPr>
          <w:rFonts w:ascii="Aptos" w:hAnsi="Aptos" w:asciiTheme="minorHAnsi" w:hAnsiTheme="minorHAnsi"/>
        </w:rPr>
      </w:pPr>
      <w:r>
        <w:rPr>
          <w:rFonts w:asciiTheme="minorHAnsi" w:hAnsiTheme="minorHAnsi"/>
        </w:rPr>
        <w:t xml:space="preserve">Vona, Francesco. “Job Losses and Political Acceptability of Climate Policies: Why the ‘Job-Killing’ Argument Is so Persistent and How to Overturn It.” Climate Policy 19, no. 4 (April 21, 2019): 524–32. </w:t>
      </w:r>
      <w:hyperlink r:id="rId16">
        <w:r>
          <w:rPr>
            <w:rStyle w:val="Hyperlink"/>
            <w:rFonts w:asciiTheme="minorHAnsi" w:hAnsiTheme="minorHAnsi"/>
          </w:rPr>
          <w:t>https://doi.org/10.1080/14693062.2018.1532871</w:t>
        </w:r>
      </w:hyperlink>
      <w:r>
        <w:rPr>
          <w:rFonts w:asciiTheme="minorHAnsi" w:hAnsiTheme="minorHAnsi"/>
        </w:rPr>
        <w:t>.</w:t>
      </w:r>
    </w:p>
    <w:p>
      <w:pPr>
        <w:pStyle w:val="Standard"/>
        <w:rPr>
          <w:rFonts w:ascii="Aptos" w:hAnsi="Aptos" w:asciiTheme="minorHAnsi" w:hAnsiTheme="minorHAnsi"/>
        </w:rPr>
      </w:pPr>
      <w:r>
        <w:rPr>
          <w:rFonts w:eastAsia="Aptos" w:cs="Aptos"/>
          <w:b/>
          <w:bCs/>
        </w:rPr>
        <w:t>References</w:t>
      </w:r>
    </w:p>
    <w:p>
      <w:pPr>
        <w:pStyle w:val="Standard"/>
        <w:rPr>
          <w:rFonts w:ascii="Aptos" w:hAnsi="Aptos" w:asciiTheme="minorHAnsi" w:hAnsiTheme="minorHAnsi"/>
        </w:rPr>
      </w:pPr>
      <w:r>
        <w:rPr>
          <w:rFonts w:eastAsia="Aptos" w:cs="Aptos"/>
        </w:rPr>
        <w:t xml:space="preserve">Baute, Sharon. “The Distributive Politics of the Green Transition: A Conjoint Experiment on EU Climate Change Mitigation Policy.” Journal of European Public Policy 0, no. 0 (n.d.): 1–29. </w:t>
      </w:r>
      <w:hyperlink r:id="rId17">
        <w:r>
          <w:rPr>
            <w:rStyle w:val="Hyperlink"/>
            <w:rFonts w:eastAsia="Aptos" w:cs="Aptos"/>
            <w:color w:val="0563C1"/>
          </w:rPr>
          <w:t>https://doi.org/10.1080/13501763.2024.2304609</w:t>
        </w:r>
      </w:hyperlink>
      <w:r>
        <w:rPr>
          <w:rFonts w:eastAsia="Aptos" w:cs="Aptos"/>
        </w:rPr>
        <w:t>.</w:t>
      </w:r>
    </w:p>
    <w:p>
      <w:pPr>
        <w:pStyle w:val="Standard"/>
        <w:rPr>
          <w:rFonts w:ascii="Aptos" w:hAnsi="Aptos" w:asciiTheme="minorHAnsi" w:hAnsiTheme="minorHAnsi"/>
        </w:rPr>
      </w:pPr>
      <w:r>
        <w:rPr>
          <w:rFonts w:eastAsia="Aptos" w:cs="Aptos"/>
        </w:rPr>
        <w:t xml:space="preserve">Beiser-McGrath, Liam F., and Thomas Bernauer. “How Do Pocketbook and Distributional Concerns Affect Citizens’ Preferences for Carbon Taxation?” The Journal of Politics 86, no. 2 (April 2024): 551–64. </w:t>
      </w:r>
      <w:hyperlink r:id="rId18">
        <w:r>
          <w:rPr>
            <w:rStyle w:val="Hyperlink"/>
            <w:rFonts w:eastAsia="Aptos" w:cs="Aptos"/>
            <w:color w:val="0563C1"/>
          </w:rPr>
          <w:t>https://doi.org/10.1086/727594</w:t>
        </w:r>
      </w:hyperlink>
      <w:r>
        <w:rPr>
          <w:rFonts w:eastAsia="Aptos" w:cs="Aptos"/>
        </w:rPr>
        <w:t>.</w:t>
      </w:r>
    </w:p>
    <w:p>
      <w:pPr>
        <w:pStyle w:val="Standard"/>
        <w:rPr>
          <w:rFonts w:ascii="Aptos" w:hAnsi="Aptos" w:asciiTheme="minorHAnsi" w:hAnsiTheme="minorHAnsi"/>
        </w:rPr>
      </w:pPr>
      <w:r>
        <w:rPr>
          <w:rFonts w:eastAsia="Aptos" w:cs="Aptos"/>
        </w:rPr>
        <w:t xml:space="preserve">Bolet, Diane, Fergus Green, and Mikel González-Eguino. ‘How to Get Coal Country to Vote for Climate Policy: The Effect of a “Just Transition Agreement” on Spanish Election Results’. American Political Science Review, 4 December 2023, 1–16. </w:t>
      </w:r>
      <w:hyperlink r:id="rId19">
        <w:r>
          <w:rPr>
            <w:rStyle w:val="Hyperlink"/>
            <w:rFonts w:eastAsia="Aptos" w:cs="Aptos"/>
            <w:color w:val="0563C1"/>
          </w:rPr>
          <w:t>https://doi.org/10.1017/S0003055423001235</w:t>
        </w:r>
      </w:hyperlink>
      <w:r>
        <w:rPr>
          <w:rFonts w:eastAsia="Aptos" w:cs="Aptos"/>
        </w:rPr>
        <w:t>.</w:t>
      </w:r>
    </w:p>
    <w:p>
      <w:pPr>
        <w:pStyle w:val="Standard"/>
        <w:rPr>
          <w:rFonts w:ascii="Aptos" w:hAnsi="Aptos" w:asciiTheme="minorHAnsi" w:hAnsiTheme="minorHAnsi"/>
        </w:rPr>
      </w:pPr>
      <w:r>
        <w:rPr>
          <w:rFonts w:eastAsia="Aptos" w:cs="Aptos"/>
        </w:rPr>
        <w:t xml:space="preserve">Colantone, Italo, Livio Di Lonardo, Yotam Margalit, and Marco Percoco. ‘The Political Consequences of Green Policies: Evidence from Italy’. American Political Science Review 118, no. 1 (February 2024): 108–26. </w:t>
      </w:r>
      <w:hyperlink r:id="rId20">
        <w:r>
          <w:rPr>
            <w:rStyle w:val="Hyperlink"/>
            <w:rFonts w:eastAsia="Aptos" w:cs="Aptos"/>
            <w:color w:val="0563C1"/>
          </w:rPr>
          <w:t>https://doi.org/10.1017/S0003055423000308</w:t>
        </w:r>
      </w:hyperlink>
      <w:r>
        <w:rPr>
          <w:rFonts w:eastAsia="Aptos" w:cs="Aptos"/>
        </w:rPr>
        <w:t>.</w:t>
      </w:r>
    </w:p>
    <w:p>
      <w:pPr>
        <w:pStyle w:val="Standard"/>
        <w:rPr>
          <w:rFonts w:ascii="Aptos" w:hAnsi="Aptos" w:asciiTheme="minorHAnsi" w:hAnsiTheme="minorHAnsi"/>
        </w:rPr>
      </w:pPr>
      <w:r>
        <w:rPr>
          <w:rFonts w:eastAsia="Aptos" w:cs="Aptos"/>
        </w:rPr>
        <w:t xml:space="preserve">Gazmararian, Alexander F. “Fossil Fuel Communities Support Climate Policy Coupled with Just Transition Assistance.” Energy Policy 184 (January 1, 2024): 113880. </w:t>
      </w:r>
      <w:hyperlink r:id="rId21">
        <w:r>
          <w:rPr>
            <w:rStyle w:val="Hyperlink"/>
            <w:rFonts w:eastAsia="Aptos" w:cs="Aptos"/>
            <w:color w:val="0563C1"/>
          </w:rPr>
          <w:t>https://doi.org/10.1016/j.enpol.2023.113880</w:t>
        </w:r>
      </w:hyperlink>
      <w:r>
        <w:rPr>
          <w:rFonts w:eastAsia="Aptos" w:cs="Aptos"/>
        </w:rPr>
        <w:t>.</w:t>
      </w:r>
    </w:p>
    <w:p>
      <w:pPr>
        <w:pStyle w:val="Standard"/>
        <w:rPr>
          <w:rFonts w:ascii="Aptos" w:hAnsi="Aptos" w:asciiTheme="minorHAnsi" w:hAnsiTheme="minorHAnsi"/>
        </w:rPr>
      </w:pPr>
      <w:r>
        <w:rPr>
          <w:rFonts w:eastAsia="Aptos" w:cs="Aptos"/>
        </w:rPr>
        <w:t xml:space="preserve">Henriks, Sofia, Niklas Harring, and Nils Droste. “Voters Do Not Punish Their Government for Climate Policies under Favorable Conditions.” Environmental Politics 0, no. 0 (n.d.): 1–24. </w:t>
      </w:r>
      <w:hyperlink r:id="rId22">
        <w:r>
          <w:rPr>
            <w:rStyle w:val="Hyperlink"/>
            <w:rFonts w:eastAsia="Aptos" w:cs="Aptos"/>
            <w:color w:val="0563C1"/>
          </w:rPr>
          <w:t>https://doi.org/10.1080/09644016.2024.2373606</w:t>
        </w:r>
      </w:hyperlink>
      <w:r>
        <w:rPr>
          <w:rFonts w:eastAsia="Aptos" w:cs="Aptos"/>
        </w:rPr>
        <w:t>.</w:t>
      </w:r>
    </w:p>
    <w:p>
      <w:pPr>
        <w:pStyle w:val="Standard"/>
        <w:rPr>
          <w:rFonts w:ascii="Aptos" w:hAnsi="Aptos" w:asciiTheme="minorHAnsi" w:hAnsiTheme="minorHAnsi"/>
        </w:rPr>
      </w:pPr>
      <w:r>
        <w:rPr>
          <w:rFonts w:eastAsia="Aptos" w:cs="Aptos"/>
        </w:rPr>
        <w:t xml:space="preserve">Schaffer, Lena Maria. “Who’s Afraid of More Ambitious Climate Policy? How Distributional Implications Shape Policy Support and Compensatory Preferences.” Environmental Politics 33, no. 4 (June 6, 2024): 567–90. </w:t>
      </w:r>
      <w:hyperlink r:id="rId23">
        <w:r>
          <w:rPr>
            <w:rStyle w:val="Hyperlink"/>
            <w:rFonts w:eastAsia="Aptos" w:cs="Aptos"/>
            <w:color w:val="0563C1"/>
          </w:rPr>
          <w:t>https://doi.org/10.1080/09644016.2023.2247818</w:t>
        </w:r>
      </w:hyperlink>
      <w:r>
        <w:rPr>
          <w:rFonts w:eastAsia="Aptos" w:cs="Aptos"/>
        </w:rPr>
        <w:t>.</w:t>
      </w:r>
    </w:p>
    <w:p>
      <w:pPr>
        <w:pStyle w:val="Standard"/>
        <w:rPr>
          <w:rFonts w:ascii="Aptos" w:hAnsi="Aptos" w:asciiTheme="minorHAnsi" w:hAnsiTheme="minorHAnsi"/>
        </w:rPr>
      </w:pPr>
      <w:r>
        <w:rPr>
          <w:rFonts w:eastAsia="Aptos" w:cs="Aptos"/>
        </w:rPr>
        <w:t xml:space="preserve">Srivastav, Sugandha, and Ryan Rafaty. “Political Strategies to Overcome Climate Policy Obstructionism.” Perspectives on Politics 21, no. 2 (June 2023): 640–50. </w:t>
      </w:r>
      <w:hyperlink r:id="rId24">
        <w:r>
          <w:rPr>
            <w:rStyle w:val="Hyperlink"/>
            <w:rFonts w:eastAsia="Aptos" w:cs="Aptos"/>
            <w:color w:val="0563C1"/>
          </w:rPr>
          <w:t>https://doi.org/10.1017/S1537592722002080</w:t>
        </w:r>
      </w:hyperlink>
      <w:r>
        <w:rPr>
          <w:rFonts w:eastAsia="Aptos" w:cs="Aptos"/>
        </w:rPr>
        <w:t>.</w:t>
      </w:r>
    </w:p>
    <w:p>
      <w:pPr>
        <w:pStyle w:val="Standard"/>
        <w:rPr>
          <w:rFonts w:ascii="Aptos" w:hAnsi="Aptos" w:asciiTheme="minorHAnsi" w:hAnsiTheme="minorHAnsi"/>
        </w:rPr>
      </w:pPr>
      <w:r>
        <w:rPr>
          <w:rFonts w:eastAsia="Aptos" w:cs="Aptos"/>
        </w:rPr>
        <w:t xml:space="preserve">Voeten, Erik. ‘The Energy Transition and Support for the Radical Right: Evidence from the Netherlands’. Comparative Political Studies, 11 March 2024, 00104140241237468. </w:t>
      </w:r>
      <w:hyperlink r:id="rId25">
        <w:r>
          <w:rPr>
            <w:rStyle w:val="Hyperlink"/>
            <w:rFonts w:eastAsia="Aptos" w:cs="Aptos"/>
            <w:color w:val="0563C1"/>
          </w:rPr>
          <w:t>https://doi.org/10.1177/00104140241237468</w:t>
        </w:r>
      </w:hyperlink>
      <w:r>
        <w:rPr>
          <w:rFonts w:eastAsia="Aptos" w:cs="Aptos"/>
        </w:rPr>
        <w:t>.</w:t>
      </w:r>
    </w:p>
    <w:p>
      <w:pPr>
        <w:pStyle w:val="Standard"/>
        <w:rPr>
          <w:rFonts w:ascii="Aptos" w:hAnsi="Aptos" w:asciiTheme="minorHAnsi" w:hAnsiTheme="minorHAnsi"/>
        </w:rPr>
      </w:pPr>
      <w:r>
        <w:rPr>
          <w:rFonts w:eastAsia="Aptos" w:cs="Aptos"/>
        </w:rPr>
        <w:t xml:space="preserve">Vormedal, Irja, and Jonas Meckling. “How Foes Become Allies: The Shifting Role of Business in Climate Politics.” Policy Sciences 57, no. 1 (March 1, 2024): 101–24. </w:t>
      </w:r>
      <w:hyperlink r:id="rId26">
        <w:r>
          <w:rPr>
            <w:rStyle w:val="Hyperlink"/>
            <w:rFonts w:eastAsia="Aptos" w:cs="Aptos"/>
            <w:color w:val="0563C1"/>
          </w:rPr>
          <w:t>https://doi.org/10.1007/s11077-023-09517-2</w:t>
        </w:r>
      </w:hyperlink>
      <w:r>
        <w:rPr>
          <w:rFonts w:eastAsia="Aptos" w:cs="Aptos"/>
        </w:rPr>
        <w:t>.</w:t>
      </w:r>
    </w:p>
    <w:p>
      <w:pPr>
        <w:pStyle w:val="Normal"/>
        <w:spacing w:lineRule="auto" w:line="276"/>
        <w:rPr>
          <w:rFonts w:ascii="Aptos" w:hAnsi="Aptos" w:asciiTheme="minorHAnsi" w:hAnsiTheme="minorHAnsi"/>
        </w:rPr>
      </w:pPr>
      <w:commentRangeStart w:id="3"/>
      <w:r>
        <w:rPr>
          <w:rFonts w:ascii="Aptos" w:hAnsi="Aptos" w:asciiTheme="minorHAnsi" w:hAnsiTheme="minorHAnsi"/>
          <w:b/>
          <w:bCs/>
        </w:rPr>
        <w:t>References on unions</w:t>
      </w:r>
      <w:commentRangeEnd w:id="3"/>
      <w:r>
        <w:commentReference w:id="3"/>
      </w:r>
      <w:r>
        <w:rPr>
          <w:rFonts w:ascii="Aptos" w:hAnsi="Aptos" w:asciiTheme="minorHAnsi" w:hAnsiTheme="minorHAnsi"/>
          <w:b/>
          <w:bCs/>
        </w:rPr>
      </w:r>
    </w:p>
    <w:p>
      <w:pPr>
        <w:pStyle w:val="Normal"/>
        <w:spacing w:lineRule="auto" w:line="276"/>
        <w:rPr>
          <w:rFonts w:ascii="Aptos" w:hAnsi="Aptos" w:asciiTheme="minorHAnsi" w:hAnsiTheme="minorHAnsi"/>
          <w:b/>
          <w:bCs/>
        </w:rPr>
      </w:pPr>
      <w:r>
        <w:rPr>
          <w:rFonts w:asciiTheme="minorHAnsi" w:hAnsiTheme="minorHAnsi" w:ascii="Aptos" w:hAnsi="Aptos"/>
          <w:b/>
          <w:bCs/>
        </w:rPr>
      </w:r>
    </w:p>
    <w:p>
      <w:pPr>
        <w:pStyle w:val="Normal"/>
        <w:spacing w:lineRule="auto" w:line="276"/>
        <w:rPr>
          <w:rFonts w:ascii="Aptos" w:hAnsi="Aptos" w:asciiTheme="minorHAnsi" w:hAnsiTheme="minorHAnsi"/>
        </w:rPr>
      </w:pPr>
      <w:r>
        <w:rPr>
          <w:rFonts w:ascii="Aptos" w:hAnsi="Aptos" w:asciiTheme="minorHAnsi" w:hAnsiTheme="minorHAnsi"/>
        </w:rPr>
        <w:t>Kalt, T. (2021). Jobs vs. climate justice? Contentious narratives of labor and climate movements in  the coal transition in Germany. Environmental Politics, 30(7), 1135-1154.</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rPr>
      </w:pPr>
      <w:r>
        <w:rPr>
          <w:rFonts w:ascii="Aptos" w:hAnsi="Aptos" w:asciiTheme="minorHAnsi" w:hAnsiTheme="minorHAnsi"/>
        </w:rPr>
        <w:t>Thomas, A., &amp; Doerflinger, N. (2020). Trade union strategies on climate change mitigation: Between opposition, hedging and support. European Journal of Industrial Relations, 26(4), 383399.</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rPr>
      </w:pPr>
      <w:r>
        <w:rPr>
          <w:rFonts w:ascii="Aptos" w:hAnsi="Aptos" w:asciiTheme="minorHAnsi" w:hAnsiTheme="minorHAnsi"/>
        </w:rPr>
        <w:t xml:space="preserve">Thomas, Adrien. “Framing the Just Transition: How International Trade Unions Engage with UN Climate Negotiations.” Global Environmental Change 70 (September 1, 2021): 102347. </w:t>
      </w:r>
      <w:hyperlink r:id="rId27">
        <w:r>
          <w:rPr>
            <w:rStyle w:val="Hyperlink"/>
            <w:rFonts w:ascii="Aptos" w:hAnsi="Aptos" w:asciiTheme="minorHAnsi" w:hAnsiTheme="minorHAnsi"/>
          </w:rPr>
          <w:t>https://doi.org/10.1016/j.gloenvcha.2021.102347</w:t>
        </w:r>
      </w:hyperlink>
      <w:r>
        <w:rPr>
          <w:rFonts w:ascii="Aptos" w:hAnsi="Aptos" w:asciiTheme="minorHAnsi" w:hAnsiTheme="minorHAnsi"/>
        </w:rPr>
        <w:t>.</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rPr>
      </w:pPr>
      <w:r>
        <w:rPr>
          <w:rFonts w:ascii="Aptos" w:hAnsi="Aptos" w:asciiTheme="minorHAnsi" w:hAnsiTheme="minorHAnsi"/>
        </w:rPr>
        <w:t xml:space="preserve">Stevis, Dimitris, and Romain Felli. “Global Labour Unions and Just Transition to a Green Economy.” International Environmental Agreements: Politics, Law and Economics 15, no. 1 (March 1, 2015): 29–43. </w:t>
      </w:r>
      <w:hyperlink r:id="rId28">
        <w:r>
          <w:rPr>
            <w:rStyle w:val="Hyperlink"/>
            <w:rFonts w:ascii="Aptos" w:hAnsi="Aptos" w:asciiTheme="minorHAnsi" w:hAnsiTheme="minorHAnsi"/>
          </w:rPr>
          <w:t>https://doi.org/10.1007/s10784-014-9266-1</w:t>
        </w:r>
      </w:hyperlink>
      <w:r>
        <w:rPr>
          <w:rFonts w:ascii="Aptos" w:hAnsi="Aptos" w:asciiTheme="minorHAnsi" w:hAnsiTheme="minorHAnsi"/>
        </w:rPr>
        <w:t xml:space="preserve">. </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rPr>
      </w:pPr>
      <w:r>
        <w:rPr>
          <w:rFonts w:ascii="Aptos" w:hAnsi="Aptos" w:asciiTheme="minorHAnsi" w:hAnsiTheme="minorHAnsi"/>
        </w:rPr>
        <w:t xml:space="preserve">Jordhus-Lier, David, Judith Marguerite Henriksson, Camilla Houeland, Genver Quirino, and Ingrid Andrea Holland. “Anchoring a Just Transition: The Ambivalent Roles of Norwegian Trade Unions.” Energy Research &amp; Social Science 114 (August 1, 2024): 103619. </w:t>
      </w:r>
      <w:hyperlink r:id="rId29">
        <w:r>
          <w:rPr>
            <w:rStyle w:val="Hyperlink"/>
            <w:rFonts w:ascii="Aptos" w:hAnsi="Aptos" w:asciiTheme="minorHAnsi" w:hAnsiTheme="minorHAnsi"/>
          </w:rPr>
          <w:t>https://doi.org/10.1016/j.erss.2024.103619</w:t>
        </w:r>
      </w:hyperlink>
      <w:r>
        <w:rPr>
          <w:rFonts w:ascii="Aptos" w:hAnsi="Aptos" w:asciiTheme="minorHAnsi" w:hAnsiTheme="minorHAnsi"/>
        </w:rPr>
        <w:t xml:space="preserve">. </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rPr>
      </w:pPr>
      <w:r>
        <w:rPr>
          <w:rFonts w:ascii="Aptos" w:hAnsi="Aptos" w:asciiTheme="minorHAnsi" w:hAnsiTheme="minorHAnsi"/>
          <w:lang w:val="de-DE"/>
        </w:rPr>
        <w:t xml:space="preserve">Normann, Håkon E., and Silje M. Tellmann. </w:t>
      </w:r>
      <w:r>
        <w:rPr>
          <w:rFonts w:ascii="Aptos" w:hAnsi="Aptos" w:asciiTheme="minorHAnsi" w:hAnsiTheme="minorHAnsi"/>
        </w:rPr>
        <w:t xml:space="preserve">“Trade Unions’ Interpretation of a Just Transition in a Fossil Fuel Economy.” Environmental Innovation and Societal Transitions 40 (September 1, 2021): 421–34. </w:t>
      </w:r>
      <w:hyperlink r:id="rId30">
        <w:r>
          <w:rPr>
            <w:rStyle w:val="Hyperlink"/>
            <w:rFonts w:ascii="Aptos" w:hAnsi="Aptos" w:asciiTheme="minorHAnsi" w:hAnsiTheme="minorHAnsi"/>
          </w:rPr>
          <w:t>https://doi.org/10.1016/j.eist.2021.09.007</w:t>
        </w:r>
      </w:hyperlink>
      <w:r>
        <w:rPr>
          <w:rFonts w:ascii="Aptos" w:hAnsi="Aptos" w:asciiTheme="minorHAnsi" w:hAnsiTheme="minorHAnsi"/>
        </w:rPr>
        <w:t xml:space="preserve">. </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rPr>
      </w:pPr>
      <w:r>
        <w:rPr>
          <w:rFonts w:ascii="Aptos" w:hAnsi="Aptos" w:asciiTheme="minorHAnsi" w:hAnsiTheme="minorHAnsi"/>
        </w:rPr>
        <w:t xml:space="preserve">Meadowcroft, James, and Daniel Rosenbloom. “Governing the Net-Zero Transition: Strategy, Policy, and Politics.” Proceedings of the National Academy of Sciences 120, no. 47 (November 21, 2023): e2207727120. </w:t>
      </w:r>
      <w:hyperlink r:id="rId31">
        <w:r>
          <w:rPr>
            <w:rStyle w:val="Hyperlink"/>
            <w:rFonts w:ascii="Aptos" w:hAnsi="Aptos" w:asciiTheme="minorHAnsi" w:hAnsiTheme="minorHAnsi"/>
          </w:rPr>
          <w:t>https://doi.org/10.1073/pnas.2207727120</w:t>
        </w:r>
      </w:hyperlink>
      <w:r>
        <w:rPr>
          <w:rFonts w:ascii="Aptos" w:hAnsi="Aptos" w:asciiTheme="minorHAnsi" w:hAnsiTheme="minorHAnsi"/>
        </w:rPr>
        <w:t xml:space="preserve">. </w:t>
      </w:r>
    </w:p>
    <w:p>
      <w:pPr>
        <w:pStyle w:val="Normal"/>
        <w:spacing w:lineRule="auto" w:line="276"/>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b/>
          <w:bCs/>
        </w:rPr>
      </w:pPr>
      <w:r>
        <w:rPr>
          <w:rFonts w:asciiTheme="minorHAnsi" w:hAnsiTheme="minorHAnsi" w:ascii="Aptos" w:hAnsi="Aptos"/>
          <w:b/>
          <w:bCs/>
        </w:rPr>
      </w:r>
    </w:p>
    <w:sectPr>
      <w:footerReference w:type="even" r:id="rId32"/>
      <w:footerReference w:type="default" r:id="rId33"/>
      <w:footerReference w:type="first" r:id="rId34"/>
      <w:type w:val="nextPage"/>
      <w:pgSz w:w="12240" w:h="15840"/>
      <w:pgMar w:left="1440" w:right="1440" w:gutter="0" w:header="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uguenot-Noel, Robin" w:date="2025-05-19T16:00:00Z" w:initials="RH">
    <w:p>
      <w:pPr>
        <w:overflowPunct w:val="false"/>
        <w:rPr/>
      </w:pPr>
      <w:r>
        <w:rPr>
          <w:rFonts w:ascii="Aptos" w:hAnsi="Aptos" w:eastAsia="" w:cs=""/>
          <w:color w:val="000000"/>
          <w:sz w:val="20"/>
          <w:szCs w:val="20"/>
          <w:shd w:fill="00FFFF" w:val="clear"/>
          <w:lang w:val="en-US" w:bidi="en-US" w:eastAsia="ja-JP"/>
        </w:rPr>
        <w:t>To be developed: impact of compensation attributes on support for climate policy</w:t>
      </w:r>
    </w:p>
    <w:p>
      <w:pPr>
        <w:overflowPunct w:val="false"/>
        <w:rPr/>
      </w:pPr>
      <w:r>
        <w:rPr>
          <w:rFonts w:ascii="Liberation Serif" w:hAnsi="Liberation Serif" w:eastAsia="DejaVu Sans" w:cs="DejaVu Sans"/>
          <w:lang w:val="en-US" w:eastAsia="en-US" w:bidi="en-US"/>
        </w:rPr>
      </w:r>
    </w:p>
  </w:comment>
  <w:comment w:id="1" w:author="Huguenot-Noel, Robin" w:date="2025-05-19T16:02:00Z" w:initials="RH">
    <w:p>
      <w:pPr>
        <w:overflowPunct w:val="false"/>
        <w:rPr/>
      </w:pPr>
      <w:r>
        <w:rPr>
          <w:rFonts w:ascii="Aptos" w:hAnsi="Aptos" w:eastAsia="" w:cs=""/>
          <w:color w:val="000000"/>
          <w:sz w:val="20"/>
          <w:szCs w:val="20"/>
          <w:shd w:fill="00FFFF" w:val="clear"/>
          <w:lang w:val="en-US" w:bidi="en-US" w:eastAsia="ja-JP"/>
        </w:rPr>
        <w:t>To be developed: impact of capacitation attributes on support for climate policy</w:t>
      </w:r>
    </w:p>
    <w:p>
      <w:pPr>
        <w:overflowPunct w:val="false"/>
        <w:rPr/>
      </w:pPr>
      <w:r>
        <w:rPr>
          <w:rFonts w:ascii="Liberation Serif" w:hAnsi="Liberation Serif" w:eastAsia="DejaVu Sans" w:cs="DejaVu Sans"/>
          <w:lang w:val="en-US" w:eastAsia="en-US" w:bidi="en-US"/>
        </w:rPr>
      </w:r>
    </w:p>
  </w:comment>
  <w:comment w:id="2" w:author="Huguenot-Noel, Robin [2]" w:date="2025-05-22T14:19:00Z" w:initials="HNR">
    <w:p>
      <w:pPr>
        <w:overflowPunct w:val="false"/>
        <w:spacing w:before="494" w:after="494"/>
        <w:rPr/>
      </w:pPr>
      <w:r>
        <w:rPr>
          <w:rFonts w:ascii="Aptos" w:hAnsi="Aptos" w:eastAsia="" w:cs=""/>
          <w:color w:val="000000"/>
          <w:sz w:val="20"/>
          <w:szCs w:val="20"/>
          <w:lang w:bidi="en-US" w:val="en-US" w:eastAsia="ja-JP"/>
        </w:rPr>
        <w:t>Could be merged with d). If power allows, would be tempted to keep it (as it would allow us to better qualify sociotropic trends). Thoughts welcome on how best to reformulate Community investment in general</w:t>
      </w:r>
    </w:p>
  </w:comment>
  <w:comment w:id="3" w:author="Huguenot-Noel, Robin [2]" w:date="2025-05-20T16:43:00Z" w:initials="HNR">
    <w:p>
      <w:pPr>
        <w:overflowPunct w:val="false"/>
        <w:rPr/>
      </w:pPr>
      <w:r>
        <w:rPr>
          <w:rFonts w:ascii="Aptos" w:hAnsi="Aptos" w:eastAsia="" w:cs=""/>
          <w:color w:val="000000"/>
          <w:sz w:val="20"/>
          <w:szCs w:val="20"/>
          <w:lang w:val="en-US" w:bidi="en-US" w:eastAsia="ja-JP"/>
        </w:rPr>
        <w:t xml:space="preserve">Is there a reason why they are not alphabetically classified?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Apto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45642BB0">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6210737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wp14:anchorId="45642BB0">
              <v:fill o:detectmouseclick="t" on="false"/>
              <v:stroke color="#3465a4" joinstyle="round" endcap="flat"/>
              <v:textbox>
                <w:txbxContent>
                  <w:sdt>
                    <w:sdtPr>
                      <w:docPartObj>
                        <w:docPartGallery w:val="Page Numbers (Bottom of Page)"/>
                        <w:docPartUnique w:val="true"/>
                      </w:docPartObj>
                      <w:id w:val="-6210737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5" wp14:anchorId="5044F074">
              <wp:simplePos x="0" y="0"/>
              <wp:positionH relativeFrom="margin">
                <wp:align>center</wp:align>
              </wp:positionH>
              <wp:positionV relativeFrom="paragraph">
                <wp:posOffset>635</wp:posOffset>
              </wp:positionV>
              <wp:extent cx="175260" cy="206375"/>
              <wp:effectExtent l="0" t="0" r="0" b="0"/>
              <wp:wrapNone/>
              <wp:docPr id="2" name="Frame2"/>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7.1pt;margin-top:0.05pt;width:13.75pt;height:16.2pt;mso-wrap-style:square;v-text-anchor:top;mso-position-horizontal:center;mso-position-horizontal-relative:margin" wp14:anchorId="5044F074">
              <v:fill o:detectmouseclick="t" on="false"/>
              <v:stroke color="#3465a4" joinstyle="round" endcap="flat"/>
              <v:textbo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5" wp14:anchorId="5044F074">
              <wp:simplePos x="0" y="0"/>
              <wp:positionH relativeFrom="margin">
                <wp:align>center</wp:align>
              </wp:positionH>
              <wp:positionV relativeFrom="paragraph">
                <wp:posOffset>635</wp:posOffset>
              </wp:positionV>
              <wp:extent cx="175260" cy="206375"/>
              <wp:effectExtent l="0" t="0" r="0" b="0"/>
              <wp:wrapNone/>
              <wp:docPr id="3" name="Frame2"/>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7.1pt;margin-top:0.05pt;width:13.75pt;height:16.2pt;mso-wrap-style:square;v-text-anchor:top;mso-position-horizontal:center;mso-position-horizontal-relative:margin" wp14:anchorId="5044F074">
              <v:fill o:detectmouseclick="t" on="false"/>
              <v:stroke color="#3465a4" joinstyle="round" endcap="flat"/>
              <v:textbox>
                <w:txbxContent>
                  <w:sdt>
                    <w:sdtPr>
                      <w:docPartObj>
                        <w:docPartGallery w:val="Page Numbers (Bottom of Page)"/>
                        <w:docPartUnique w:val="true"/>
                      </w:docPartObj>
                      <w:id w:val="1684469405"/>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sz w:val="28"/>
        <w:b/>
        <w:szCs w:val="24"/>
        <w:bCs/>
      </w:rPr>
    </w:lvl>
    <w:lvl w:ilvl="1">
      <w:start w:val="1"/>
      <w:isLgl/>
      <w:numFmt w:val="decimal"/>
      <w:lvlText w:val="%1.%2."/>
      <w:lvlJc w:val="left"/>
      <w:pPr>
        <w:tabs>
          <w:tab w:val="num" w:pos="0"/>
        </w:tabs>
        <w:ind w:left="720" w:hanging="720"/>
      </w:pPr>
      <w:rPr>
        <w:b/>
        <w:bCs/>
      </w:rPr>
    </w:lvl>
    <w:lvl w:ilvl="2">
      <w:start w:val="1"/>
      <w:isLgl/>
      <w:numFmt w:val="decimal"/>
      <w:lvlText w:val="%1.%2.%3."/>
      <w:lvlJc w:val="left"/>
      <w:pPr>
        <w:tabs>
          <w:tab w:val="num" w:pos="0"/>
        </w:tabs>
        <w:ind w:left="720" w:hanging="720"/>
      </w:pPr>
      <w:rPr>
        <w:b/>
        <w:bCs/>
      </w:rPr>
    </w:lvl>
    <w:lvl w:ilvl="3">
      <w:start w:val="1"/>
      <w:isLgl/>
      <w:numFmt w:val="decimal"/>
      <w:lvlText w:val="%1.%2.%3.%4."/>
      <w:lvlJc w:val="left"/>
      <w:pPr>
        <w:tabs>
          <w:tab w:val="num" w:pos="0"/>
        </w:tabs>
        <w:ind w:left="1080" w:hanging="108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440" w:hanging="144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800" w:hanging="1800"/>
      </w:pPr>
      <w:rPr/>
    </w:lvl>
    <w:lvl w:ilvl="8">
      <w:start w:val="1"/>
      <w:isLgl/>
      <w:numFmt w:val="decimal"/>
      <w:lvlText w:val="%1.%2.%3.%4.%5.%6.%7.%8.%9."/>
      <w:lvlJc w:val="left"/>
      <w:pPr>
        <w:tabs>
          <w:tab w:val="num" w:pos="0"/>
        </w:tabs>
        <w:ind w:left="2160" w:hanging="2160"/>
      </w:pPr>
      <w:rPr/>
    </w:lvl>
  </w:abstractNum>
  <w:abstractNum w:abstractNumId="5">
    <w:lvl w:ilvl="0">
      <w:start w:val="1"/>
      <w:numFmt w:val="decimal"/>
      <w:lvlText w:val="%1)"/>
      <w:lvlJc w:val="left"/>
      <w:pPr>
        <w:tabs>
          <w:tab w:val="num" w:pos="0"/>
        </w:tabs>
        <w:ind w:left="720" w:hanging="360"/>
      </w:pPr>
      <w:rPr>
        <w:rFonts w:ascii="Aptos" w:hAnsi="Aptos" w:eastAsia="Times New Roman" w:cs="Times New Roman" w:ascii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rFonts w:ascii="Aptos" w:hAnsi="Aptos"/>
      </w:rPr>
    </w:lvl>
    <w:lvl w:ilvl="1">
      <w:start w:val="1"/>
      <w:numFmt w:val="lowerLetter"/>
      <w:lvlText w:val="%2."/>
      <w:lvlJc w:val="left"/>
      <w:pPr>
        <w:tabs>
          <w:tab w:val="num" w:pos="0"/>
        </w:tabs>
        <w:ind w:left="1440" w:hanging="360"/>
      </w:pPr>
      <w:rPr/>
    </w:lvl>
    <w:lvl w:ilvl="2">
      <w:start w:val="1"/>
      <w:numFmt w:val="lowerLetter"/>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Aptos" w:hAnsi="Aptos" w:cs="Aptos" w:hint="default"/>
        <w:rFonts w:cstheme="minorBidi" w:eastAsiaTheme="minorEastAsia"/>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5a1e"/>
    <w:pPr>
      <w:widowControl/>
      <w:suppressAutoHyphens w:val="fals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Heading1">
    <w:name w:val="Heading 1"/>
    <w:basedOn w:val="Normal"/>
    <w:next w:val="Normal"/>
    <w:link w:val="Heading1Char"/>
    <w:uiPriority w:val="9"/>
    <w:qFormat/>
    <w:pPr>
      <w:keepNext w:val="true"/>
      <w:keepLines/>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val="en-US" w:eastAsia="ja-JP"/>
    </w:rPr>
  </w:style>
  <w:style w:type="paragraph" w:styleId="Heading2">
    <w:name w:val="Heading 2"/>
    <w:basedOn w:val="Normal"/>
    <w:next w:val="Normal"/>
    <w:link w:val="Heading2Char"/>
    <w:uiPriority w:val="9"/>
    <w:unhideWhenUsed/>
    <w:qFormat/>
    <w:pPr>
      <w:keepNext w:val="true"/>
      <w:keepLines/>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val="en-US" w:eastAsia="ja-JP"/>
    </w:rPr>
  </w:style>
  <w:style w:type="paragraph" w:styleId="Heading3">
    <w:name w:val="Heading 3"/>
    <w:basedOn w:val="Normal"/>
    <w:next w:val="Normal"/>
    <w:link w:val="Heading3Char"/>
    <w:uiPriority w:val="9"/>
    <w:unhideWhenUsed/>
    <w:qFormat/>
    <w:pPr>
      <w:keepNext w:val="true"/>
      <w:keepLines/>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val="en-US" w:eastAsia="ja-JP"/>
    </w:rPr>
  </w:style>
  <w:style w:type="paragraph" w:styleId="Heading4">
    <w:name w:val="Heading 4"/>
    <w:basedOn w:val="Normal"/>
    <w:next w:val="Normal"/>
    <w:link w:val="Heading4Char"/>
    <w:uiPriority w:val="9"/>
    <w:unhideWhenUsed/>
    <w:qFormat/>
    <w:pPr>
      <w:keepNext w:val="true"/>
      <w:keepLines/>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val="en-US" w:eastAsia="ja-JP"/>
    </w:rPr>
  </w:style>
  <w:style w:type="paragraph" w:styleId="Heading5">
    <w:name w:val="Heading 5"/>
    <w:basedOn w:val="Normal"/>
    <w:next w:val="Normal"/>
    <w:link w:val="Heading5Char"/>
    <w:uiPriority w:val="9"/>
    <w:unhideWhenUsed/>
    <w:qFormat/>
    <w:pPr>
      <w:keepNext w:val="true"/>
      <w:keepLines/>
      <w:spacing w:lineRule="auto" w:line="276" w:before="80" w:after="40"/>
      <w:outlineLvl w:val="4"/>
    </w:pPr>
    <w:rPr>
      <w:rFonts w:ascii="Aptos" w:hAnsi="Aptos" w:eastAsia="" w:cs="" w:asciiTheme="minorHAnsi" w:cstheme="majorBidi" w:eastAsiaTheme="majorEastAsia" w:hAnsiTheme="minorHAnsi"/>
      <w:color w:themeColor="accent1" w:themeShade="bf" w:val="0F4761"/>
      <w:lang w:val="en-US" w:eastAsia="ja-JP"/>
    </w:rPr>
  </w:style>
  <w:style w:type="paragraph" w:styleId="Heading6">
    <w:name w:val="Heading 6"/>
    <w:basedOn w:val="Normal"/>
    <w:next w:val="Normal"/>
    <w:link w:val="Heading6Char"/>
    <w:uiPriority w:val="9"/>
    <w:unhideWhenUsed/>
    <w:qFormat/>
    <w:pPr>
      <w:keepNext w:val="true"/>
      <w:keepLines/>
      <w:spacing w:lineRule="auto" w:line="276" w:before="40" w:after="0"/>
      <w:outlineLvl w:val="5"/>
    </w:pPr>
    <w:rPr>
      <w:rFonts w:ascii="Aptos" w:hAnsi="Aptos" w:eastAsia="" w:cs="" w:asciiTheme="minorHAnsi" w:cstheme="majorBidi" w:eastAsiaTheme="majorEastAsia" w:hAnsiTheme="minorHAnsi"/>
      <w:i/>
      <w:iCs/>
      <w:color w:themeColor="text1" w:themeTint="a6" w:val="595959"/>
      <w:lang w:val="en-US" w:eastAsia="ja-JP"/>
    </w:rPr>
  </w:style>
  <w:style w:type="paragraph" w:styleId="Heading7">
    <w:name w:val="Heading 7"/>
    <w:basedOn w:val="Normal"/>
    <w:next w:val="Normal"/>
    <w:link w:val="Heading7Char"/>
    <w:uiPriority w:val="9"/>
    <w:unhideWhenUsed/>
    <w:qFormat/>
    <w:pPr>
      <w:keepNext w:val="true"/>
      <w:keepLines/>
      <w:spacing w:lineRule="auto" w:line="276" w:before="40" w:after="0"/>
      <w:outlineLvl w:val="6"/>
    </w:pPr>
    <w:rPr>
      <w:rFonts w:ascii="Aptos" w:hAnsi="Aptos" w:eastAsia="" w:cs="" w:asciiTheme="minorHAnsi" w:cstheme="majorBidi" w:eastAsiaTheme="majorEastAsia" w:hAnsiTheme="minorHAnsi"/>
      <w:color w:themeColor="text1" w:themeTint="a6" w:val="595959"/>
      <w:lang w:val="en-US" w:eastAsia="ja-JP"/>
    </w:rPr>
  </w:style>
  <w:style w:type="paragraph" w:styleId="Heading8">
    <w:name w:val="Heading 8"/>
    <w:basedOn w:val="Normal"/>
    <w:next w:val="Normal"/>
    <w:link w:val="Heading8Char"/>
    <w:uiPriority w:val="9"/>
    <w:unhideWhenUsed/>
    <w:qFormat/>
    <w:pPr>
      <w:keepNext w:val="true"/>
      <w:keepLines/>
      <w:spacing w:lineRule="auto" w:line="276"/>
      <w:outlineLvl w:val="7"/>
    </w:pPr>
    <w:rPr>
      <w:rFonts w:ascii="Aptos" w:hAnsi="Aptos" w:eastAsia="" w:cs="" w:asciiTheme="minorHAnsi" w:cstheme="majorBidi" w:eastAsiaTheme="majorEastAsia" w:hAnsiTheme="minorHAnsi"/>
      <w:i/>
      <w:iCs/>
      <w:color w:themeColor="text1" w:themeTint="d8" w:val="272727"/>
      <w:lang w:val="en-US" w:eastAsia="ja-JP"/>
    </w:rPr>
  </w:style>
  <w:style w:type="paragraph" w:styleId="Heading9">
    <w:name w:val="Heading 9"/>
    <w:basedOn w:val="Normal"/>
    <w:next w:val="Normal"/>
    <w:link w:val="Heading9Char"/>
    <w:uiPriority w:val="9"/>
    <w:unhideWhenUsed/>
    <w:qFormat/>
    <w:pPr>
      <w:keepNext w:val="true"/>
      <w:keepLines/>
      <w:spacing w:lineRule="auto" w:line="276"/>
      <w:outlineLvl w:val="8"/>
    </w:pPr>
    <w:rPr>
      <w:rFonts w:ascii="Aptos" w:hAnsi="Aptos" w:eastAsia="" w:cs="" w:asciiTheme="minorHAnsi" w:cstheme="majorBidi" w:eastAsiaTheme="majorEastAsia" w:hAnsiTheme="minorHAnsi"/>
      <w:color w:themeColor="text1" w:themeTint="d8" w:val="272727"/>
      <w:lang w:val="en-US"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sid w:val="60e3cbb4"/>
    <w:rPr>
      <w:color w:val="467886"/>
      <w:u w:val="single"/>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1a21fd"/>
    <w:rPr/>
  </w:style>
  <w:style w:type="character" w:styleId="FooterChar" w:customStyle="1">
    <w:name w:val="Footer Char"/>
    <w:basedOn w:val="DefaultParagraphFont"/>
    <w:link w:val="Footer"/>
    <w:uiPriority w:val="99"/>
    <w:qFormat/>
    <w:rsid w:val="001a21fd"/>
    <w:rPr/>
  </w:style>
  <w:style w:type="character" w:styleId="PageNumber">
    <w:name w:val="Page Number"/>
    <w:basedOn w:val="DefaultParagraphFont"/>
    <w:uiPriority w:val="99"/>
    <w:semiHidden/>
    <w:unhideWhenUsed/>
    <w:rsid w:val="001a21fd"/>
    <w:rPr/>
  </w:style>
  <w:style w:type="character" w:styleId="CommentSubjectChar" w:customStyle="1">
    <w:name w:val="Comment Subject Char"/>
    <w:basedOn w:val="CommentTextChar"/>
    <w:link w:val="annotationsubject"/>
    <w:uiPriority w:val="99"/>
    <w:semiHidden/>
    <w:qFormat/>
    <w:rsid w:val="008825ed"/>
    <w:rPr>
      <w:b/>
      <w:bCs/>
      <w:sz w:val="20"/>
      <w:szCs w:val="20"/>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Emphasis">
    <w:name w:val="Emphasis"/>
    <w:basedOn w:val="DefaultParagraphFont"/>
    <w:uiPriority w:val="20"/>
    <w:qFormat/>
    <w:rsid w:val="00ff2f29"/>
    <w:rPr>
      <w:i/>
      <w:iCs/>
    </w:rPr>
  </w:style>
  <w:style w:type="character" w:styleId="Strong">
    <w:name w:val="Strong"/>
    <w:basedOn w:val="DefaultParagraphFont"/>
    <w:uiPriority w:val="22"/>
    <w:qFormat/>
    <w:rsid w:val="00ff2f29"/>
    <w:rPr>
      <w:b/>
      <w:bCs/>
    </w:rPr>
  </w:style>
  <w:style w:type="character" w:styleId="UnresolvedMention">
    <w:name w:val="Unresolved Mention"/>
    <w:basedOn w:val="DefaultParagraphFont"/>
    <w:uiPriority w:val="99"/>
    <w:semiHidden/>
    <w:unhideWhenUsed/>
    <w:qFormat/>
    <w:rsid w:val="002d6f50"/>
    <w:rPr>
      <w:color w:val="605E5C"/>
      <w:shd w:fill="E1DFDD" w:val="clear"/>
    </w:rPr>
  </w:style>
  <w:style w:type="character" w:styleId="relative" w:customStyle="1">
    <w:name w:val="relative"/>
    <w:basedOn w:val="DefaultParagraphFont"/>
    <w:qFormat/>
    <w:rsid w:val="002d6f50"/>
    <w:rPr/>
  </w:style>
  <w:style w:type="character" w:styleId="FollowedHyperlink">
    <w:name w:val="FollowedHyperlink"/>
    <w:basedOn w:val="DefaultParagraphFont"/>
    <w:uiPriority w:val="99"/>
    <w:semiHidden/>
    <w:unhideWhenUsed/>
    <w:rsid w:val="00493b67"/>
    <w:rPr>
      <w:color w:themeColor="followedHyperlink" w:val="96607D"/>
      <w:u w:val="single"/>
    </w:rPr>
  </w:style>
  <w:style w:type="character" w:styleId="normaltextrun" w:customStyle="1">
    <w:name w:val="normaltextrun"/>
    <w:basedOn w:val="DefaultParagraphFont"/>
    <w:qFormat/>
    <w:rsid w:val="00fb1202"/>
    <w:rPr/>
  </w:style>
  <w:style w:type="character" w:styleId="eop" w:customStyle="1">
    <w:name w:val="eop"/>
    <w:basedOn w:val="DefaultParagraphFont"/>
    <w:qFormat/>
    <w:rsid w:val="00fb1202"/>
    <w:rPr/>
  </w:style>
  <w:style w:type="character" w:styleId="apple-converted-space" w:customStyle="1">
    <w:name w:val="apple-converted-space"/>
    <w:basedOn w:val="DefaultParagraphFont"/>
    <w:qFormat/>
    <w:rsid w:val="00067723"/>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pPr>
      <w:spacing w:before="0" w:after="80"/>
      <w:contextualSpacing/>
    </w:pPr>
    <w:rPr>
      <w:rFonts w:ascii="Aptos Display" w:hAnsi="Aptos Display" w:eastAsia="" w:cs="" w:asciiTheme="majorHAnsi" w:cstheme="majorBidi" w:eastAsiaTheme="majorEastAsia" w:hAnsiTheme="majorHAnsi"/>
      <w:spacing w:val="-10"/>
      <w:kern w:val="2"/>
      <w:sz w:val="56"/>
      <w:szCs w:val="56"/>
      <w:lang w:val="en-US" w:eastAsia="ja-JP"/>
    </w:rPr>
  </w:style>
  <w:style w:type="paragraph" w:styleId="Subtitle">
    <w:name w:val="Subtitle"/>
    <w:basedOn w:val="Normal"/>
    <w:next w:val="Normal"/>
    <w:link w:val="SubtitleChar"/>
    <w:uiPriority w:val="11"/>
    <w:qFormat/>
    <w:pPr>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val="en-US" w:eastAsia="ja-JP"/>
    </w:rPr>
  </w:style>
  <w:style w:type="paragraph" w:styleId="Quote">
    <w:name w:val="Quote"/>
    <w:basedOn w:val="Normal"/>
    <w:next w:val="Normal"/>
    <w:link w:val="QuoteChar"/>
    <w:uiPriority w:val="29"/>
    <w:qFormat/>
    <w:pPr>
      <w:spacing w:lineRule="auto" w:line="276" w:before="160" w:after="160"/>
      <w:jc w:val="center"/>
    </w:pPr>
    <w:rPr>
      <w:rFonts w:ascii="Aptos" w:hAnsi="Aptos" w:eastAsia="" w:cs="" w:asciiTheme="minorHAnsi" w:cstheme="minorBidi" w:eastAsiaTheme="minorEastAsia" w:hAnsiTheme="minorHAnsi"/>
      <w:i/>
      <w:iCs/>
      <w:color w:themeColor="text1" w:themeTint="bf" w:val="404040"/>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lineRule="auto" w:line="276" w:before="360" w:after="360"/>
      <w:ind w:left="864" w:right="864"/>
      <w:jc w:val="center"/>
    </w:pPr>
    <w:rPr>
      <w:rFonts w:ascii="Aptos" w:hAnsi="Aptos" w:eastAsia="" w:cs="" w:asciiTheme="minorHAnsi" w:cstheme="minorBidi" w:eastAsiaTheme="minorEastAsia" w:hAnsiTheme="minorHAnsi"/>
      <w:i/>
      <w:iCs/>
      <w:color w:themeColor="accent1" w:themeShade="bf" w:val="0F4761"/>
      <w:lang w:val="en-US" w:eastAsia="ja-JP"/>
    </w:rPr>
  </w:style>
  <w:style w:type="paragraph" w:styleId="Standard" w:customStyle="1">
    <w:name w:val="Standard"/>
    <w:basedOn w:val="Normal"/>
    <w:qFormat/>
    <w:rsid w:val="60e3cbb4"/>
    <w:pPr>
      <w:spacing w:lineRule="auto" w:line="276" w:before="0" w:after="160"/>
    </w:pPr>
    <w:rPr>
      <w:rFonts w:ascii="Aptos" w:hAnsi="Aptos" w:eastAsia="DejaVu Sans" w:cs="DejaVu Sans"/>
      <w:lang w:val="en-US" w:eastAsia="ja-JP"/>
    </w:rPr>
  </w:style>
  <w:style w:type="paragraph" w:styleId="ListParagraph">
    <w:name w:val="List Paragraph"/>
    <w:basedOn w:val="Normal"/>
    <w:uiPriority w:val="34"/>
    <w:qFormat/>
    <w:rsid w:val="60e3cbb4"/>
    <w:pPr>
      <w:spacing w:lineRule="auto" w:line="276" w:before="0" w:after="160"/>
      <w:ind w:left="720"/>
      <w:contextualSpacing/>
    </w:pPr>
    <w:rPr>
      <w:rFonts w:ascii="Aptos" w:hAnsi="Aptos" w:eastAsia="" w:cs="" w:asciiTheme="minorHAnsi" w:cstheme="minorBidi" w:eastAsiaTheme="minorEastAsia" w:hAnsiTheme="minorHAnsi"/>
      <w:lang w:val="en-US" w:eastAsia="ja-JP"/>
    </w:rPr>
  </w:style>
  <w:style w:type="paragraph" w:styleId="AnnotationText">
    <w:name w:val="Annotation Text"/>
    <w:basedOn w:val="Normal"/>
    <w:link w:val="CommentTextChar"/>
    <w:uiPriority w:val="99"/>
    <w:semiHidden/>
    <w:unhideWhenUsed/>
    <w:pPr>
      <w:spacing w:before="0" w:after="160"/>
    </w:pPr>
    <w:rPr>
      <w:rFonts w:ascii="Aptos" w:hAnsi="Aptos" w:eastAsia="" w:cs="" w:asciiTheme="minorHAnsi" w:cstheme="minorBidi" w:eastAsiaTheme="minorEastAsia" w:hAnsiTheme="minorHAnsi"/>
      <w:sz w:val="20"/>
      <w:szCs w:val="20"/>
      <w:lang w:val="en-US" w:eastAsia="ja-JP"/>
    </w:rPr>
  </w:style>
  <w:style w:type="paragraph" w:styleId="NormalWeb">
    <w:name w:val="Normal (Web)"/>
    <w:basedOn w:val="Normal"/>
    <w:uiPriority w:val="99"/>
    <w:unhideWhenUsed/>
    <w:qFormat/>
    <w:rsid w:val="00c315b4"/>
    <w:pPr>
      <w:spacing w:beforeAutospacing="1" w:afterAutospacing="1"/>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a21fd"/>
    <w:pPr>
      <w:tabs>
        <w:tab w:val="clear" w:pos="720"/>
        <w:tab w:val="center" w:pos="4513" w:leader="none"/>
        <w:tab w:val="right" w:pos="9026" w:leader="none"/>
      </w:tabs>
    </w:pPr>
    <w:rPr>
      <w:rFonts w:ascii="Aptos" w:hAnsi="Aptos" w:eastAsia="" w:cs="" w:asciiTheme="minorHAnsi" w:cstheme="minorBidi" w:eastAsiaTheme="minorEastAsia" w:hAnsiTheme="minorHAnsi"/>
      <w:lang w:val="en-US" w:eastAsia="ja-JP"/>
    </w:rPr>
  </w:style>
  <w:style w:type="paragraph" w:styleId="Footer">
    <w:name w:val="Footer"/>
    <w:basedOn w:val="Normal"/>
    <w:link w:val="FooterChar"/>
    <w:uiPriority w:val="99"/>
    <w:unhideWhenUsed/>
    <w:rsid w:val="001a21fd"/>
    <w:pPr>
      <w:tabs>
        <w:tab w:val="clear" w:pos="720"/>
        <w:tab w:val="center" w:pos="4513" w:leader="none"/>
        <w:tab w:val="right" w:pos="9026" w:leader="none"/>
      </w:tabs>
    </w:pPr>
    <w:rPr>
      <w:rFonts w:ascii="Aptos" w:hAnsi="Aptos" w:eastAsia="" w:cs="" w:asciiTheme="minorHAnsi" w:cstheme="minorBidi" w:eastAsiaTheme="minorEastAsia" w:hAnsiTheme="minorHAnsi"/>
      <w:lang w:val="en-US" w:eastAsia="ja-JP"/>
    </w:rPr>
  </w:style>
  <w:style w:type="paragraph" w:styleId="annotationsubject">
    <w:name w:val="annotation subject"/>
    <w:basedOn w:val="AnnotationText"/>
    <w:next w:val="AnnotationText"/>
    <w:link w:val="CommentSubjectChar"/>
    <w:uiPriority w:val="99"/>
    <w:semiHidden/>
    <w:unhideWhenUsed/>
    <w:qFormat/>
    <w:rsid w:val="008825ed"/>
    <w:pPr/>
    <w:rPr>
      <w:b/>
      <w:bCs/>
    </w:rPr>
  </w:style>
  <w:style w:type="paragraph" w:styleId="NoSpacing">
    <w:name w:val="No Spacing"/>
    <w:uiPriority w:val="1"/>
    <w:qFormat/>
    <w:rsid w:val="0b0c2f18"/>
    <w:pPr>
      <w:widowControl/>
      <w:suppressAutoHyphens w:val="true"/>
      <w:bidi w:val="0"/>
      <w:spacing w:lineRule="auto" w:line="276" w:before="0" w:after="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cf61c1"/>
    <w:pPr>
      <w:widowControl/>
      <w:suppressAutoHyphens w:val="false"/>
      <w:bidi w:val="0"/>
      <w:spacing w:before="0" w:after="0"/>
      <w:jc w:val="left"/>
    </w:pPr>
    <w:rPr>
      <w:rFonts w:ascii="Times New Roman" w:hAnsi="Times New Roman" w:eastAsia="Times New Roman" w:cs="Times New Roman"/>
      <w:color w:val="auto"/>
      <w:kern w:val="0"/>
      <w:sz w:val="24"/>
      <w:szCs w:val="24"/>
      <w:lang w:eastAsia="en-GB"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41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30142152500165X?utm_source=chatgpt.com" TargetMode="External"/><Relationship Id="rId3" Type="http://schemas.openxmlformats.org/officeDocument/2006/relationships/hyperlink" Target="https://balkangreenenergynews.com/polish-coal-industry-workers-to-receive-eur-300-million-amid-closures/?utm_source=chatgpt.com" TargetMode="External"/><Relationship Id="rId4" Type="http://schemas.openxmlformats.org/officeDocument/2006/relationships/hyperlink" Target="https://www.industriall-union.org/spanish-coal-unions-win-landmark-just-transition-deal?utm_source=chatgpt.com" TargetMode="External"/><Relationship Id="rId5" Type="http://schemas.openxmlformats.org/officeDocument/2006/relationships/hyperlink" Target="https://www.industriall-union.org/sites/default/files/uploads/documents/2018/SPAIN/spanish_plan_for_coal_eng_oct_2018.pdf" TargetMode="External"/><Relationship Id="rId6" Type="http://schemas.openxmlformats.org/officeDocument/2006/relationships/hyperlink" Target="https://balkangreenenergynews.com/polish-coal-industry-workers-to-receive-eur-300-million-amid-closures/?utm_source=chatgpt.com" TargetMode="External"/><Relationship Id="rId7" Type="http://schemas.openxmlformats.org/officeDocument/2006/relationships/hyperlink" Target="https://de.wikipedia.org/wiki/Transfergesellschaft?utm_source=chatgpt.com" TargetMode="External"/><Relationship Id="rId8" Type="http://schemas.openxmlformats.org/officeDocument/2006/relationships/hyperlink" Target="https://www.transicionjusta.gob.es/content/dam/itj/files-1/Documents/Noticias/common/220707_Spain_JustTransition.pdf?utm_source=chatgpt.com" TargetMode="External"/><Relationship Id="rId9" Type="http://schemas.openxmlformats.org/officeDocument/2006/relationships/hyperlink" Target="../../../../../../Users/robin.huguenot-noel/Library/Mobile%20Documents/com~apple~CloudDocs/01%20Academic/00%20Milano/3%20Just%20Transition/0%20JTF/01_paper/Laois,%20Offaly,%20Longford%20and%20the%20Municipal%20Districts%20of%20Ballinasloe%20(Co%20Galway),%20Athy%20and%20Clane-Maynooth,%20(Co%20Kildare)." TargetMode="External"/><Relationship Id="rId10" Type="http://schemas.openxmlformats.org/officeDocument/2006/relationships/hyperlink" Target="https://www.reuters.com/article/2015/04/25/us-germany-coal-protests-idUSKBN0NG0Q220150425/" TargetMode="External"/><Relationship Id="rId11" Type="http://schemas.openxmlformats.org/officeDocument/2006/relationships/hyperlink" Target="https://mblukac.shinyapps.io/conjoints-power-shiny/" TargetMode="External"/><Relationship Id="rId12" Type="http://schemas.openxmlformats.org/officeDocument/2006/relationships/hyperlink" Target="https://egap.shinyapps.io/power-app/" TargetMode="External"/><Relationship Id="rId13" Type="http://schemas.openxmlformats.org/officeDocument/2006/relationships/hyperlink" Target="https://doi.org/10.1080/09644016.2019.1673997" TargetMode="External"/><Relationship Id="rId14" Type="http://schemas.openxmlformats.org/officeDocument/2006/relationships/hyperlink" Target="https://doi.org/10.1177/0032321719836066" TargetMode="External"/><Relationship Id="rId15" Type="http://schemas.openxmlformats.org/officeDocument/2006/relationships/hyperlink" Target="https://doi.org/10.1080/14693062.2019.1639490" TargetMode="External"/><Relationship Id="rId16" Type="http://schemas.openxmlformats.org/officeDocument/2006/relationships/hyperlink" Target="https://doi.org/10.1080/14693062.2018.1532871" TargetMode="External"/><Relationship Id="rId17" Type="http://schemas.openxmlformats.org/officeDocument/2006/relationships/hyperlink" Target="https://doi.org/10.1080/13501763.2024.2304609" TargetMode="External"/><Relationship Id="rId18" Type="http://schemas.openxmlformats.org/officeDocument/2006/relationships/hyperlink" Target="https://doi.org/10.1086/727594" TargetMode="External"/><Relationship Id="rId19" Type="http://schemas.openxmlformats.org/officeDocument/2006/relationships/hyperlink" Target="https://doi.org/10.1017/S0003055423001235" TargetMode="External"/><Relationship Id="rId20" Type="http://schemas.openxmlformats.org/officeDocument/2006/relationships/hyperlink" Target="https://doi.org/10.1017/S0003055423000308" TargetMode="External"/><Relationship Id="rId21" Type="http://schemas.openxmlformats.org/officeDocument/2006/relationships/hyperlink" Target="https://doi.org/10.1016/j.enpol.2023.113880" TargetMode="External"/><Relationship Id="rId22" Type="http://schemas.openxmlformats.org/officeDocument/2006/relationships/hyperlink" Target="https://doi.org/10.1080/09644016.2024.2373606" TargetMode="External"/><Relationship Id="rId23" Type="http://schemas.openxmlformats.org/officeDocument/2006/relationships/hyperlink" Target="https://doi.org/10.1080/09644016.2023.2247818" TargetMode="External"/><Relationship Id="rId24" Type="http://schemas.openxmlformats.org/officeDocument/2006/relationships/hyperlink" Target="https://doi.org/10.1017/S1537592722002080" TargetMode="External"/><Relationship Id="rId25" Type="http://schemas.openxmlformats.org/officeDocument/2006/relationships/hyperlink" Target="https://doi.org/10.1177/00104140241237468" TargetMode="External"/><Relationship Id="rId26" Type="http://schemas.openxmlformats.org/officeDocument/2006/relationships/hyperlink" Target="https://doi.org/10.1007/s11077-023-09517-2" TargetMode="External"/><Relationship Id="rId27" Type="http://schemas.openxmlformats.org/officeDocument/2006/relationships/hyperlink" Target="https://doi.org/10.1016/j.gloenvcha.2021.102347" TargetMode="External"/><Relationship Id="rId28" Type="http://schemas.openxmlformats.org/officeDocument/2006/relationships/hyperlink" Target="https://doi.org/10.1007/s10784-014-9266-1" TargetMode="External"/><Relationship Id="rId29" Type="http://schemas.openxmlformats.org/officeDocument/2006/relationships/hyperlink" Target="https://doi.org/10.1016/j.erss.2024.103619" TargetMode="External"/><Relationship Id="rId30" Type="http://schemas.openxmlformats.org/officeDocument/2006/relationships/hyperlink" Target="https://doi.org/10.1016/j.eist.2021.09.007" TargetMode="External"/><Relationship Id="rId31" Type="http://schemas.openxmlformats.org/officeDocument/2006/relationships/hyperlink" Target="https://doi.org/10.1073/pnas.2207727120" TargetMode="Externa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comments" Target="comment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LibreOffice/24.2.6.2$Linux_X86_64 LibreOffice_project/420$Build-2</Application>
  <AppVersion>15.0000</AppVersion>
  <Pages>22</Pages>
  <Words>5070</Words>
  <Characters>29856</Characters>
  <CharactersWithSpaces>34915</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2025-05-22T11:10:00Z</dcterms:created>
  <dc:creator>Huguenot-Noel, Robin</dc:creator>
  <dc:description/>
  <dc:language>en-US</dc:language>
  <cp:lastModifiedBy/>
  <dcterms:modified xsi:type="dcterms:W3CDTF">2025-05-23T12:17:39Z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