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/>
      </w:pPr>
      <w:r>
        <w:rPr/>
        <w:t>Meeting notes</w:t>
      </w:r>
    </w:p>
    <w:p>
      <w:pPr>
        <w:pStyle w:val="Normal"/>
        <w:rPr/>
      </w:pPr>
      <w:r>
        <w:rPr/>
        <w:t>Meeting notes</w:t>
      </w:r>
    </w:p>
    <w:p>
      <w:pPr>
        <w:pStyle w:val="Normal"/>
        <w:rPr/>
      </w:pPr>
      <w:r>
        <w:rPr>
          <w:lang w:val="en-US"/>
        </w:rPr>
        <w:t>Date: 25th of October 2024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Agenda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1. Korpi and climate / just transition angle &amp; interests 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2. ⁠ Hypotheses formulations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3. ⁠Operationalisation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JTF --&gt; Petit truc, plus petit dénominateur commun. Fonction globale que ça sert? Si c’est marginal pas intéressant.... MAIS, intéressant en poussant le filon power politics and climate politics. --&gt; un thème: transition climatique / mitigation à proprement parlé, et question compensatoire.  Bigger picture. 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--&gt; Comment compenser les perdant? </w:t>
      </w:r>
    </w:p>
    <w:p>
      <w:pPr>
        <w:pStyle w:val="Normal"/>
        <w:rPr>
          <w:lang w:val="fr-FR"/>
        </w:rPr>
      </w:pPr>
      <w:r>
        <w:rPr>
          <w:lang w:val="fr-FR"/>
        </w:rPr>
        <w:t>--&gt; Méchanismes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--&gt; Deux angles : 1) Attitudes vis à vis de compensations pour les personnes qui perdront leurs positions dominantes, 2) mécanismes de mobilisation (acheter / grignoter) --&gt; Deux angles d’entrée potentielle ////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b/>
          <w:bCs/>
          <w:lang w:val="fr-FR"/>
        </w:rPr>
        <w:t>Mechanisms of realignment (outcomes)</w:t>
      </w:r>
    </w:p>
    <w:p>
      <w:pPr>
        <w:pStyle w:val="Normal"/>
        <w:rPr>
          <w:lang w:val="fr-FR"/>
        </w:rPr>
      </w:pPr>
      <w:r>
        <w:rPr>
          <w:b/>
          <w:bCs/>
          <w:lang w:val="fr-FR"/>
        </w:rPr>
        <w:t xml:space="preserve">Hypothesis: economic interests, </w:t>
      </w:r>
    </w:p>
    <w:p>
      <w:pPr>
        <w:pStyle w:val="Normal"/>
        <w:rPr>
          <w:u w:val="single"/>
          <w:lang w:val="fr-FR"/>
        </w:rPr>
      </w:pPr>
      <w:r>
        <w:rPr>
          <w:u w:val="single"/>
          <w:lang w:val="fr-FR"/>
        </w:rPr>
        <w:t xml:space="preserve">Environnement infrastructurel et social --- réseau: realignment 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Nouveau tissu industriel --&gt; Pro climate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Decisions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Next steps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b/>
          <w:bCs/>
          <w:color w:val="212121"/>
          <w:kern w:val="0"/>
          <w:sz w:val="28"/>
          <w:szCs w:val="28"/>
          <w:lang w:eastAsia="en-GB"/>
          <w14:ligatures w14:val="none"/>
        </w:rPr>
        <w:t>Minutes – July 2024 Meeting</w:t>
      </w:r>
    </w:p>
    <w:p>
      <w:pPr>
        <w:pStyle w:val="Normal"/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b/>
          <w:bCs/>
          <w:color w:val="212121"/>
          <w:kern w:val="0"/>
          <w:sz w:val="28"/>
          <w:szCs w:val="28"/>
          <w:lang w:eastAsia="en-GB"/>
          <w14:ligatures w14:val="none"/>
        </w:rPr>
      </w:r>
    </w:p>
    <w:p>
      <w:pPr>
        <w:pStyle w:val="Normal"/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b/>
          <w:bCs/>
          <w:color w:val="212121"/>
          <w:kern w:val="0"/>
          <w:sz w:val="28"/>
          <w:szCs w:val="28"/>
          <w:lang w:eastAsia="en-GB"/>
          <w14:ligatures w14:val="none"/>
        </w:rPr>
        <w:t>Preparation</w:t>
      </w:r>
    </w:p>
    <w:p>
      <w:pPr>
        <w:pStyle w:val="Normal"/>
        <w:numPr>
          <w:ilvl w:val="0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fr-FR" w:eastAsia="en-GB"/>
          <w14:ligatures w14:val="none"/>
        </w:rPr>
        <w:t>Presentation </w:t>
      </w:r>
    </w:p>
    <w:p>
      <w:pPr>
        <w:pStyle w:val="Normal"/>
        <w:numPr>
          <w:ilvl w:val="1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>Robin : various reports on CP evaluations / governance for DG REGIO, JRC, and recently expert group on future of cohesion policy; Phd at EUI and will start a post-doc at La Statale in Milan, who has a strong EU just transition division.</w:t>
      </w:r>
    </w:p>
    <w:p>
      <w:pPr>
        <w:pStyle w:val="Normal"/>
        <w:numPr>
          <w:ilvl w:val="1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>Rens : also EUI PhD, expertise in climate policy evaluation, collect of micro-data in several ongoing projects (can mention them)</w:t>
      </w:r>
    </w:p>
    <w:p>
      <w:pPr>
        <w:pStyle w:val="Normal"/>
        <w:numPr>
          <w:ilvl w:val="0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>Objectives in brief </w:t>
      </w:r>
    </w:p>
    <w:p>
      <w:pPr>
        <w:pStyle w:val="Normal"/>
        <w:numPr>
          <w:ilvl w:val="1"/>
          <w:numId w:val="10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Both interested in just transition initiatives and EU action in this area and </w:t>
      </w:r>
      <w:r>
        <w:rPr>
          <w:rFonts w:eastAsia="Times New Roman" w:cs="Calibri" w:ascii="Calibri" w:hAnsi="Calibri"/>
          <w:b/>
          <w:bCs/>
          <w:color w:val="212121"/>
          <w:kern w:val="0"/>
          <w:sz w:val="28"/>
          <w:szCs w:val="28"/>
          <w:u w:val="single"/>
          <w:lang w:val="en-US" w:eastAsia="en-GB"/>
          <w14:ligatures w14:val="none"/>
        </w:rPr>
        <w:t>joining departments with established expertise</w:t>
      </w: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in this area</w:t>
      </w:r>
    </w:p>
    <w:p>
      <w:pPr>
        <w:pStyle w:val="Normal"/>
        <w:numPr>
          <w:ilvl w:val="1"/>
          <w:numId w:val="11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Read </w:t>
      </w:r>
      <w:r>
        <w:rPr>
          <w:rFonts w:eastAsia="Times New Roman" w:cs="Calibri" w:ascii="Calibri" w:hAnsi="Calibri"/>
          <w:b/>
          <w:bCs/>
          <w:color w:val="212121"/>
          <w:kern w:val="0"/>
          <w:sz w:val="28"/>
          <w:szCs w:val="28"/>
          <w:u w:val="single"/>
          <w:lang w:val="en-US" w:eastAsia="en-GB"/>
          <w14:ligatures w14:val="none"/>
        </w:rPr>
        <w:t>first quali evaluations on the </w:t>
      </w:r>
      <w:r>
        <w:rPr>
          <w:rFonts w:eastAsia="Times New Roman" w:cs="Calibri" w:ascii="Calibri" w:hAnsi="Calibri"/>
          <w:b/>
          <w:bCs/>
          <w:color w:val="212121"/>
          <w:kern w:val="0"/>
          <w:sz w:val="28"/>
          <w:szCs w:val="28"/>
          <w:u w:val="single"/>
          <w:lang w:eastAsia="en-GB"/>
          <w14:ligatures w14:val="none"/>
        </w:rPr>
        <w:t>TJTPs</w:t>
      </w: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>, and briefly scanned through the </w:t>
      </w: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JTF knowledge repository</w:t>
      </w:r>
    </w:p>
    <w:p>
      <w:pPr>
        <w:pStyle w:val="Normal"/>
        <w:numPr>
          <w:ilvl w:val="1"/>
          <w:numId w:val="12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But little so far on </w:t>
      </w:r>
      <w:r>
        <w:rPr>
          <w:rFonts w:eastAsia="Times New Roman" w:cs="Calibri" w:ascii="Calibri" w:hAnsi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>how programmes contribute to longer-term change in terms of social cohesion, mitigating risks of polarization,</w:t>
      </w: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etc. </w:t>
      </w:r>
    </w:p>
    <w:p>
      <w:pPr>
        <w:pStyle w:val="Normal"/>
        <w:numPr>
          <w:ilvl w:val="1"/>
          <w:numId w:val="13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>Intuition is that possible results could be expected and keen to use some micro-data to assess that. </w:t>
      </w:r>
    </w:p>
    <w:p>
      <w:pPr>
        <w:pStyle w:val="Normal"/>
        <w:numPr>
          <w:ilvl w:val="1"/>
          <w:numId w:val="1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Our needs: </w:t>
      </w:r>
    </w:p>
    <w:p>
      <w:pPr>
        <w:pStyle w:val="Normal"/>
        <w:ind w:left="1440"/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</w:pPr>
      <w:r>
        <w:rPr>
          <w:rFonts w:eastAsia="Times New Roman" w:cs="Calibri" w:ascii="Calibri" w:hAnsi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>1) better understand implementation stage in different programmes;  </w:t>
      </w:r>
    </w:p>
    <w:p>
      <w:pPr>
        <w:pStyle w:val="Normal"/>
        <w:ind w:left="1440"/>
        <w:rPr>
          <w:rFonts w:ascii="Calibri" w:hAnsi="Calibri" w:eastAsia="Times New Roman" w:cs="Calibri"/>
          <w:color w:val="212121"/>
          <w:kern w:val="0"/>
          <w:sz w:val="28"/>
          <w:szCs w:val="28"/>
          <w:lang w:val="en-US"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2) gain your support in the </w:t>
      </w:r>
      <w:r>
        <w:rPr>
          <w:rFonts w:eastAsia="Times New Roman" w:cs="Calibri" w:ascii="Calibri" w:hAnsi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>selection of specific projects</w:t>
      </w: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 xml:space="preserve"> based on a) relevance; b) interest from project leads; and </w:t>
      </w:r>
    </w:p>
    <w:p>
      <w:pPr>
        <w:pStyle w:val="Normal"/>
        <w:ind w:left="1440"/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b/>
          <w:bCs/>
          <w:color w:val="212121"/>
          <w:kern w:val="0"/>
          <w:sz w:val="28"/>
          <w:szCs w:val="28"/>
          <w:lang w:val="en-US" w:eastAsia="en-GB"/>
          <w14:ligatures w14:val="none"/>
        </w:rPr>
        <w:t>3) identify how we could get involved concretely</w:t>
      </w:r>
    </w:p>
    <w:p>
      <w:pPr>
        <w:pStyle w:val="Normal"/>
        <w:numPr>
          <w:ilvl w:val="1"/>
          <w:numId w:val="15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>But also your own needs in terms of evaluation, (studies you may envision to commission), and possible synergies … </w:t>
      </w:r>
    </w:p>
    <w:p>
      <w:pPr>
        <w:pStyle w:val="Normal"/>
        <w:numPr>
          <w:ilvl w:val="0"/>
          <w:numId w:val="4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>Suggest concrete plans if asked for </w:t>
      </w:r>
    </w:p>
    <w:p>
      <w:pPr>
        <w:pStyle w:val="Normal"/>
        <w:numPr>
          <w:ilvl w:val="1"/>
          <w:numId w:val="16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val="en-US" w:eastAsia="en-GB"/>
          <w14:ligatures w14:val="none"/>
        </w:rPr>
        <w:t>Rens on experimental designs or diff in diff; Robin on governance, interviews and focus groups / workshops </w:t>
      </w:r>
    </w:p>
    <w:p>
      <w:pPr>
        <w:pStyle w:val="Normal"/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</w:r>
    </w:p>
    <w:p>
      <w:pPr>
        <w:pStyle w:val="Normal"/>
        <w:rPr>
          <w:rFonts w:ascii="Calibri" w:hAnsi="Calibri" w:eastAsia="Times New Roman" w:cs="Calibri"/>
          <w:b/>
          <w:bCs/>
          <w:color w:val="212121"/>
          <w:kern w:val="0"/>
          <w:sz w:val="28"/>
          <w:szCs w:val="28"/>
          <w:u w:val="single"/>
          <w:lang w:eastAsia="en-GB"/>
          <w14:ligatures w14:val="none"/>
        </w:rPr>
      </w:pPr>
      <w:r>
        <w:rPr>
          <w:rFonts w:eastAsia="Times New Roman" w:cs="Calibri" w:ascii="Calibri" w:hAnsi="Calibri"/>
          <w:b/>
          <w:bCs/>
          <w:color w:val="212121"/>
          <w:kern w:val="0"/>
          <w:sz w:val="28"/>
          <w:szCs w:val="28"/>
          <w:u w:val="single"/>
          <w:lang w:eastAsia="en-GB"/>
          <w14:ligatures w14:val="none"/>
        </w:rPr>
        <w:t>Take-aways</w:t>
      </w:r>
    </w:p>
    <w:p>
      <w:pPr>
        <w:pStyle w:val="ListParagraph"/>
        <w:numPr>
          <w:ilvl w:val="0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Context: Look further into JTMechanism, also including investEU and Public loan facility</w:t>
      </w:r>
    </w:p>
    <w:p>
      <w:pPr>
        <w:pStyle w:val="ListParagraph"/>
        <w:numPr>
          <w:ilvl w:val="0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 xml:space="preserve">Projects: </w:t>
      </w:r>
    </w:p>
    <w:p>
      <w:pPr>
        <w:pStyle w:val="ListParagraph"/>
        <w:numPr>
          <w:ilvl w:val="1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70 TJTPs for 96 territories</w:t>
      </w:r>
    </w:p>
    <w:p>
      <w:pPr>
        <w:pStyle w:val="ListParagraph"/>
        <w:numPr>
          <w:ilvl w:val="1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13,3% on Skills job search assistance, education</w:t>
      </w:r>
    </w:p>
    <w:p>
      <w:pPr>
        <w:pStyle w:val="ListParagraph"/>
        <w:numPr>
          <w:ilvl w:val="1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More infos from Just transition platform</w:t>
      </w:r>
    </w:p>
    <w:p>
      <w:pPr>
        <w:pStyle w:val="ListParagraph"/>
        <w:numPr>
          <w:ilvl w:val="0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Interesting dynamics at the programming stage: a) some programmes rejected; b) some programmes modified / better aligned with de-browning objectives (e.g. phasing out lignite in Bulgaria and Hungary); c) incentives to speed up for some; d) programmes set up that would not have been otherwise. E.g., PL plan was missing decarbonisation for some..</w:t>
      </w:r>
    </w:p>
    <w:p>
      <w:pPr>
        <w:pStyle w:val="ListParagraph"/>
        <w:numPr>
          <w:ilvl w:val="0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Good practice: “Job after Coal” in Poland: ex-miners installing power plants</w:t>
      </w:r>
    </w:p>
    <w:p>
      <w:pPr>
        <w:pStyle w:val="ListParagraph"/>
        <w:numPr>
          <w:ilvl w:val="0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Problem: no enforcement mechanism. Some arrangements with other units, such as state aid reviews, etc. to capture issues.</w:t>
      </w:r>
    </w:p>
    <w:p>
      <w:pPr>
        <w:pStyle w:val="ListParagraph"/>
        <w:numPr>
          <w:ilvl w:val="0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Interest on governance arrangements (national or regional authorities in charge of management, admin capacity, inclusiveness)</w:t>
      </w:r>
    </w:p>
    <w:p>
      <w:pPr>
        <w:pStyle w:val="ListParagraph"/>
        <w:numPr>
          <w:ilvl w:val="0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Keep an eye on: 15-16 october JTP conference, JTP groundwork</w:t>
      </w:r>
    </w:p>
    <w:p>
      <w:pPr>
        <w:pStyle w:val="ListParagraph"/>
        <w:numPr>
          <w:ilvl w:val="0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 xml:space="preserve">Potential knowledge resources: </w:t>
      </w:r>
    </w:p>
    <w:p>
      <w:pPr>
        <w:pStyle w:val="ListParagraph"/>
        <w:numPr>
          <w:ilvl w:val="1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National and regional managing authorities</w:t>
      </w:r>
    </w:p>
    <w:p>
      <w:pPr>
        <w:pStyle w:val="ListParagraph"/>
        <w:numPr>
          <w:ilvl w:val="1"/>
          <w:numId w:val="7"/>
        </w:numPr>
        <w:rPr>
          <w:rFonts w:ascii="Calibri" w:hAnsi="Calibri" w:eastAsia="Times New Roman" w:cs="Calibri"/>
          <w:color w:val="21212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="Calibri" w:ascii="Calibri" w:hAnsi="Calibri"/>
          <w:color w:val="212121"/>
          <w:kern w:val="0"/>
          <w:sz w:val="28"/>
          <w:szCs w:val="28"/>
          <w:lang w:eastAsia="en-GB"/>
          <w14:ligatures w14:val="none"/>
        </w:rPr>
        <w:t>experts on the ground for technical assistance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Next steps: </w:t>
      </w:r>
    </w:p>
    <w:p>
      <w:pPr>
        <w:pStyle w:val="ListParagraph"/>
        <w:numPr>
          <w:ilvl w:val="0"/>
          <w:numId w:val="8"/>
        </w:numPr>
        <w:rPr/>
      </w:pPr>
      <w:r>
        <w:rPr/>
        <w:t>Seek wider context on the JT mechanism, JTF, and TJTPs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Explore regional distribution of projects (against functional mapping?) </w:t>
      </w:r>
    </w:p>
    <w:p>
      <w:pPr>
        <w:pStyle w:val="ListParagraph"/>
        <w:numPr>
          <w:ilvl w:val="0"/>
          <w:numId w:val="8"/>
        </w:numPr>
        <w:rPr/>
      </w:pPr>
      <w:r>
        <w:rPr/>
        <w:t>Prepare for meeting with FR national and regional authorities</w:t>
      </w:r>
    </w:p>
    <w:p>
      <w:pPr>
        <w:pStyle w:val="ListParagraph"/>
        <w:numPr>
          <w:ilvl w:val="0"/>
          <w:numId w:val="8"/>
        </w:numPr>
        <w:rPr/>
      </w:pPr>
      <w:r>
        <w:rPr/>
        <w:t>Consider interview plan, incl. on projects in PL, BU, etc.</w:t>
      </w:r>
    </w:p>
    <w:p>
      <w:pPr>
        <w:pStyle w:val="ListParagraph"/>
        <w:numPr>
          <w:ilvl w:val="0"/>
          <w:numId w:val="8"/>
        </w:numPr>
        <w:rPr/>
      </w:pPr>
      <w:r>
        <w:rPr/>
        <w:t>Meeting on 23/07 at 3pm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Literature review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color w:themeColor="text1" w:val="000000"/>
          <w:sz w:val="24"/>
          <w:szCs w:val="24"/>
          <w:lang w:val="en-US"/>
        </w:rPr>
      </w:pPr>
      <w:r>
        <w:rPr>
          <w:rFonts w:eastAsia="Aptos" w:cs="Aptos"/>
          <w:color w:themeColor="text1" w:val="000000"/>
          <w:sz w:val="24"/>
          <w:szCs w:val="24"/>
          <w:lang w:val="en-US"/>
        </w:rPr>
        <w:t xml:space="preserve">EU just transition fund (CES conference): </w:t>
      </w:r>
    </w:p>
    <w:p>
      <w:pPr>
        <w:pStyle w:val="ListParagraph"/>
        <w:numPr>
          <w:ilvl w:val="1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color w:themeColor="text1" w:val="000000"/>
          <w:sz w:val="24"/>
          <w:szCs w:val="24"/>
          <w:lang w:val="en-US"/>
        </w:rPr>
      </w:pPr>
      <w:r>
        <w:rPr>
          <w:rFonts w:eastAsia="Aptos" w:cs="Aptos"/>
          <w:color w:themeColor="text1" w:val="000000"/>
          <w:sz w:val="24"/>
          <w:szCs w:val="24"/>
          <w:lang w:val="en-US"/>
        </w:rPr>
        <w:t>Just transition as a fuzzy concept allowing for a policy / instituional expansion logic?</w:t>
      </w:r>
    </w:p>
    <w:p>
      <w:pPr>
        <w:pStyle w:val="ListParagraph"/>
        <w:numPr>
          <w:ilvl w:val="1"/>
          <w:numId w:val="3"/>
        </w:numPr>
        <w:spacing w:beforeAutospacing="0" w:before="0" w:afterAutospacing="0" w:after="0"/>
        <w:contextualSpacing/>
        <w:rPr>
          <w:rFonts w:ascii="Aptos" w:hAnsi="Aptos" w:eastAsia="Aptos" w:cs="Aptos"/>
          <w:color w:themeColor="text1" w:val="000000"/>
          <w:sz w:val="24"/>
          <w:szCs w:val="24"/>
          <w:lang w:val="en-US"/>
        </w:rPr>
      </w:pPr>
      <w:r>
        <w:rPr>
          <w:rFonts w:eastAsia="Aptos" w:cs="Aptos"/>
          <w:color w:themeColor="text1" w:val="000000"/>
          <w:sz w:val="24"/>
          <w:szCs w:val="24"/>
          <w:lang w:val="en-US"/>
        </w:rPr>
        <w:t>Vs “Side payment logic” : compensate countries and not losers of the transition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BOLD OBLIQU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Apto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4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12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0f9a"/>
    <w:pPr>
      <w:keepNext w:val="true"/>
      <w:keepLines/>
      <w:spacing w:lineRule="auto" w:line="360" w:before="160" w:after="80"/>
      <w:jc w:val="both"/>
      <w:outlineLvl w:val="1"/>
    </w:pPr>
    <w:rPr>
      <w:rFonts w:ascii="Helvetica" w:hAnsi="Helvetica" w:eastAsia="" w:cs="" w:cstheme="majorBidi" w:eastAsiaTheme="majorEastAsia"/>
      <w:b/>
      <w:color w:themeColor="text1" w:val="000000"/>
      <w:kern w:val="0"/>
      <w:sz w:val="28"/>
      <w:szCs w:val="32"/>
      <w:u w:val="single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12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70f9a"/>
    <w:pPr>
      <w:keepNext w:val="true"/>
      <w:keepLines/>
      <w:spacing w:lineRule="auto" w:line="360" w:before="80" w:after="40"/>
      <w:jc w:val="both"/>
      <w:outlineLvl w:val="3"/>
    </w:pPr>
    <w:rPr>
      <w:rFonts w:ascii="HELVETICA BOLD OBLIQUE" w:hAnsi="HELVETICA BOLD OBLIQUE" w:eastAsia="" w:cs="" w:cstheme="majorBidi" w:eastAsiaTheme="majorEastAsia"/>
      <w:b/>
      <w:i/>
      <w:iCs/>
      <w:color w:themeColor="text1" w:val="000000"/>
      <w:kern w:val="0"/>
      <w:szCs w:val="22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12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12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12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121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121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70f9a"/>
    <w:rPr>
      <w:rFonts w:ascii="Helvetica" w:hAnsi="Helvetica" w:eastAsia="" w:cs="" w:cstheme="majorBidi" w:eastAsiaTheme="majorEastAsia"/>
      <w:b/>
      <w:spacing w:val="-10"/>
      <w:kern w:val="2"/>
      <w:sz w:val="36"/>
      <w:szCs w:val="72"/>
      <w:lang w:val="en-US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70f9a"/>
    <w:rPr>
      <w:rFonts w:ascii="Helvetica" w:hAnsi="Helvetica" w:eastAsia="" w:cs="" w:cstheme="majorBidi" w:eastAsiaTheme="majorEastAsia"/>
      <w:b/>
      <w:color w:themeColor="text1" w:val="000000"/>
      <w:kern w:val="0"/>
      <w:sz w:val="28"/>
      <w:szCs w:val="32"/>
      <w:u w:val="single"/>
      <w:lang w:val="en-US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70f9a"/>
    <w:rPr>
      <w:rFonts w:ascii="HELVETICA BOLD OBLIQUE" w:hAnsi="HELVETICA BOLD OBLIQUE" w:eastAsia="" w:cs="" w:cstheme="majorBidi" w:eastAsiaTheme="majorEastAsia"/>
      <w:b/>
      <w:i/>
      <w:iCs/>
      <w:color w:themeColor="text1" w:val="000000"/>
      <w:kern w:val="0"/>
      <w:szCs w:val="22"/>
      <w:lang w:val="en-US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3612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3612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3612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3612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3612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3612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36121"/>
    <w:rPr>
      <w:rFonts w:eastAsia="" w:cs="" w:cstheme="majorBidi" w:eastAsiaTheme="majorEastAsia"/>
      <w:color w:themeColor="text1" w:themeTint="d8" w:val="272727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3612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3612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3612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3612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36121"/>
    <w:rPr>
      <w:b/>
      <w:bCs/>
      <w:smallCaps/>
      <w:color w:themeColor="accent1" w:themeShade="bf" w:val="0F4761"/>
      <w:spacing w:val="5"/>
    </w:rPr>
  </w:style>
  <w:style w:type="character" w:styleId="apple-converted-space" w:customStyle="1">
    <w:name w:val="apple-converted-space"/>
    <w:basedOn w:val="DefaultParagraphFont"/>
    <w:qFormat/>
    <w:rsid w:val="0063612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TitleCover" w:customStyle="1">
    <w:name w:val="1_TitleCover"/>
    <w:basedOn w:val="Normal"/>
    <w:autoRedefine/>
    <w:qFormat/>
    <w:rsid w:val="00270f9a"/>
    <w:pPr>
      <w:spacing w:lineRule="exact" w:line="440" w:before="0" w:after="0"/>
      <w:contextualSpacing/>
    </w:pPr>
    <w:rPr>
      <w:rFonts w:ascii="Helvetica" w:hAnsi="Helvetica" w:eastAsia="" w:cs="Arial" w:eastAsiaTheme="majorEastAsia"/>
      <w:b/>
      <w:color w:themeColor="text1" w:val="000000"/>
      <w:spacing w:val="5"/>
      <w:kern w:val="2"/>
      <w:sz w:val="32"/>
      <w:szCs w:val="52"/>
      <w:lang w:val="en-GB" w:eastAsia="it-IT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70f9a"/>
    <w:pPr>
      <w:spacing w:lineRule="auto" w:line="360" w:before="0" w:after="80"/>
      <w:contextualSpacing/>
      <w:jc w:val="both"/>
    </w:pPr>
    <w:rPr>
      <w:rFonts w:ascii="Helvetica" w:hAnsi="Helvetica" w:eastAsia="" w:cs="" w:cstheme="majorBidi" w:eastAsiaTheme="majorEastAsia"/>
      <w:b/>
      <w:spacing w:val="-10"/>
      <w:kern w:val="2"/>
      <w:sz w:val="36"/>
      <w:szCs w:val="72"/>
      <w:lang w:val="en-US"/>
      <w14:ligatures w14:val="none"/>
    </w:rPr>
  </w:style>
  <w:style w:type="paragraph" w:styleId="EAtabletitle" w:customStyle="1">
    <w:name w:val="EA table title"/>
    <w:autoRedefine/>
    <w:uiPriority w:val="99"/>
    <w:qFormat/>
    <w:rsid w:val="00270f9a"/>
    <w:pPr>
      <w:widowControl/>
      <w:bidi w:val="0"/>
      <w:spacing w:before="0" w:after="0"/>
      <w:jc w:val="left"/>
    </w:pPr>
    <w:rPr>
      <w:rFonts w:ascii="Helvetica" w:hAnsi="Helvetica" w:eastAsia="Times New Roman" w:cs="Frutiger CE 55 Roman"/>
      <w:color w:val="000000"/>
      <w:kern w:val="0"/>
      <w:sz w:val="24"/>
      <w:szCs w:val="24"/>
      <w:lang w:val="en-GB" w:eastAsia="en-US"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121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12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36121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36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LibreOffice/24.2.6.2$Linux_X86_64 LibreOffice_project/420$Build-2</Application>
  <AppVersion>15.0000</AppVersion>
  <Pages>3</Pages>
  <Words>637</Words>
  <Characters>3494</Characters>
  <CharactersWithSpaces>4051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2024-07-12T13:58:00Z</dcterms:created>
  <dc:creator>Huguenot-Noel, Robin</dc:creator>
  <dc:description/>
  <dc:language>en-US</dc:language>
  <cp:lastModifiedBy/>
  <dcterms:modified xsi:type="dcterms:W3CDTF">2025-05-06T09:05:23Z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