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media/image1.png" ContentType="image/png"/>
  <Override PartName="/word/media/image2.png" ContentType="image/png"/>
  <Override PartName="/word/media/image3.png" ContentType="image/png"/>
  <Override PartName="/word/header3.xml" ContentType="application/vnd.openxmlformats-officedocument.wordprocessingml.header+xml"/>
  <Override PartName="/word/footer1.xml" ContentType="application/vnd.openxmlformats-officedocument.wordprocessingml.footer+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comments.xml" ContentType="application/vnd.openxmlformats-officedocument.wordprocessingml.comments+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120"/>
        <w:jc w:val="both"/>
        <w:rPr/>
      </w:pPr>
      <w:r>
        <w:rPr>
          <w:rFonts w:cs="Calibri" w:ascii="Calibri" w:hAnsi="Calibri"/>
          <w:b/>
          <w:bCs/>
          <w:color w:val="890517"/>
          <w:kern w:val="0"/>
          <w:sz w:val="28"/>
          <w:szCs w:val="28"/>
          <w:lang w:val="en-GB"/>
        </w:rPr>
        <w:t>Mobilising worker support for Just Transition policies: Testing the ‘Union Effect’</w:t>
      </w:r>
    </w:p>
    <w:p>
      <w:pPr>
        <w:pStyle w:val="Normal"/>
        <w:spacing w:lineRule="auto" w:line="240"/>
        <w:jc w:val="both"/>
        <w:rPr>
          <w:rFonts w:ascii="Calibri" w:hAnsi="Calibri" w:cs="Calibri"/>
          <w:color w:themeColor="text1" w:val="000000"/>
          <w:kern w:val="0"/>
          <w:sz w:val="20"/>
          <w:szCs w:val="20"/>
          <w:lang w:val="en-GB"/>
        </w:rPr>
      </w:pPr>
      <w:r>
        <w:rPr>
          <w:rFonts w:cs="Calibri" w:ascii="Calibri" w:hAnsi="Calibri"/>
          <w:color w:themeColor="text1" w:val="000000"/>
          <w:kern w:val="0"/>
          <w:sz w:val="20"/>
          <w:szCs w:val="20"/>
          <w:lang w:val="en-GB"/>
        </w:rPr>
      </w:r>
    </w:p>
    <w:p>
      <w:pPr>
        <w:pStyle w:val="Normal"/>
        <w:spacing w:lineRule="auto" w:line="240" w:before="120" w:after="120"/>
        <w:jc w:val="both"/>
        <w:rPr/>
      </w:pPr>
      <w:r>
        <w:rPr>
          <w:rFonts w:cs="Calibri" w:ascii="Calibri" w:hAnsi="Calibri"/>
          <w:b/>
          <w:bCs/>
          <w:i/>
          <w:iCs/>
          <w:color w:val="890517"/>
          <w:kern w:val="0"/>
          <w:sz w:val="20"/>
          <w:szCs w:val="20"/>
          <w:lang w:val="en-GB"/>
        </w:rPr>
        <w:t>In a nutshell</w:t>
      </w:r>
    </w:p>
    <w:p>
      <w:pPr>
        <w:pStyle w:val="NormalWeb"/>
        <w:spacing w:lineRule="auto" w:line="240" w:beforeAutospacing="0" w:before="120" w:afterAutospacing="0" w:after="120"/>
        <w:jc w:val="both"/>
        <w:rPr/>
      </w:pPr>
      <w:r>
        <w:rPr>
          <w:rFonts w:cs="Calibri" w:ascii="Calibri" w:hAnsi="Calibri"/>
          <w:b/>
          <w:bCs/>
          <w:sz w:val="20"/>
          <w:szCs w:val="20"/>
        </w:rPr>
        <w:t xml:space="preserve">This project investigates what makes Just Transition strategies </w:t>
      </w:r>
      <w:r>
        <w:rPr>
          <w:rStyle w:val="Strong"/>
          <w:rFonts w:eastAsia="" w:cs="Calibri" w:ascii="Calibri" w:hAnsi="Calibri" w:eastAsiaTheme="majorEastAsia"/>
          <w:sz w:val="20"/>
          <w:szCs w:val="20"/>
        </w:rPr>
        <w:t>credible, fair, and politically sustainable</w:t>
      </w:r>
      <w:r>
        <w:rPr>
          <w:rFonts w:cs="Calibri" w:ascii="Calibri" w:hAnsi="Calibri"/>
          <w:sz w:val="20"/>
          <w:szCs w:val="20"/>
        </w:rPr>
        <w:t xml:space="preserve"> </w:t>
      </w:r>
      <w:r>
        <w:rPr>
          <w:rFonts w:cs="Calibri" w:ascii="Calibri" w:hAnsi="Calibri"/>
          <w:b/>
          <w:bCs/>
          <w:sz w:val="20"/>
          <w:szCs w:val="20"/>
        </w:rPr>
        <w:t>in their eyes of workers currently employed</w:t>
      </w:r>
      <w:r>
        <w:rPr>
          <w:rFonts w:cs="Calibri" w:ascii="Calibri" w:hAnsi="Calibri"/>
          <w:sz w:val="20"/>
          <w:szCs w:val="20"/>
        </w:rPr>
        <w:t xml:space="preserve"> </w:t>
      </w:r>
      <w:r>
        <w:rPr>
          <w:rFonts w:cs="Calibri" w:ascii="Calibri" w:hAnsi="Calibri"/>
          <w:b/>
          <w:bCs/>
          <w:sz w:val="20"/>
          <w:szCs w:val="20"/>
        </w:rPr>
        <w:t xml:space="preserve">in high-emission industries. </w:t>
      </w:r>
    </w:p>
    <w:p>
      <w:pPr>
        <w:pStyle w:val="NormalWeb"/>
        <w:spacing w:lineRule="auto" w:line="240" w:beforeAutospacing="0" w:before="120" w:afterAutospacing="0" w:after="120"/>
        <w:jc w:val="both"/>
        <w:rPr/>
      </w:pPr>
      <w:r>
        <w:rPr>
          <w:rFonts w:cs="Calibri" w:ascii="Calibri" w:hAnsi="Calibri"/>
          <w:sz w:val="20"/>
          <w:szCs w:val="20"/>
        </w:rPr>
        <w:t xml:space="preserve">Through a </w:t>
      </w:r>
      <w:r>
        <w:rPr>
          <w:rFonts w:cs="Calibri" w:ascii="Calibri" w:hAnsi="Calibri"/>
          <w:b/>
          <w:bCs/>
          <w:sz w:val="20"/>
          <w:szCs w:val="20"/>
        </w:rPr>
        <w:t>large-scale experimental survey</w:t>
      </w:r>
      <w:r>
        <w:rPr>
          <w:rFonts w:cs="Calibri" w:ascii="Calibri" w:hAnsi="Calibri"/>
          <w:sz w:val="20"/>
          <w:szCs w:val="20"/>
        </w:rPr>
        <w:t xml:space="preserve"> in France, Germany, and Poland, we seek to better comprehend </w:t>
      </w:r>
      <w:r>
        <w:rPr>
          <w:rFonts w:cs="Calibri" w:ascii="Calibri" w:hAnsi="Calibri"/>
          <w:b/>
          <w:bCs/>
          <w:sz w:val="20"/>
          <w:szCs w:val="20"/>
        </w:rPr>
        <w:t>which policy instruments</w:t>
      </w:r>
      <w:r>
        <w:rPr>
          <w:rFonts w:cs="Calibri" w:ascii="Calibri" w:hAnsi="Calibri"/>
          <w:sz w:val="20"/>
          <w:szCs w:val="20"/>
        </w:rPr>
        <w:t xml:space="preserve"> (e.g., </w:t>
      </w:r>
      <w:r>
        <w:rPr>
          <w:rStyle w:val="Strong"/>
          <w:rFonts w:eastAsia="" w:cs="Calibri" w:ascii="Calibri" w:hAnsi="Calibri" w:eastAsiaTheme="majorEastAsia"/>
          <w:b w:val="false"/>
          <w:bCs w:val="false"/>
          <w:sz w:val="20"/>
          <w:szCs w:val="20"/>
        </w:rPr>
        <w:t>financial support, retraining, job guarantees, or community investment</w:t>
      </w:r>
      <w:r>
        <w:rPr>
          <w:rFonts w:cs="Calibri" w:ascii="Calibri" w:hAnsi="Calibri"/>
          <w:sz w:val="20"/>
          <w:szCs w:val="20"/>
        </w:rPr>
        <w:t xml:space="preserve">) most effectively build trust and consent. In addition, our study assesses </w:t>
      </w:r>
      <w:r>
        <w:rPr>
          <w:rFonts w:cs="Calibri" w:ascii="Calibri" w:hAnsi="Calibri"/>
          <w:b/>
          <w:bCs/>
          <w:sz w:val="20"/>
          <w:szCs w:val="20"/>
        </w:rPr>
        <w:t xml:space="preserve">how </w:t>
      </w:r>
      <w:r>
        <w:rPr>
          <w:rStyle w:val="Strong"/>
          <w:rFonts w:eastAsia="" w:cs="Calibri" w:ascii="Calibri" w:hAnsi="Calibri" w:eastAsiaTheme="majorEastAsia"/>
          <w:sz w:val="20"/>
          <w:szCs w:val="20"/>
        </w:rPr>
        <w:t>trade union positions</w:t>
      </w:r>
      <w:r>
        <w:rPr>
          <w:rFonts w:cs="Calibri" w:ascii="Calibri" w:hAnsi="Calibri"/>
          <w:b/>
          <w:bCs/>
          <w:sz w:val="20"/>
          <w:szCs w:val="20"/>
        </w:rPr>
        <w:t xml:space="preserve"> affect worker support</w:t>
      </w:r>
      <w:r>
        <w:rPr>
          <w:rFonts w:cs="Calibri" w:ascii="Calibri" w:hAnsi="Calibri"/>
          <w:sz w:val="20"/>
          <w:szCs w:val="20"/>
        </w:rPr>
        <w:t xml:space="preserve"> for climate measures.</w:t>
      </w:r>
    </w:p>
    <w:p>
      <w:pPr>
        <w:pStyle w:val="NormalWeb"/>
        <w:spacing w:lineRule="auto" w:line="240" w:beforeAutospacing="0" w:before="120" w:afterAutospacing="0" w:after="120"/>
        <w:jc w:val="both"/>
        <w:rPr/>
      </w:pPr>
      <w:r>
        <w:rPr>
          <w:rFonts w:cs="Calibri" w:ascii="Calibri" w:hAnsi="Calibri"/>
          <w:sz w:val="20"/>
          <w:szCs w:val="20"/>
        </w:rPr>
        <w:t xml:space="preserve">To ensure the results reflect the </w:t>
      </w:r>
      <w:r>
        <w:rPr>
          <w:rStyle w:val="Strong"/>
          <w:rFonts w:eastAsia="" w:cs="Calibri" w:ascii="Calibri" w:hAnsi="Calibri" w:eastAsiaTheme="majorEastAsia"/>
          <w:b w:val="false"/>
          <w:bCs w:val="false"/>
          <w:sz w:val="20"/>
          <w:szCs w:val="20"/>
        </w:rPr>
        <w:t>realities</w:t>
      </w:r>
      <w:r>
        <w:rPr>
          <w:rFonts w:cs="Calibri" w:ascii="Calibri" w:hAnsi="Calibri"/>
          <w:sz w:val="20"/>
          <w:szCs w:val="20"/>
        </w:rPr>
        <w:t xml:space="preserve"> of those most affected, we are recruiting a </w:t>
      </w:r>
      <w:r>
        <w:rPr>
          <w:rStyle w:val="Strong"/>
          <w:rFonts w:eastAsia="" w:cs="Calibri" w:ascii="Calibri" w:hAnsi="Calibri" w:eastAsiaTheme="majorEastAsia"/>
          <w:sz w:val="20"/>
          <w:szCs w:val="20"/>
        </w:rPr>
        <w:t xml:space="preserve"> sample of 1,500 workers</w:t>
      </w:r>
      <w:r>
        <w:rPr>
          <w:rFonts w:cs="Calibri" w:ascii="Calibri" w:hAnsi="Calibri"/>
          <w:sz w:val="20"/>
          <w:szCs w:val="20"/>
        </w:rPr>
        <w:t xml:space="preserve"> in high-emitting sectors. By helping distribute the survey, partners play a central role in building a </w:t>
      </w:r>
      <w:r>
        <w:rPr>
          <w:rFonts w:cs="Calibri" w:ascii="Calibri" w:hAnsi="Calibri"/>
          <w:b/>
          <w:bCs/>
          <w:sz w:val="20"/>
          <w:szCs w:val="20"/>
        </w:rPr>
        <w:t>knowledge base grounded in worker experience</w:t>
      </w:r>
      <w:r>
        <w:rPr>
          <w:rFonts w:cs="Calibri" w:ascii="Calibri" w:hAnsi="Calibri"/>
          <w:sz w:val="20"/>
          <w:szCs w:val="20"/>
        </w:rPr>
        <w:t>. These insights will ultimately inform more effective communication, negotiation, and policy design across varied national and local contexts.</w:t>
      </w:r>
    </w:p>
    <w:p>
      <w:pPr>
        <w:pStyle w:val="Normal"/>
        <w:spacing w:lineRule="auto" w:line="240" w:before="120" w:after="240"/>
        <w:jc w:val="both"/>
        <w:rPr/>
      </w:pPr>
      <w:r>
        <w:rPr>
          <w:rFonts w:eastAsia="Times New Roman" w:cs="Calibri" w:ascii="Calibri" w:hAnsi="Calibri"/>
          <w:kern w:val="0"/>
          <w:sz w:val="20"/>
          <w:szCs w:val="20"/>
          <w:lang w:eastAsia="en-GB"/>
          <w14:ligatures w14:val="none"/>
        </w:rPr>
        <w:t xml:space="preserve">This note outlines how a collaboration could help us reach a diverse participant base, while offering you </w:t>
      </w:r>
      <w:r>
        <w:rPr>
          <w:rFonts w:eastAsia="Times New Roman" w:cs="Calibri" w:ascii="Calibri" w:hAnsi="Calibri"/>
          <w:b/>
          <w:bCs/>
          <w:kern w:val="0"/>
          <w:sz w:val="20"/>
          <w:szCs w:val="20"/>
          <w:lang w:eastAsia="en-GB"/>
          <w14:ligatures w14:val="none"/>
        </w:rPr>
        <w:t>insights to support worker engagement and policy positioning in the green transition</w:t>
      </w:r>
      <w:r>
        <w:rPr>
          <w:rFonts w:eastAsia="Times New Roman" w:cs="Calibri" w:ascii="Calibri" w:hAnsi="Calibri"/>
          <w:kern w:val="0"/>
          <w:sz w:val="20"/>
          <w:szCs w:val="20"/>
          <w:lang w:eastAsia="en-GB"/>
          <w14:ligatures w14:val="none"/>
        </w:rPr>
        <w:t>.</w:t>
      </w:r>
    </w:p>
    <w:p>
      <w:pPr>
        <w:pStyle w:val="Normal"/>
        <w:spacing w:lineRule="auto" w:line="240" w:before="120" w:after="120"/>
        <w:jc w:val="both"/>
        <w:rPr/>
      </w:pPr>
      <w:r>
        <w:rPr>
          <w:rFonts w:cs="Calibri" w:ascii="Calibri" w:hAnsi="Calibri"/>
          <w:b/>
          <w:bCs/>
          <w:i/>
          <w:iCs/>
          <w:color w:val="890517"/>
          <w:kern w:val="0"/>
          <w:sz w:val="20"/>
          <w:szCs w:val="20"/>
          <w:lang w:val="en-GB"/>
        </w:rPr>
        <w:t>Labour in Transition</w:t>
      </w:r>
    </w:p>
    <w:p>
      <w:pPr>
        <w:pStyle w:val="Normal"/>
        <w:spacing w:lineRule="auto" w:line="240" w:before="120" w:after="120"/>
        <w:jc w:val="both"/>
        <w:rPr/>
      </w:pPr>
      <w:r>
        <w:rPr>
          <w:rFonts w:cs="Calibri" w:ascii="Calibri" w:hAnsi="Calibri"/>
          <w:sz w:val="20"/>
          <w:szCs w:val="20"/>
          <w:lang w:val="en-GB"/>
        </w:rPr>
        <w:t xml:space="preserve">As the EU accelerates its climate agenda under frameworks like the European Green Deal, Fit for 55, and the Just Transition Mechanism, it has become clear that the </w:t>
      </w:r>
      <w:r>
        <w:rPr>
          <w:rFonts w:cs="Calibri" w:ascii="Calibri" w:hAnsi="Calibri"/>
          <w:b/>
          <w:bCs/>
          <w:sz w:val="20"/>
          <w:szCs w:val="20"/>
          <w:lang w:val="en-GB"/>
        </w:rPr>
        <w:t xml:space="preserve">political sustainability of decarbonisation policies hinges on more than their environmental rationale. </w:t>
      </w:r>
    </w:p>
    <w:p>
      <w:pPr>
        <w:pStyle w:val="Normal"/>
        <w:spacing w:lineRule="auto" w:line="240" w:before="120" w:after="120"/>
        <w:jc w:val="both"/>
        <w:rPr/>
      </w:pPr>
      <w:r>
        <w:rPr>
          <w:rFonts w:eastAsia="Times New Roman" w:cs="Calibri" w:ascii="Calibri" w:hAnsi="Calibri"/>
          <w:kern w:val="0"/>
          <w:sz w:val="20"/>
          <w:szCs w:val="20"/>
          <w:lang w:eastAsia="en-GB"/>
          <w14:ligatures w14:val="none"/>
        </w:rPr>
        <w:t xml:space="preserve">The Just Transition agenda, initiated by the international labour movement and later championed by EU institutions, recognises these risks. The EU recently set to mobilise over </w:t>
      </w:r>
      <w:r>
        <w:rPr>
          <w:rFonts w:cs="Calibri" w:ascii="Calibri" w:hAnsi="Calibri"/>
          <w:sz w:val="20"/>
          <w:szCs w:val="20"/>
        </w:rPr>
        <w:t>€</w:t>
      </w:r>
      <w:r>
        <w:rPr>
          <w:rFonts w:eastAsia="Times New Roman" w:cs="Calibri" w:ascii="Calibri" w:hAnsi="Calibri"/>
          <w:kern w:val="0"/>
          <w:sz w:val="20"/>
          <w:szCs w:val="20"/>
          <w:lang w:eastAsia="en-GB"/>
          <w14:ligatures w14:val="none"/>
        </w:rPr>
        <w:t xml:space="preserve">100 billion via the </w:t>
      </w:r>
      <w:r>
        <w:rPr>
          <w:rFonts w:eastAsia="Times New Roman" w:cs="Calibri" w:ascii="Calibri" w:hAnsi="Calibri"/>
          <w:b/>
          <w:bCs/>
          <w:kern w:val="0"/>
          <w:sz w:val="20"/>
          <w:szCs w:val="20"/>
          <w:lang w:eastAsia="en-GB"/>
          <w14:ligatures w14:val="none"/>
        </w:rPr>
        <w:t>Just Transition Fund and the Social Climate Fund</w:t>
      </w:r>
      <w:r>
        <w:rPr>
          <w:rFonts w:eastAsia="Times New Roman" w:cs="Calibri" w:ascii="Calibri" w:hAnsi="Calibri"/>
          <w:kern w:val="0"/>
          <w:sz w:val="20"/>
          <w:szCs w:val="20"/>
          <w:lang w:eastAsia="en-GB"/>
          <w14:ligatures w14:val="none"/>
        </w:rPr>
        <w:t xml:space="preserve"> to support carbon-intensive regions and ease energy and transport costs for households and small businesses during the green transition.                                                     </w:t>
      </w:r>
    </w:p>
    <w:p>
      <w:pPr>
        <w:pStyle w:val="Normal"/>
        <w:spacing w:lineRule="auto" w:line="240" w:before="120" w:after="120"/>
        <w:jc w:val="both"/>
        <w:rPr/>
      </w:pPr>
      <w:r>
        <w:rPr>
          <w:rFonts w:eastAsia="Times New Roman" w:cs="Calibri" w:ascii="Calibri" w:hAnsi="Calibri"/>
          <w:kern w:val="0"/>
          <w:sz w:val="20"/>
          <w:szCs w:val="20"/>
          <w:lang w:eastAsia="en-GB"/>
          <w14:ligatures w14:val="none"/>
        </w:rPr>
        <w:t>The EU just transition support today is directed toward key industrial regions such as Eastern Wielkopolska in Poland, Lusatia in Germany, and parts of Grand Est and Hauts-de-France in France—</w:t>
      </w:r>
      <w:r>
        <w:rPr>
          <w:rFonts w:eastAsia="Times New Roman" w:cs="Calibri" w:ascii="Calibri" w:hAnsi="Calibri"/>
          <w:b/>
          <w:bCs/>
          <w:kern w:val="0"/>
          <w:sz w:val="20"/>
          <w:szCs w:val="20"/>
          <w:lang w:eastAsia="en-GB"/>
          <w14:ligatures w14:val="none"/>
        </w:rPr>
        <w:t>territories where climate policy meets</w:t>
      </w:r>
      <w:r>
        <w:rPr>
          <w:rFonts w:eastAsia="Times New Roman" w:cs="Calibri" w:ascii="Calibri" w:hAnsi="Calibri"/>
          <w:kern w:val="0"/>
          <w:sz w:val="20"/>
          <w:szCs w:val="20"/>
          <w:lang w:eastAsia="en-GB"/>
          <w14:ligatures w14:val="none"/>
        </w:rPr>
        <w:t xml:space="preserve"> </w:t>
      </w:r>
      <w:r>
        <w:rPr>
          <w:rFonts w:eastAsia="Times New Roman" w:cs="Calibri" w:ascii="Calibri" w:hAnsi="Calibri"/>
          <w:b/>
          <w:bCs/>
          <w:kern w:val="0"/>
          <w:sz w:val="20"/>
          <w:szCs w:val="20"/>
          <w:lang w:eastAsia="en-GB"/>
          <w14:ligatures w14:val="none"/>
        </w:rPr>
        <w:t>longstanding economic dependency on coal, heavy industry, or automotive manufacturing</w:t>
      </w:r>
      <w:r>
        <w:rPr>
          <w:rFonts w:eastAsia="Times New Roman" w:cs="Calibri" w:ascii="Calibri" w:hAnsi="Calibri"/>
          <w:kern w:val="0"/>
          <w:sz w:val="20"/>
          <w:szCs w:val="20"/>
          <w:lang w:eastAsia="en-GB"/>
          <w14:ligatures w14:val="none"/>
        </w:rPr>
        <w:t>.</w:t>
      </w:r>
    </w:p>
    <w:p>
      <w:pPr>
        <w:pStyle w:val="Normal"/>
        <w:spacing w:lineRule="auto" w:line="240" w:before="120" w:after="240"/>
        <w:jc w:val="both"/>
        <w:rPr/>
      </w:pPr>
      <w:r>
        <w:rPr>
          <w:rFonts w:cs="Calibri" w:ascii="Calibri" w:hAnsi="Calibri"/>
          <w:sz w:val="20"/>
          <w:szCs w:val="20"/>
        </w:rPr>
        <w:t xml:space="preserve">Today, we strive to know more about the </w:t>
      </w:r>
      <w:r>
        <w:rPr>
          <w:rFonts w:cs="Calibri" w:ascii="Calibri" w:hAnsi="Calibri"/>
          <w:b/>
          <w:bCs/>
          <w:sz w:val="20"/>
          <w:szCs w:val="20"/>
        </w:rPr>
        <w:t xml:space="preserve">effectiveness of these tools </w:t>
      </w:r>
      <w:r>
        <w:rPr>
          <w:rFonts w:cs="Calibri" w:ascii="Calibri" w:hAnsi="Calibri"/>
          <w:sz w:val="20"/>
          <w:szCs w:val="20"/>
        </w:rPr>
        <w:t xml:space="preserve">in securing lasting political support among workers most at risk of job loss and communities facing long-term economic restructuring. Chief among them is the question of </w:t>
      </w:r>
      <w:r>
        <w:rPr>
          <w:rFonts w:cs="Calibri" w:ascii="Calibri" w:hAnsi="Calibri"/>
          <w:b/>
          <w:bCs/>
          <w:sz w:val="20"/>
          <w:szCs w:val="20"/>
        </w:rPr>
        <w:t>how these policies can better reflect and respond to the lived realities of those most exposed</w:t>
      </w:r>
      <w:r>
        <w:rPr>
          <w:rFonts w:cs="Calibri" w:ascii="Calibri" w:hAnsi="Calibri"/>
          <w:sz w:val="20"/>
          <w:szCs w:val="20"/>
        </w:rPr>
        <w:t xml:space="preserve"> to the social consequences of the green transition.</w:t>
      </w:r>
    </w:p>
    <w:p>
      <w:pPr>
        <w:pStyle w:val="Normal"/>
        <w:spacing w:lineRule="auto" w:line="240" w:before="120" w:after="120"/>
        <w:jc w:val="both"/>
        <w:rPr/>
      </w:pPr>
      <w:r>
        <w:rPr>
          <w:rFonts w:cs="Calibri" w:ascii="Calibri" w:hAnsi="Calibri"/>
          <w:b/>
          <w:bCs/>
          <w:i/>
          <w:iCs/>
          <w:color w:val="890517"/>
          <w:kern w:val="0"/>
          <w:sz w:val="20"/>
          <w:szCs w:val="20"/>
          <w:lang w:val="en-GB"/>
        </w:rPr>
        <w:t>Research objectives and contributions</w:t>
      </w:r>
    </w:p>
    <w:p>
      <w:pPr>
        <w:pStyle w:val="Normal"/>
        <w:spacing w:lineRule="auto" w:line="240" w:before="120" w:after="120"/>
        <w:jc w:val="both"/>
        <w:rPr/>
      </w:pPr>
      <w:r>
        <w:rPr>
          <w:rFonts w:cs="Calibri" w:ascii="Calibri" w:hAnsi="Calibri"/>
          <w:sz w:val="20"/>
          <w:szCs w:val="20"/>
        </w:rPr>
        <w:t xml:space="preserve">This project focuses on workers in industries that are most likely to be affected by climate policies—such as those in the energy, manufacturing, and transport sectors. These workers often face difficult trade-offs between job security and climate goals. </w:t>
      </w:r>
    </w:p>
    <w:p>
      <w:pPr>
        <w:pStyle w:val="Normal"/>
        <w:spacing w:lineRule="auto" w:line="240" w:before="120" w:after="120"/>
        <w:jc w:val="both"/>
        <w:rPr/>
      </w:pPr>
      <w:r>
        <w:rPr>
          <w:rFonts w:cs="Calibri" w:ascii="Calibri" w:hAnsi="Calibri"/>
          <w:sz w:val="20"/>
          <w:szCs w:val="20"/>
        </w:rPr>
        <w:t xml:space="preserve">In this study, we ask: </w:t>
      </w:r>
      <w:r>
        <w:rPr>
          <w:rStyle w:val="Strong"/>
          <w:rFonts w:cs="Calibri" w:ascii="Calibri" w:hAnsi="Calibri"/>
          <w:sz w:val="20"/>
          <w:szCs w:val="20"/>
        </w:rPr>
        <w:t>When are workers willing to support climate measures that may put their current jobs at risk?</w:t>
      </w:r>
      <w:r>
        <w:rPr>
          <w:rFonts w:cs="Calibri" w:ascii="Calibri" w:hAnsi="Calibri"/>
          <w:sz w:val="20"/>
          <w:szCs w:val="20"/>
        </w:rPr>
        <w:t xml:space="preserve"> </w:t>
      </w:r>
      <w:r>
        <w:rPr>
          <w:rFonts w:cs="Calibri" w:ascii="Calibri" w:hAnsi="Calibri"/>
          <w:b/>
          <w:bCs/>
          <w:sz w:val="20"/>
          <w:szCs w:val="20"/>
        </w:rPr>
        <w:t>How</w:t>
      </w:r>
      <w:r>
        <w:rPr>
          <w:rStyle w:val="Strong"/>
          <w:rFonts w:cs="Calibri" w:ascii="Calibri" w:hAnsi="Calibri"/>
          <w:sz w:val="20"/>
          <w:szCs w:val="20"/>
        </w:rPr>
        <w:t xml:space="preserve"> does the position taken by trade unions shape those views?</w:t>
      </w:r>
    </w:p>
    <w:p>
      <w:pPr>
        <w:pStyle w:val="NormalWeb"/>
        <w:spacing w:lineRule="auto" w:line="240" w:beforeAutospacing="0" w:before="120" w:afterAutospacing="0" w:after="120"/>
        <w:jc w:val="both"/>
        <w:rPr/>
      </w:pPr>
      <w:r>
        <w:rPr>
          <w:rFonts w:cs="Calibri" w:ascii="Calibri" w:hAnsi="Calibri"/>
          <w:sz w:val="20"/>
          <w:szCs w:val="20"/>
        </w:rPr>
        <w:t xml:space="preserve">The first aim of this study is to understand how different kinds of </w:t>
      </w:r>
      <w:r>
        <w:rPr>
          <w:rStyle w:val="Strong"/>
          <w:rFonts w:eastAsia="" w:cs="Calibri" w:ascii="Calibri" w:hAnsi="Calibri" w:eastAsiaTheme="majorEastAsia"/>
          <w:b w:val="false"/>
          <w:bCs w:val="false"/>
          <w:sz w:val="20"/>
          <w:szCs w:val="20"/>
        </w:rPr>
        <w:t>Just Transition policies</w:t>
      </w:r>
      <w:r>
        <w:rPr>
          <w:rFonts w:cs="Calibri" w:ascii="Calibri" w:hAnsi="Calibri"/>
          <w:sz w:val="20"/>
          <w:szCs w:val="20"/>
        </w:rPr>
        <w:t>influence worker support. To do this, we focus on c</w:t>
      </w:r>
      <w:r>
        <w:rPr>
          <w:rStyle w:val="Strong"/>
          <w:rFonts w:eastAsia="" w:cs="Calibri" w:ascii="Calibri" w:hAnsi="Calibri" w:eastAsiaTheme="majorEastAsia"/>
          <w:b w:val="false"/>
          <w:bCs w:val="false"/>
          <w:sz w:val="20"/>
          <w:szCs w:val="20"/>
        </w:rPr>
        <w:t>ompensation</w:t>
      </w:r>
      <w:r>
        <w:rPr>
          <w:rFonts w:cs="Calibri" w:ascii="Calibri" w:hAnsi="Calibri"/>
          <w:sz w:val="20"/>
          <w:szCs w:val="20"/>
        </w:rPr>
        <w:t xml:space="preserve"> (</w:t>
      </w:r>
      <w:r>
        <w:rPr>
          <w:rFonts w:cs="Calibri" w:ascii="Calibri" w:hAnsi="Calibri"/>
          <w:b/>
          <w:bCs/>
          <w:sz w:val="20"/>
          <w:szCs w:val="20"/>
        </w:rPr>
        <w:t xml:space="preserve">targeted support to affected workers) </w:t>
      </w:r>
      <w:r>
        <w:rPr>
          <w:rFonts w:cs="Calibri" w:ascii="Calibri" w:hAnsi="Calibri"/>
          <w:b w:val="false"/>
          <w:bCs w:val="false"/>
          <w:sz w:val="20"/>
          <w:szCs w:val="20"/>
        </w:rPr>
        <w:t xml:space="preserve">and </w:t>
      </w:r>
      <w:r>
        <w:rPr>
          <w:rStyle w:val="Strong"/>
          <w:rFonts w:eastAsia="" w:cs="Calibri" w:ascii="Calibri" w:hAnsi="Calibri" w:eastAsiaTheme="majorEastAsia"/>
          <w:b w:val="false"/>
          <w:bCs w:val="false"/>
          <w:sz w:val="20"/>
          <w:szCs w:val="20"/>
        </w:rPr>
        <w:t>Community approaches</w:t>
      </w:r>
      <w:r>
        <w:rPr>
          <w:rFonts w:cs="Calibri" w:ascii="Calibri" w:hAnsi="Calibri"/>
          <w:sz w:val="20"/>
          <w:szCs w:val="20"/>
        </w:rPr>
        <w:t xml:space="preserve"> (</w:t>
      </w:r>
      <w:r>
        <w:rPr>
          <w:rFonts w:cs="Calibri" w:ascii="Calibri" w:hAnsi="Calibri"/>
          <w:b/>
          <w:bCs/>
          <w:sz w:val="20"/>
          <w:szCs w:val="20"/>
        </w:rPr>
        <w:t>long-term rejuvenation</w:t>
      </w:r>
      <w:r>
        <w:rPr>
          <w:rFonts w:cs="Calibri" w:ascii="Calibri" w:hAnsi="Calibri"/>
          <w:sz w:val="20"/>
          <w:szCs w:val="20"/>
        </w:rPr>
        <w:t xml:space="preserve"> of affected regions).</w:t>
      </w:r>
    </w:p>
    <w:p>
      <w:pPr>
        <w:pStyle w:val="NormalWeb"/>
        <w:spacing w:lineRule="auto" w:line="240" w:beforeAutospacing="0" w:before="120" w:afterAutospacing="0" w:after="240"/>
        <w:jc w:val="both"/>
        <w:rPr/>
      </w:pPr>
      <w:r>
        <w:rPr>
          <w:rFonts w:cs="Calibri" w:ascii="Calibri" w:hAnsi="Calibri"/>
          <w:sz w:val="20"/>
          <w:szCs w:val="20"/>
        </w:rPr>
        <w:t xml:space="preserve">Our second aim is to explore the role of </w:t>
      </w:r>
      <w:r>
        <w:rPr>
          <w:rStyle w:val="Strong"/>
          <w:rFonts w:eastAsia="" w:cs="Calibri" w:ascii="Calibri" w:hAnsi="Calibri" w:eastAsiaTheme="majorEastAsia"/>
          <w:b w:val="false"/>
          <w:bCs w:val="false"/>
          <w:sz w:val="20"/>
          <w:szCs w:val="20"/>
        </w:rPr>
        <w:t>unions and other worker organisations</w:t>
      </w:r>
      <w:r>
        <w:rPr>
          <w:rFonts w:cs="Calibri" w:ascii="Calibri" w:hAnsi="Calibri"/>
          <w:sz w:val="20"/>
          <w:szCs w:val="20"/>
        </w:rPr>
        <w:t xml:space="preserve"> in shaping how these policies are received. We look at </w:t>
      </w:r>
      <w:r>
        <w:rPr>
          <w:rFonts w:cs="Calibri" w:ascii="Calibri" w:hAnsi="Calibri"/>
          <w:b/>
          <w:bCs/>
          <w:sz w:val="20"/>
          <w:szCs w:val="20"/>
        </w:rPr>
        <w:t xml:space="preserve">how the </w:t>
      </w:r>
      <w:r>
        <w:rPr>
          <w:rStyle w:val="Strong"/>
          <w:rFonts w:eastAsia="" w:cs="Calibri" w:ascii="Calibri" w:hAnsi="Calibri" w:eastAsiaTheme="majorEastAsia"/>
          <w:sz w:val="20"/>
          <w:szCs w:val="20"/>
        </w:rPr>
        <w:t>credibility and visibility of union support</w:t>
      </w:r>
      <w:r>
        <w:rPr>
          <w:rFonts w:cs="Calibri" w:ascii="Calibri" w:hAnsi="Calibri"/>
          <w:b/>
          <w:bCs/>
          <w:sz w:val="20"/>
          <w:szCs w:val="20"/>
        </w:rPr>
        <w:t xml:space="preserve"> can build trust in climate-related reforms</w:t>
      </w:r>
      <w:r>
        <w:rPr>
          <w:rFonts w:cs="Calibri" w:ascii="Calibri" w:hAnsi="Calibri"/>
          <w:sz w:val="20"/>
          <w:szCs w:val="20"/>
        </w:rPr>
        <w:t>. Ultimately, we aim to identify what makes just transition policies both fair and politically viable from a worker’s perspective.</w:t>
      </w:r>
    </w:p>
    <w:p>
      <w:pPr>
        <w:pStyle w:val="NormalWeb"/>
        <w:spacing w:lineRule="auto" w:line="240" w:beforeAutospacing="0" w:before="120" w:afterAutospacing="0" w:after="240"/>
        <w:jc w:val="both"/>
        <w:rPr/>
      </w:pPr>
      <w:r>
        <w:rPr>
          <w:rFonts w:cs="Calibri" w:ascii="Calibri" w:hAnsi="Calibri"/>
          <w:sz w:val="20"/>
          <w:szCs w:val="20"/>
        </w:rPr>
        <w:t xml:space="preserve">Our project seeks to support the design of </w:t>
      </w:r>
      <w:r>
        <w:rPr>
          <w:rStyle w:val="Strong"/>
          <w:rFonts w:eastAsia="" w:cs="Calibri" w:ascii="Calibri" w:hAnsi="Calibri" w:eastAsiaTheme="majorEastAsia"/>
          <w:b w:val="false"/>
          <w:bCs w:val="false"/>
          <w:sz w:val="20"/>
          <w:szCs w:val="20"/>
        </w:rPr>
        <w:t>more equitable, and politically viable Just Transition strategies</w:t>
      </w:r>
      <w:r>
        <w:rPr>
          <w:rFonts w:cs="Calibri" w:ascii="Calibri" w:hAnsi="Calibri"/>
          <w:sz w:val="20"/>
          <w:szCs w:val="20"/>
        </w:rPr>
        <w:t xml:space="preserve">, while offering </w:t>
      </w:r>
      <w:r>
        <w:rPr>
          <w:rStyle w:val="Strong"/>
          <w:rFonts w:eastAsia="" w:cs="Calibri" w:ascii="Calibri" w:hAnsi="Calibri" w:eastAsiaTheme="majorEastAsia"/>
          <w:b w:val="false"/>
          <w:bCs w:val="false"/>
          <w:sz w:val="20"/>
          <w:szCs w:val="20"/>
        </w:rPr>
        <w:t>practical tools</w:t>
      </w:r>
      <w:r>
        <w:rPr>
          <w:rFonts w:cs="Calibri" w:ascii="Calibri" w:hAnsi="Calibri"/>
          <w:sz w:val="20"/>
          <w:szCs w:val="20"/>
        </w:rPr>
        <w:t xml:space="preserve"> for unions and employers to </w:t>
      </w:r>
      <w:r>
        <w:rPr>
          <w:rFonts w:cs="Calibri" w:ascii="Calibri" w:hAnsi="Calibri"/>
          <w:b/>
          <w:bCs/>
          <w:sz w:val="20"/>
          <w:szCs w:val="20"/>
        </w:rPr>
        <w:t>anticipate challenges and strengthen worker engagement in different national and local contexts.</w:t>
      </w:r>
    </w:p>
    <w:p>
      <w:pPr>
        <w:pStyle w:val="Normal"/>
        <w:spacing w:lineRule="auto" w:line="240" w:before="120" w:after="120"/>
        <w:jc w:val="both"/>
        <w:rPr/>
      </w:pPr>
      <w:r>
        <w:rPr>
          <w:rFonts w:cs="Calibri" w:ascii="Calibri" w:hAnsi="Calibri"/>
          <w:b/>
          <w:bCs/>
          <w:i/>
          <w:iCs/>
          <w:color w:val="890517"/>
          <w:kern w:val="0"/>
          <w:sz w:val="20"/>
          <w:szCs w:val="20"/>
          <w:lang w:val="en-GB"/>
        </w:rPr>
        <w:t>Methods and data</w:t>
      </w:r>
    </w:p>
    <w:p>
      <w:pPr>
        <w:pStyle w:val="Normal"/>
        <w:spacing w:lineRule="auto" w:line="240" w:before="120" w:after="120"/>
        <w:jc w:val="both"/>
        <w:rPr/>
      </w:pPr>
      <w:r>
        <w:rPr>
          <w:rFonts w:cs="Calibri" w:ascii="Calibri" w:hAnsi="Calibri"/>
          <w:b w:val="false"/>
          <w:bCs w:val="false"/>
          <w:sz w:val="20"/>
          <w:szCs w:val="20"/>
        </w:rPr>
        <w:t xml:space="preserve">To ensure that our results reflect the actual concerns of those most affected, we are recruiting a </w:t>
      </w:r>
      <w:r>
        <w:rPr>
          <w:rStyle w:val="Strong"/>
          <w:rFonts w:eastAsia="" w:cs="Calibri" w:ascii="Calibri" w:hAnsi="Calibri" w:eastAsiaTheme="majorEastAsia"/>
          <w:sz w:val="20"/>
          <w:szCs w:val="20"/>
        </w:rPr>
        <w:t>representative sample of 1,500 workers</w:t>
      </w:r>
      <w:r>
        <w:rPr>
          <w:rFonts w:cs="Calibri" w:ascii="Calibri" w:hAnsi="Calibri"/>
          <w:b w:val="false"/>
          <w:bCs w:val="false"/>
          <w:sz w:val="20"/>
          <w:szCs w:val="20"/>
        </w:rPr>
        <w:t xml:space="preserve"> respectively in France, Germany, and Pologne </w:t>
      </w:r>
      <w:r>
        <w:rPr>
          <w:rFonts w:cs="Calibri" w:ascii="Calibri" w:hAnsi="Calibri"/>
          <w:b/>
          <w:bCs/>
          <w:sz w:val="20"/>
          <w:szCs w:val="20"/>
        </w:rPr>
        <w:t>in the energy,  manufacturing and transport sectors</w:t>
      </w:r>
      <w:r>
        <w:rPr>
          <w:rFonts w:cs="Calibri" w:ascii="Calibri" w:hAnsi="Calibri"/>
          <w:b w:val="false"/>
          <w:bCs w:val="false"/>
          <w:sz w:val="20"/>
          <w:szCs w:val="20"/>
        </w:rPr>
        <w:t xml:space="preserve">. The survey will be distributed in collaboration with </w:t>
      </w:r>
      <w:r>
        <w:rPr>
          <w:rStyle w:val="Strong"/>
          <w:rFonts w:eastAsia="" w:cs="Calibri" w:ascii="Calibri" w:hAnsi="Calibri" w:eastAsiaTheme="majorEastAsia"/>
          <w:b w:val="false"/>
          <w:bCs w:val="false"/>
          <w:sz w:val="20"/>
          <w:szCs w:val="20"/>
        </w:rPr>
        <w:t>trade union associations and human resources departments of targeted firms</w:t>
      </w:r>
      <w:r>
        <w:rPr>
          <w:rFonts w:cs="Calibri" w:ascii="Calibri" w:hAnsi="Calibri"/>
          <w:b w:val="false"/>
          <w:bCs w:val="false"/>
          <w:sz w:val="20"/>
          <w:szCs w:val="20"/>
        </w:rPr>
        <w:t>.</w:t>
      </w:r>
    </w:p>
    <w:p>
      <w:pPr>
        <w:pStyle w:val="Normal"/>
        <w:spacing w:lineRule="auto" w:line="240" w:before="120" w:after="120"/>
        <w:jc w:val="both"/>
        <w:rPr/>
      </w:pPr>
      <w:r>
        <w:rPr>
          <w:rFonts w:cs="Calibri" w:ascii="Calibri" w:hAnsi="Calibri"/>
          <w:b w:val="false"/>
          <w:bCs w:val="false"/>
          <w:sz w:val="20"/>
          <w:szCs w:val="20"/>
        </w:rPr>
        <w:t xml:space="preserve">We conduct a </w:t>
      </w:r>
      <w:r>
        <w:rPr>
          <w:rFonts w:cs="Calibri" w:ascii="Calibri" w:hAnsi="Calibri"/>
          <w:b/>
          <w:bCs/>
          <w:sz w:val="20"/>
          <w:szCs w:val="20"/>
        </w:rPr>
        <w:t>large-scale survey experiment</w:t>
      </w:r>
      <w:r>
        <w:rPr>
          <w:rFonts w:cs="Calibri" w:ascii="Calibri" w:hAnsi="Calibri"/>
          <w:b w:val="false"/>
          <w:bCs w:val="false"/>
          <w:sz w:val="20"/>
          <w:szCs w:val="20"/>
        </w:rPr>
        <w:t xml:space="preserve"> </w:t>
      </w:r>
      <w:r>
        <w:rPr>
          <w:rFonts w:cs="Calibri" w:ascii="Calibri" w:hAnsi="Calibri"/>
          <w:sz w:val="20"/>
          <w:szCs w:val="20"/>
        </w:rPr>
        <w:t xml:space="preserve">which includes </w:t>
      </w:r>
      <w:r>
        <w:rPr>
          <w:rStyle w:val="Strong"/>
          <w:rFonts w:cs="Calibri" w:ascii="Calibri" w:hAnsi="Calibri"/>
          <w:b w:val="false"/>
          <w:bCs w:val="false"/>
          <w:sz w:val="20"/>
          <w:szCs w:val="20"/>
        </w:rPr>
        <w:t>realistic climate transition scenarios</w:t>
      </w:r>
      <w:r>
        <w:rPr>
          <w:rFonts w:cs="Calibri" w:ascii="Calibri" w:hAnsi="Calibri"/>
          <w:b w:val="false"/>
          <w:bCs w:val="false"/>
          <w:sz w:val="20"/>
          <w:szCs w:val="20"/>
        </w:rPr>
        <w:t>.</w:t>
      </w:r>
      <w:r>
        <w:rPr>
          <w:rFonts w:cs="Calibri" w:ascii="Calibri" w:hAnsi="Calibri"/>
          <w:sz w:val="20"/>
          <w:szCs w:val="20"/>
        </w:rPr>
        <w:t xml:space="preserve"> Participants are asked to choose between </w:t>
      </w:r>
      <w:r>
        <w:rPr>
          <w:rStyle w:val="Strong"/>
          <w:rFonts w:cs="Calibri" w:ascii="Calibri" w:hAnsi="Calibri"/>
          <w:b w:val="false"/>
          <w:bCs w:val="false"/>
          <w:sz w:val="20"/>
          <w:szCs w:val="20"/>
        </w:rPr>
        <w:t>different Just Transition policy packages</w:t>
      </w:r>
      <w:r>
        <w:rPr>
          <w:rFonts w:cs="Calibri" w:ascii="Calibri" w:hAnsi="Calibri"/>
          <w:sz w:val="20"/>
          <w:szCs w:val="20"/>
        </w:rPr>
        <w:t xml:space="preserve">, each combining key elements such as: </w:t>
      </w:r>
      <w:r>
        <w:rPr>
          <w:rStyle w:val="Strong"/>
          <w:rFonts w:cs="Calibri" w:ascii="Calibri" w:hAnsi="Calibri"/>
          <w:b w:val="false"/>
          <w:bCs w:val="false"/>
          <w:sz w:val="20"/>
          <w:szCs w:val="20"/>
        </w:rPr>
        <w:t>Financial compensation,</w:t>
      </w:r>
      <w:r>
        <w:rPr>
          <w:rFonts w:cs="Calibri" w:ascii="Calibri" w:hAnsi="Calibri"/>
          <w:b w:val="false"/>
          <w:bCs w:val="false"/>
          <w:sz w:val="20"/>
          <w:szCs w:val="20"/>
        </w:rPr>
        <w:t xml:space="preserve">  </w:t>
      </w:r>
      <w:r>
        <w:rPr>
          <w:rStyle w:val="Strong"/>
          <w:rFonts w:cs="Calibri" w:ascii="Calibri" w:hAnsi="Calibri"/>
          <w:b w:val="false"/>
          <w:bCs w:val="false"/>
          <w:sz w:val="20"/>
          <w:szCs w:val="20"/>
        </w:rPr>
        <w:t>Job guarantees,</w:t>
      </w:r>
      <w:r>
        <w:rPr>
          <w:rFonts w:cs="Calibri" w:ascii="Calibri" w:hAnsi="Calibri"/>
          <w:b w:val="false"/>
          <w:bCs w:val="false"/>
          <w:sz w:val="20"/>
          <w:szCs w:val="20"/>
        </w:rPr>
        <w:t xml:space="preserve"> </w:t>
      </w:r>
      <w:r>
        <w:rPr>
          <w:rStyle w:val="Strong"/>
          <w:rFonts w:cs="Calibri" w:ascii="Calibri" w:hAnsi="Calibri"/>
          <w:b w:val="false"/>
          <w:bCs w:val="false"/>
          <w:sz w:val="20"/>
          <w:szCs w:val="20"/>
        </w:rPr>
        <w:t>Retraining opportunities</w:t>
      </w:r>
      <w:r>
        <w:rPr>
          <w:rFonts w:cs="Calibri" w:ascii="Calibri" w:hAnsi="Calibri"/>
          <w:b w:val="false"/>
          <w:bCs w:val="false"/>
          <w:sz w:val="20"/>
          <w:szCs w:val="20"/>
        </w:rPr>
        <w:t xml:space="preserve">, </w:t>
      </w:r>
      <w:r>
        <w:rPr>
          <w:rStyle w:val="Strong"/>
          <w:rFonts w:cs="Calibri" w:ascii="Calibri" w:hAnsi="Calibri"/>
          <w:b w:val="false"/>
          <w:bCs w:val="false"/>
          <w:sz w:val="20"/>
          <w:szCs w:val="20"/>
        </w:rPr>
        <w:t xml:space="preserve">community investments. </w:t>
      </w:r>
      <w:r>
        <w:rPr>
          <w:rFonts w:eastAsia="Times New Roman" w:cs="Calibri" w:ascii="Calibri" w:hAnsi="Calibri"/>
          <w:kern w:val="0"/>
          <w:sz w:val="20"/>
          <w:szCs w:val="20"/>
          <w:lang w:eastAsia="en-GB"/>
          <w14:ligatures w14:val="none"/>
        </w:rPr>
        <w:t xml:space="preserve">These features are based on a comprehensive review of Just Transition agreements and </w:t>
      </w:r>
      <w:r>
        <w:rPr>
          <w:rFonts w:eastAsia="Times New Roman" w:cs="Calibri" w:ascii="Calibri" w:hAnsi="Calibri"/>
          <w:b/>
          <w:bCs/>
          <w:kern w:val="0"/>
          <w:sz w:val="20"/>
          <w:szCs w:val="20"/>
          <w:lang w:eastAsia="en-GB"/>
          <w14:ligatures w14:val="none"/>
        </w:rPr>
        <w:t>real-world policy dilemmas</w:t>
      </w:r>
      <w:r>
        <w:rPr>
          <w:rFonts w:eastAsia="Times New Roman" w:cs="Calibri" w:ascii="Calibri" w:hAnsi="Calibri"/>
          <w:kern w:val="0"/>
          <w:sz w:val="20"/>
          <w:szCs w:val="20"/>
          <w:lang w:eastAsia="en-GB"/>
          <w14:ligatures w14:val="none"/>
        </w:rPr>
        <w:t xml:space="preserve"> across the EU.</w:t>
      </w:r>
    </w:p>
    <w:p>
      <w:pPr>
        <w:pStyle w:val="NormalWeb"/>
        <w:spacing w:lineRule="auto" w:line="240" w:beforeAutospacing="0" w:before="120" w:afterAutospacing="0" w:after="240"/>
        <w:jc w:val="both"/>
        <w:rPr/>
      </w:pPr>
      <w:r>
        <w:rPr>
          <w:rStyle w:val="Strong"/>
          <w:rFonts w:eastAsia="" w:cs="Calibri" w:ascii="Calibri" w:hAnsi="Calibri" w:eastAsiaTheme="majorEastAsia"/>
          <w:b w:val="false"/>
          <w:bCs w:val="false"/>
          <w:sz w:val="20"/>
          <w:szCs w:val="20"/>
        </w:rPr>
        <w:t xml:space="preserve">This study further assesses whether the active involvement of intermediaries like trade unions can help </w:t>
      </w:r>
      <w:r>
        <w:rPr>
          <w:rStyle w:val="Strong"/>
          <w:rFonts w:eastAsia="" w:cs="Calibri" w:ascii="Calibri" w:hAnsi="Calibri" w:eastAsiaTheme="majorEastAsia"/>
          <w:sz w:val="20"/>
          <w:szCs w:val="20"/>
        </w:rPr>
        <w:t>reframe decarbonisation</w:t>
      </w:r>
      <w:r>
        <w:rPr>
          <w:rStyle w:val="Strong"/>
          <w:rFonts w:eastAsia="" w:cs="Calibri" w:ascii="Calibri" w:hAnsi="Calibri" w:eastAsiaTheme="majorEastAsia"/>
          <w:b w:val="false"/>
          <w:bCs w:val="false"/>
          <w:sz w:val="20"/>
          <w:szCs w:val="20"/>
        </w:rPr>
        <w:t xml:space="preserve"> </w:t>
      </w:r>
      <w:r>
        <w:rPr>
          <w:rStyle w:val="Strong"/>
          <w:rFonts w:eastAsia="" w:cs="Calibri" w:ascii="Calibri" w:hAnsi="Calibri" w:eastAsiaTheme="majorEastAsia"/>
          <w:sz w:val="20"/>
          <w:szCs w:val="20"/>
        </w:rPr>
        <w:t xml:space="preserve">not </w:t>
      </w:r>
      <w:r>
        <w:rPr>
          <w:rStyle w:val="Strong"/>
          <w:rFonts w:cs="Calibri" w:ascii="Calibri" w:hAnsi="Calibri"/>
          <w:sz w:val="20"/>
          <w:szCs w:val="20"/>
        </w:rPr>
        <w:t>as a threat</w:t>
      </w:r>
      <w:r>
        <w:rPr>
          <w:rFonts w:cs="Calibri" w:ascii="Calibri" w:hAnsi="Calibri"/>
          <w:sz w:val="20"/>
          <w:szCs w:val="20"/>
        </w:rPr>
        <w:t xml:space="preserve">, </w:t>
      </w:r>
      <w:r>
        <w:rPr>
          <w:rFonts w:cs="Calibri" w:ascii="Calibri" w:hAnsi="Calibri"/>
          <w:b/>
          <w:bCs/>
          <w:sz w:val="20"/>
          <w:szCs w:val="20"/>
        </w:rPr>
        <w:t>but as a</w:t>
      </w:r>
      <w:r>
        <w:rPr>
          <w:rFonts w:cs="Calibri" w:ascii="Calibri" w:hAnsi="Calibri"/>
          <w:sz w:val="20"/>
          <w:szCs w:val="20"/>
        </w:rPr>
        <w:t xml:space="preserve"> </w:t>
      </w:r>
      <w:r>
        <w:rPr>
          <w:rStyle w:val="Strong"/>
          <w:rFonts w:cs="Calibri" w:ascii="Calibri" w:hAnsi="Calibri"/>
          <w:sz w:val="20"/>
          <w:szCs w:val="20"/>
        </w:rPr>
        <w:t>catalyst for individual security, local revitalisation, and longer-term development</w:t>
      </w:r>
      <w:r>
        <w:rPr>
          <w:rFonts w:cs="Calibri" w:ascii="Calibri" w:hAnsi="Calibri"/>
          <w:sz w:val="20"/>
          <w:szCs w:val="20"/>
        </w:rPr>
        <w:t>. Our vignette experiment assesses whether union support increases trust in envisaged plans, encourages worker participation in shaping the transition, and ultimately contribute to their realignment behind climate action.</w:t>
      </w:r>
    </w:p>
    <w:p>
      <w:pPr>
        <w:pStyle w:val="Normal"/>
        <w:tabs>
          <w:tab w:val="clear" w:pos="720"/>
          <w:tab w:val="left" w:pos="1413" w:leader="none"/>
        </w:tabs>
        <w:spacing w:lineRule="auto" w:line="240" w:before="120" w:after="120"/>
        <w:jc w:val="both"/>
        <w:rPr/>
      </w:pPr>
      <w:r>
        <w:rPr>
          <w:rFonts w:cs="Calibri" w:ascii="Calibri" w:hAnsi="Calibri"/>
          <w:b/>
          <w:bCs/>
          <w:i/>
          <w:iCs/>
          <w:color w:val="890517"/>
          <w:kern w:val="0"/>
          <w:sz w:val="20"/>
          <w:szCs w:val="20"/>
          <w:lang w:val="en-GB"/>
        </w:rPr>
        <w:t>Your role</w:t>
      </w:r>
    </w:p>
    <w:p>
      <w:pPr>
        <w:pStyle w:val="Default"/>
        <w:spacing w:lineRule="auto" w:line="240" w:before="120" w:after="120"/>
        <w:jc w:val="both"/>
        <w:rPr/>
      </w:pPr>
      <w:r>
        <w:rPr>
          <w:rFonts w:cs="Calibri" w:ascii="Calibri" w:hAnsi="Calibri"/>
          <w:sz w:val="20"/>
          <w:szCs w:val="20"/>
        </w:rPr>
        <w:t xml:space="preserve">By helping circulate the questionnaire among your members or employees, partners will help </w:t>
      </w:r>
      <w:r>
        <w:rPr>
          <w:rFonts w:cs="Calibri" w:ascii="Calibri" w:hAnsi="Calibri"/>
          <w:b/>
          <w:bCs/>
          <w:sz w:val="20"/>
          <w:szCs w:val="20"/>
        </w:rPr>
        <w:t xml:space="preserve">gather a more </w:t>
      </w:r>
      <w:r>
        <w:rPr>
          <w:rStyle w:val="Strong"/>
          <w:rFonts w:cs="Calibri" w:ascii="Calibri" w:hAnsi="Calibri"/>
          <w:sz w:val="20"/>
          <w:szCs w:val="20"/>
        </w:rPr>
        <w:t>representative and credible evidence base</w:t>
      </w:r>
      <w:r>
        <w:rPr>
          <w:rFonts w:cs="Calibri" w:ascii="Calibri" w:hAnsi="Calibri"/>
          <w:sz w:val="20"/>
          <w:szCs w:val="20"/>
        </w:rPr>
        <w:t>, capturing the voices of those most directly affected by climate policies.</w:t>
      </w:r>
    </w:p>
    <w:p>
      <w:pPr>
        <w:pStyle w:val="Default"/>
        <w:spacing w:lineRule="auto" w:line="240" w:before="120" w:after="120"/>
        <w:jc w:val="both"/>
        <w:rPr/>
      </w:pPr>
      <w:r>
        <w:rPr>
          <w:rFonts w:cs="Calibri" w:ascii="Calibri" w:hAnsi="Calibri"/>
          <w:sz w:val="20"/>
          <w:szCs w:val="20"/>
        </w:rPr>
        <w:t xml:space="preserve">Unions and worker organisations are often the first to understand emerging concerns on the ground. More than just a distribution channel, </w:t>
      </w:r>
      <w:r>
        <w:rPr>
          <w:rFonts w:cs="Calibri" w:ascii="Calibri" w:hAnsi="Calibri"/>
          <w:b/>
          <w:bCs/>
          <w:sz w:val="20"/>
          <w:szCs w:val="20"/>
        </w:rPr>
        <w:t xml:space="preserve">your involvement will further bring </w:t>
      </w:r>
      <w:r>
        <w:rPr>
          <w:rStyle w:val="Strong"/>
          <w:rFonts w:cs="Calibri" w:ascii="Calibri" w:hAnsi="Calibri"/>
          <w:sz w:val="20"/>
          <w:szCs w:val="20"/>
        </w:rPr>
        <w:t>trust</w:t>
      </w:r>
      <w:r>
        <w:rPr>
          <w:rStyle w:val="Strong"/>
          <w:rFonts w:eastAsia="" w:cs="Calibri" w:ascii="Calibri" w:hAnsi="Calibri" w:eastAsiaTheme="majorEastAsia"/>
          <w:sz w:val="20"/>
          <w:szCs w:val="20"/>
        </w:rPr>
        <w:t xml:space="preserve"> and </w:t>
      </w:r>
      <w:r>
        <w:rPr>
          <w:rStyle w:val="Strong"/>
          <w:rFonts w:cs="Calibri" w:ascii="Calibri" w:hAnsi="Calibri"/>
          <w:sz w:val="20"/>
          <w:szCs w:val="20"/>
        </w:rPr>
        <w:t>legitimacy</w:t>
      </w:r>
      <w:r>
        <w:rPr>
          <w:rFonts w:cs="Calibri" w:ascii="Calibri" w:hAnsi="Calibri"/>
          <w:sz w:val="20"/>
          <w:szCs w:val="20"/>
        </w:rPr>
        <w:t xml:space="preserve"> </w:t>
      </w:r>
      <w:r>
        <w:rPr>
          <w:rFonts w:cs="Calibri" w:ascii="Calibri" w:hAnsi="Calibri"/>
          <w:b/>
          <w:bCs/>
          <w:sz w:val="20"/>
          <w:szCs w:val="20"/>
        </w:rPr>
        <w:t>to this research</w:t>
      </w:r>
      <w:r>
        <w:rPr>
          <w:rFonts w:cs="Calibri" w:ascii="Calibri" w:hAnsi="Calibri"/>
          <w:sz w:val="20"/>
          <w:szCs w:val="20"/>
        </w:rPr>
        <w:t>, while demonstrating proactive leadership in anticipating necessary climate action.</w:t>
      </w:r>
    </w:p>
    <w:p>
      <w:pPr>
        <w:pStyle w:val="NormalWeb"/>
        <w:spacing w:lineRule="auto" w:line="240" w:beforeAutospacing="0" w:before="120" w:afterAutospacing="0" w:after="240"/>
        <w:jc w:val="both"/>
        <w:rPr/>
      </w:pPr>
      <w:r>
        <w:rPr>
          <w:rFonts w:cs="Calibri" w:ascii="Calibri" w:hAnsi="Calibri"/>
          <w:sz w:val="20"/>
          <w:szCs w:val="20"/>
        </w:rPr>
        <w:t>Your contribution will finally help us deliver</w:t>
      </w:r>
      <w:r>
        <w:rPr>
          <w:rFonts w:cs="Calibri" w:ascii="Calibri" w:hAnsi="Calibri"/>
          <w:b/>
          <w:bCs/>
          <w:sz w:val="20"/>
          <w:szCs w:val="20"/>
        </w:rPr>
        <w:t xml:space="preserve"> insights that can inform </w:t>
      </w:r>
      <w:r>
        <w:rPr>
          <w:rStyle w:val="Strong"/>
          <w:rFonts w:eastAsia="" w:cs="Calibri" w:ascii="Calibri" w:hAnsi="Calibri" w:eastAsiaTheme="majorEastAsia"/>
          <w:sz w:val="20"/>
          <w:szCs w:val="20"/>
        </w:rPr>
        <w:t>collective bargaining</w:t>
      </w:r>
      <w:r>
        <w:rPr>
          <w:rFonts w:cs="Calibri" w:ascii="Calibri" w:hAnsi="Calibri"/>
          <w:sz w:val="20"/>
          <w:szCs w:val="20"/>
        </w:rPr>
        <w:t xml:space="preserve">, </w:t>
      </w:r>
      <w:r>
        <w:rPr>
          <w:rStyle w:val="Strong"/>
          <w:rFonts w:eastAsia="" w:cs="Calibri" w:ascii="Calibri" w:hAnsi="Calibri" w:eastAsiaTheme="majorEastAsia"/>
          <w:sz w:val="20"/>
          <w:szCs w:val="20"/>
        </w:rPr>
        <w:t>policy advocacy</w:t>
      </w:r>
      <w:r>
        <w:rPr>
          <w:rFonts w:cs="Calibri" w:ascii="Calibri" w:hAnsi="Calibri"/>
          <w:b/>
          <w:bCs/>
          <w:sz w:val="20"/>
          <w:szCs w:val="20"/>
        </w:rPr>
        <w:t>, and the design of transition plans rooted in what workers actually want and need.</w:t>
      </w:r>
    </w:p>
    <w:p>
      <w:pPr>
        <w:pStyle w:val="Normal"/>
        <w:spacing w:lineRule="auto" w:line="240" w:before="120" w:after="120"/>
        <w:jc w:val="both"/>
        <w:rPr/>
      </w:pPr>
      <w:r>
        <w:rPr>
          <w:rFonts w:cs="Calibri" w:ascii="Calibri" w:hAnsi="Calibri"/>
          <w:b/>
          <w:bCs/>
          <w:i/>
          <w:iCs/>
          <w:color w:val="890517"/>
          <w:kern w:val="0"/>
          <w:sz w:val="20"/>
          <w:szCs w:val="20"/>
          <w:lang w:val="en-GB"/>
        </w:rPr>
        <w:t>Output &amp; dissemination</w:t>
      </w:r>
    </w:p>
    <w:p>
      <w:pPr>
        <w:pStyle w:val="Normal"/>
        <w:spacing w:lineRule="auto" w:line="240" w:before="120" w:after="120"/>
        <w:jc w:val="both"/>
        <w:rPr/>
      </w:pPr>
      <w:r>
        <w:rPr>
          <w:rFonts w:eastAsia="Times New Roman" w:cs="Calibri" w:ascii="Calibri" w:hAnsi="Calibri"/>
          <w:kern w:val="0"/>
          <w:sz w:val="20"/>
          <w:szCs w:val="20"/>
          <w:lang w:eastAsia="en-GB"/>
          <w14:ligatures w14:val="none"/>
        </w:rPr>
        <w:t xml:space="preserve">To ensure the results are both useful and actionable for our patners, we propose several forms of tailored dissemination: </w:t>
      </w:r>
    </w:p>
    <w:p>
      <w:pPr>
        <w:pStyle w:val="ListParagraph"/>
        <w:numPr>
          <w:ilvl w:val="0"/>
          <w:numId w:val="1"/>
        </w:numPr>
        <w:spacing w:lineRule="auto" w:line="240" w:before="120" w:after="120"/>
        <w:contextualSpacing/>
        <w:jc w:val="both"/>
        <w:rPr/>
      </w:pPr>
      <w:r>
        <w:rPr>
          <w:rFonts w:eastAsia="Times New Roman" w:cs="Calibri" w:ascii="Calibri" w:hAnsi="Calibri"/>
          <w:kern w:val="0"/>
          <w:sz w:val="20"/>
          <w:szCs w:val="20"/>
          <w:lang w:eastAsia="en-GB"/>
          <w14:ligatures w14:val="none"/>
        </w:rPr>
        <w:t xml:space="preserve">Project partners will receive </w:t>
      </w:r>
      <w:r>
        <w:rPr>
          <w:rFonts w:eastAsia="Times New Roman" w:cs="Calibri" w:ascii="Calibri" w:hAnsi="Calibri"/>
          <w:b/>
          <w:bCs/>
          <w:kern w:val="0"/>
          <w:sz w:val="20"/>
          <w:szCs w:val="20"/>
          <w:lang w:eastAsia="en-GB"/>
          <w14:ligatures w14:val="none"/>
        </w:rPr>
        <w:t>early access to survey findings</w:t>
      </w:r>
      <w:r>
        <w:rPr>
          <w:rFonts w:eastAsia="Times New Roman" w:cs="Calibri" w:ascii="Calibri" w:hAnsi="Calibri"/>
          <w:kern w:val="0"/>
          <w:sz w:val="20"/>
          <w:szCs w:val="20"/>
          <w:lang w:eastAsia="en-GB"/>
          <w14:ligatures w14:val="none"/>
        </w:rPr>
        <w:t xml:space="preserve"> </w:t>
      </w:r>
      <w:r>
        <w:rPr>
          <w:rFonts w:eastAsia="Times New Roman" w:cs="Calibri" w:ascii="Calibri" w:hAnsi="Calibri"/>
          <w:b/>
          <w:bCs/>
          <w:kern w:val="0"/>
          <w:sz w:val="20"/>
          <w:szCs w:val="20"/>
          <w:lang w:eastAsia="en-GB"/>
          <w14:ligatures w14:val="none"/>
        </w:rPr>
        <w:t xml:space="preserve">and a summary </w:t>
      </w:r>
      <w:r>
        <w:rPr>
          <w:rFonts w:cs="Calibri" w:ascii="Calibri" w:hAnsi="Calibri"/>
          <w:b/>
          <w:bCs/>
          <w:sz w:val="20"/>
          <w:szCs w:val="20"/>
        </w:rPr>
        <w:t>highlighting relevant insights</w:t>
      </w:r>
      <w:r>
        <w:rPr>
          <w:rFonts w:cs="Calibri" w:ascii="Calibri" w:hAnsi="Calibri"/>
          <w:sz w:val="20"/>
          <w:szCs w:val="20"/>
        </w:rPr>
        <w:t xml:space="preserve"> to their organisations</w:t>
      </w:r>
      <w:r>
        <w:rPr>
          <w:rFonts w:eastAsia="Times New Roman" w:cs="Calibri" w:ascii="Calibri" w:hAnsi="Calibri"/>
          <w:kern w:val="0"/>
          <w:sz w:val="20"/>
          <w:szCs w:val="20"/>
          <w:lang w:eastAsia="en-GB"/>
          <w14:ligatures w14:val="none"/>
        </w:rPr>
        <w:t>. We will also organise a dissemination event to discuss the policy implications of the results.</w:t>
      </w:r>
    </w:p>
    <w:p>
      <w:pPr>
        <w:pStyle w:val="ListParagraph"/>
        <w:numPr>
          <w:ilvl w:val="0"/>
          <w:numId w:val="1"/>
        </w:numPr>
        <w:spacing w:lineRule="auto" w:line="240" w:before="120" w:after="240"/>
        <w:ind w:hanging="357" w:left="357"/>
        <w:contextualSpacing/>
        <w:jc w:val="both"/>
        <w:rPr/>
      </w:pPr>
      <w:r>
        <w:rPr>
          <w:rFonts w:eastAsia="Times New Roman" w:cs="Calibri" w:ascii="Calibri" w:hAnsi="Calibri"/>
          <w:kern w:val="0"/>
          <w:sz w:val="20"/>
          <w:szCs w:val="20"/>
          <w:lang w:eastAsia="en-GB"/>
          <w14:ligatures w14:val="none"/>
        </w:rPr>
        <w:t xml:space="preserve">Further dissemination tools may be considered such as </w:t>
      </w:r>
      <w:r>
        <w:rPr>
          <w:rFonts w:eastAsia="Times New Roman" w:cs="Calibri" w:ascii="Calibri" w:hAnsi="Calibri"/>
          <w:b/>
          <w:bCs/>
          <w:kern w:val="0"/>
          <w:sz w:val="20"/>
          <w:szCs w:val="20"/>
          <w:lang w:eastAsia="en-GB"/>
          <w14:ligatures w14:val="none"/>
        </w:rPr>
        <w:t>policy brief, helping translate the findings into proposals for reform at EU level.</w:t>
      </w:r>
    </w:p>
    <w:p>
      <w:pPr>
        <w:pStyle w:val="Normal"/>
        <w:spacing w:lineRule="auto" w:line="240" w:before="120" w:after="120"/>
        <w:jc w:val="both"/>
        <w:rPr/>
      </w:pPr>
      <w:commentRangeStart w:id="0"/>
      <w:r>
        <w:rPr>
          <w:rFonts w:cs="Calibri" w:ascii="Calibri" w:hAnsi="Calibri"/>
          <w:b/>
          <w:bCs/>
          <w:i/>
          <w:iCs/>
          <w:color w:val="890517"/>
          <w:kern w:val="0"/>
          <w:sz w:val="20"/>
          <w:szCs w:val="20"/>
          <w:lang w:val="en-GB"/>
        </w:rPr>
        <w:t>Project partners</w:t>
      </w:r>
      <w:commentRangeEnd w:id="0"/>
      <w:r>
        <w:commentReference w:id="0"/>
      </w:r>
      <w:r>
        <w:rPr>
          <w:rFonts w:cs="Calibri" w:ascii="Calibri" w:hAnsi="Calibri"/>
          <w:b/>
          <w:bCs/>
          <w:i/>
          <w:iCs/>
          <w:color w:val="890517"/>
          <w:kern w:val="0"/>
          <w:sz w:val="20"/>
          <w:szCs w:val="20"/>
          <w:lang w:val="en-GB"/>
        </w:rPr>
      </w:r>
    </w:p>
    <w:p>
      <w:pPr>
        <w:pStyle w:val="Normal"/>
        <w:spacing w:lineRule="auto" w:line="240" w:before="120" w:after="120"/>
        <w:jc w:val="both"/>
        <w:rPr/>
      </w:pPr>
      <w:r>
        <w:rPr>
          <w:rFonts w:cs="Calibri" w:ascii="Calibri" w:hAnsi="Calibri"/>
          <w:b/>
          <w:bCs/>
          <w:sz w:val="20"/>
          <w:szCs w:val="20"/>
        </w:rPr>
        <w:t>This project is currently supported by the École Polytechnique Fédérale de Lausanne (EPFL) and the Freie Universität Berlin</w:t>
      </w:r>
      <w:r>
        <w:rPr>
          <w:rFonts w:cs="Calibri" w:ascii="Calibri" w:hAnsi="Calibri"/>
          <w:sz w:val="20"/>
          <w:szCs w:val="20"/>
        </w:rPr>
        <w:t xml:space="preserve">. Partnership with our alma matter institution, the European University Institute (EUI), has been secured. The survey design has been submitted to the EPFL’s Institutional Review Board (IRB) to ensure full ethical compliance.                                                    </w:t>
      </w:r>
    </w:p>
    <w:p>
      <w:pPr>
        <w:pStyle w:val="Normal"/>
        <w:spacing w:lineRule="auto" w:line="240" w:before="120" w:after="120"/>
        <w:jc w:val="both"/>
        <w:rPr/>
      </w:pPr>
      <w:r>
        <w:rPr>
          <w:rFonts w:cs="Calibri" w:ascii="Calibri" w:hAnsi="Calibri"/>
          <w:sz w:val="20"/>
          <w:szCs w:val="20"/>
        </w:rPr>
        <w:t xml:space="preserve">To ensure the research is policy-relevant and widely disseminated, we are engaging with a range of </w:t>
      </w:r>
      <w:r>
        <w:rPr>
          <w:rFonts w:cs="Calibri" w:ascii="Calibri" w:hAnsi="Calibri"/>
          <w:b/>
          <w:bCs/>
          <w:sz w:val="20"/>
          <w:szCs w:val="20"/>
        </w:rPr>
        <w:t>institutional partners and expert organisations.</w:t>
      </w:r>
      <w:r>
        <w:rPr>
          <w:rFonts w:cs="Calibri" w:ascii="Calibri" w:hAnsi="Calibri"/>
          <w:sz w:val="20"/>
          <w:szCs w:val="20"/>
        </w:rPr>
        <w:t xml:space="preserve"> These include units within the European Commission, the Committee of the Regions.</w:t>
      </w:r>
    </w:p>
    <w:p>
      <w:pPr>
        <w:pStyle w:val="Normal"/>
        <w:spacing w:lineRule="auto" w:line="240" w:before="120" w:after="120"/>
        <w:jc w:val="both"/>
        <w:rPr/>
      </w:pPr>
      <w:r>
        <w:rPr>
          <w:rFonts w:cs="Calibri" w:ascii="Calibri" w:hAnsi="Calibri"/>
          <w:b/>
          <w:bCs/>
          <w:i/>
          <w:iCs/>
          <w:color w:val="890517"/>
          <w:kern w:val="0"/>
          <w:sz w:val="20"/>
          <w:szCs w:val="20"/>
          <w:lang w:val="fr-FR"/>
        </w:rPr>
        <w:t>Contact</w:t>
      </w:r>
    </w:p>
    <w:p>
      <w:pPr>
        <w:pStyle w:val="Normal"/>
        <w:spacing w:lineRule="auto" w:line="240" w:before="120" w:after="120"/>
        <w:jc w:val="both"/>
        <w:rPr/>
      </w:pPr>
      <w:r>
        <w:rPr>
          <w:rFonts w:cs="Calibri" w:ascii="Calibri" w:hAnsi="Calibri"/>
          <w:b/>
          <w:bCs/>
          <w:color w:themeColor="text1" w:val="000000"/>
          <w:kern w:val="0"/>
          <w:sz w:val="20"/>
          <w:szCs w:val="20"/>
          <w:lang w:val="fr-FR"/>
        </w:rPr>
        <w:t>Dr. Rens Chazottes</w:t>
      </w:r>
      <w:r>
        <w:rPr>
          <w:rFonts w:cs="Calibri" w:ascii="Calibri" w:hAnsi="Calibri"/>
          <w:color w:themeColor="text1" w:val="000000"/>
          <w:kern w:val="0"/>
          <w:sz w:val="20"/>
          <w:szCs w:val="20"/>
          <w:lang w:val="fr-FR"/>
        </w:rPr>
        <w:t xml:space="preserve">, Ecole Polytechnique Fédérale de Lausanne, </w:t>
      </w:r>
      <w:hyperlink r:id="rId2">
        <w:r>
          <w:rPr>
            <w:rStyle w:val="Hyperlink"/>
            <w:rFonts w:cs="Calibri" w:ascii="Calibri" w:hAnsi="Calibri"/>
            <w:kern w:val="0"/>
            <w:sz w:val="20"/>
            <w:szCs w:val="20"/>
            <w:lang w:val="fr-FR"/>
          </w:rPr>
          <w:t>rens.chazottes@epfl.ch</w:t>
        </w:r>
      </w:hyperlink>
      <w:r>
        <w:rPr>
          <w:rFonts w:cs="Calibri" w:ascii="Calibri" w:hAnsi="Calibri"/>
          <w:color w:themeColor="text1" w:val="000000"/>
          <w:kern w:val="0"/>
          <w:sz w:val="20"/>
          <w:szCs w:val="20"/>
          <w:lang w:val="fr-FR"/>
        </w:rPr>
        <w:t xml:space="preserve">, </w:t>
      </w:r>
      <w:r>
        <w:rPr>
          <w:rFonts w:cs="Calibri" w:ascii="Calibri" w:hAnsi="Calibri"/>
          <w:color w:val="22384A"/>
          <w:sz w:val="20"/>
          <w:szCs w:val="20"/>
        </w:rPr>
        <w:t>+33 6 95 23 95 53</w:t>
      </w:r>
    </w:p>
    <w:p>
      <w:pPr>
        <w:pStyle w:val="Normal"/>
        <w:spacing w:lineRule="auto" w:line="240" w:before="120" w:after="120"/>
        <w:jc w:val="both"/>
        <w:rPr/>
      </w:pPr>
      <w:r>
        <w:rPr>
          <w:rFonts w:cs="Calibri" w:ascii="Calibri" w:hAnsi="Calibri"/>
          <w:b/>
          <w:bCs/>
          <w:color w:themeColor="text1" w:val="000000"/>
          <w:kern w:val="0"/>
          <w:sz w:val="20"/>
          <w:szCs w:val="20"/>
          <w:lang w:val="de-DE"/>
        </w:rPr>
        <w:t>Dr. Robin Huguenot-Noël</w:t>
      </w:r>
      <w:r>
        <w:rPr>
          <w:rFonts w:cs="Calibri" w:ascii="Calibri" w:hAnsi="Calibri"/>
          <w:color w:themeColor="text1" w:val="000000"/>
          <w:kern w:val="0"/>
          <w:sz w:val="20"/>
          <w:szCs w:val="20"/>
          <w:lang w:val="de-DE"/>
        </w:rPr>
        <w:t xml:space="preserve">, Freie Universität Berlin, </w:t>
      </w:r>
      <w:hyperlink r:id="rId3">
        <w:r>
          <w:rPr>
            <w:rStyle w:val="Hyperlink"/>
            <w:rFonts w:cs="Calibri" w:ascii="Calibri" w:hAnsi="Calibri"/>
            <w:kern w:val="0"/>
            <w:sz w:val="20"/>
            <w:szCs w:val="20"/>
            <w:lang w:val="de-DE"/>
          </w:rPr>
          <w:t>robin.huguenot-noel@eui.eu</w:t>
        </w:r>
      </w:hyperlink>
      <w:r>
        <w:rPr>
          <w:rFonts w:cs="Calibri" w:ascii="Calibri" w:hAnsi="Calibri"/>
          <w:color w:themeColor="text1" w:val="000000"/>
          <w:kern w:val="0"/>
          <w:sz w:val="20"/>
          <w:szCs w:val="20"/>
          <w:lang w:val="de-DE"/>
        </w:rPr>
        <w:t>, +49 176 578 361 70</w:t>
      </w:r>
    </w:p>
    <w:sectPr>
      <w:headerReference w:type="even" r:id="rId4"/>
      <w:headerReference w:type="default" r:id="rId5"/>
      <w:headerReference w:type="first" r:id="rId6"/>
      <w:footerReference w:type="even" r:id="rId7"/>
      <w:footerReference w:type="default" r:id="rId8"/>
      <w:footerReference w:type="first" r:id="rId9"/>
      <w:type w:val="continuous"/>
      <w:pgSz w:w="11906" w:h="16838"/>
      <w:pgMar w:left="1008" w:right="1008" w:gutter="0" w:header="397" w:top="1434" w:footer="446" w:bottom="1178"/>
      <w:cols w:num="2" w:space="708" w:equalWidth="true" w:sep="false"/>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Huguenot-Noel, Robin" w:date="2025-05-28T12:22:00Z" w:initials="HNR">
    <w:p>
      <w:pPr>
        <w:overflowPunct w:val="true"/>
        <w:rPr/>
      </w:pPr>
      <w:r>
        <w:rPr>
          <w:rFonts w:ascii="Liberation Serif" w:hAnsi="Liberation Serif" w:eastAsia="DejaVu Sans" w:cs="DejaVu Sans"/>
          <w:color w:val="000000"/>
          <w:kern w:val="0"/>
          <w:sz w:val="20"/>
          <w:szCs w:val="20"/>
          <w:lang w:val="en-US" w:eastAsia="en-US" w:bidi="en-US"/>
        </w:rPr>
        <w:t>Note to ourselves: Targeted (approach one by one strategically): European Commission (DG EMPL Just transition unit and union movement unit, head of statistics division; DG Regio, director of studies), ETUI (president and director of research), Committee of the regions (David at president’s office), FEPS (President and Secretary general), EPC (director and director of studies)</w:t>
      </w:r>
    </w:p>
    <w:p>
      <w:pPr>
        <w:overflowPunct w:val="true"/>
        <w:rPr/>
      </w:pPr>
      <w:r>
        <w:rPr>
          <w:rFonts w:ascii="Liberation Serif" w:hAnsi="Liberation Serif" w:eastAsia="DejaVu Sans" w:cs="DejaVu Sans"/>
          <w:kern w:val="0"/>
          <w:lang w:val="en-US" w:eastAsia="en-US" w:bidi="en-US"/>
        </w:rPr>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Helvetica">
    <w:altName w:val="Arial"/>
    <w:charset w:val="01"/>
    <w:family w:val="roman"/>
    <w:pitch w:val="variable"/>
  </w:font>
  <w:font w:name="HELVETICA BOLD OBLIQUE">
    <w:charset w:val="01"/>
    <w:family w:val="roman"/>
    <w:pitch w:val="variable"/>
  </w:font>
  <w:font w:name="Liberation Sans">
    <w:altName w:val="Arial"/>
    <w:charset w:val="01"/>
    <w:family w:val="roman"/>
    <w:pitch w:val="variable"/>
  </w:font>
  <w:font w:name="Times New Roman">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8">
              <wp:simplePos x="0" y="0"/>
              <wp:positionH relativeFrom="margin">
                <wp:align>center</wp:align>
              </wp:positionH>
              <wp:positionV relativeFrom="paragraph">
                <wp:posOffset>635</wp:posOffset>
              </wp:positionV>
              <wp:extent cx="14605" cy="14605"/>
              <wp:effectExtent l="0" t="0" r="0" b="0"/>
              <wp:wrapNone/>
              <wp:docPr id="7"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563748498"/>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rIns="0" tIns="0" bIns="0" anchor="t">
                      <a:spAutoFit/>
                    </wps:bodyPr>
                  </wps:wsp>
                </a:graphicData>
              </a:graphic>
            </wp:anchor>
          </w:drawing>
        </mc:Choice>
        <mc:Fallback>
          <w:pict>
            <v:rect id="shape_0" ID="Frame1" path="m0,0l-2147483645,0l-2147483645,-2147483646l0,-2147483646xe"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sdt>
                    <w:sdtPr>
                      <w:docPartObj>
                        <w:docPartGallery w:val="Page Numbers (Bottom of Page)"/>
                        <w:docPartUnique w:val="true"/>
                      </w:docPartObj>
                      <w:id w:val="1563748498"/>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12">
              <wp:simplePos x="0" y="0"/>
              <wp:positionH relativeFrom="margin">
                <wp:align>center</wp:align>
              </wp:positionH>
              <wp:positionV relativeFrom="paragraph">
                <wp:posOffset>635</wp:posOffset>
              </wp:positionV>
              <wp:extent cx="87630" cy="206375"/>
              <wp:effectExtent l="0" t="0" r="0" b="0"/>
              <wp:wrapNone/>
              <wp:docPr id="8" name="Frame2"/>
              <a:graphic xmlns:a="http://schemas.openxmlformats.org/drawingml/2006/main">
                <a:graphicData uri="http://schemas.microsoft.com/office/word/2010/wordprocessingShape">
                  <wps:wsp>
                    <wps:cNvSpPr/>
                    <wps:spPr>
                      <a:xfrm>
                        <a:off x="0" y="0"/>
                        <a:ext cx="87480" cy="20628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440497943"/>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243.8pt;margin-top:0.05pt;width:6.85pt;height:16.2pt;mso-wrap-style:square;v-text-anchor:top;mso-position-horizontal:center;mso-position-horizontal-relative:margin">
              <v:fill o:detectmouseclick="t" type="solid" color2="black" opacity="0"/>
              <v:stroke color="#3465a4" joinstyle="round" endcap="flat"/>
              <v:textbox>
                <w:txbxContent>
                  <w:sdt>
                    <w:sdtPr>
                      <w:docPartObj>
                        <w:docPartGallery w:val="Page Numbers (Bottom of Page)"/>
                        <w:docPartUnique w:val="true"/>
                      </w:docPartObj>
                      <w:id w:val="1440497943"/>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12">
              <wp:simplePos x="0" y="0"/>
              <wp:positionH relativeFrom="margin">
                <wp:align>center</wp:align>
              </wp:positionH>
              <wp:positionV relativeFrom="paragraph">
                <wp:posOffset>635</wp:posOffset>
              </wp:positionV>
              <wp:extent cx="87630" cy="206375"/>
              <wp:effectExtent l="0" t="0" r="0" b="0"/>
              <wp:wrapNone/>
              <wp:docPr id="9" name="Frame2"/>
              <a:graphic xmlns:a="http://schemas.openxmlformats.org/drawingml/2006/main">
                <a:graphicData uri="http://schemas.microsoft.com/office/word/2010/wordprocessingShape">
                  <wps:wsp>
                    <wps:cNvSpPr/>
                    <wps:spPr>
                      <a:xfrm>
                        <a:off x="0" y="0"/>
                        <a:ext cx="87480" cy="20628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440497943"/>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243.8pt;margin-top:0.05pt;width:6.85pt;height:16.2pt;mso-wrap-style:square;v-text-anchor:top;mso-position-horizontal:center;mso-position-horizontal-relative:margin">
              <v:fill o:detectmouseclick="t" type="solid" color2="black" opacity="0"/>
              <v:stroke color="#3465a4" joinstyle="round" endcap="flat"/>
              <v:textbox>
                <w:txbxContent>
                  <w:sdt>
                    <w:sdtPr>
                      <w:docPartObj>
                        <w:docPartGallery w:val="Page Numbers (Bottom of Page)"/>
                        <w:docPartUnique w:val="true"/>
                      </w:docPartObj>
                      <w:id w:val="1440497943"/>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13"/>
        <w:tab w:val="clear" w:pos="9026"/>
        <w:tab w:val="left" w:pos="3107" w:leader="none"/>
      </w:tabs>
      <w:rPr/>
    </w:pPr>
    <w:r>
      <w:rPr/>
      <w:drawing>
        <wp:inline distT="0" distB="0" distL="0" distR="0">
          <wp:extent cx="951230" cy="2768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1"/>
                  <a:stretch>
                    <a:fillRect/>
                  </a:stretch>
                </pic:blipFill>
                <pic:spPr bwMode="auto">
                  <a:xfrm>
                    <a:off x="0" y="0"/>
                    <a:ext cx="951230" cy="276860"/>
                  </a:xfrm>
                  <a:prstGeom prst="rect">
                    <a:avLst/>
                  </a:prstGeom>
                </pic:spPr>
              </pic:pic>
            </a:graphicData>
          </a:graphic>
        </wp:inline>
      </w:drawing>
    </w:r>
    <w:r>
      <w:rPr/>
      <w:tab/>
    </w:r>
    <w:r>
      <w:rPr/>
      <w:drawing>
        <wp:inline distT="0" distB="0" distL="0" distR="0">
          <wp:extent cx="1236345" cy="35306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2"/>
                  <a:stretch>
                    <a:fillRect/>
                  </a:stretch>
                </pic:blipFill>
                <pic:spPr bwMode="auto">
                  <a:xfrm>
                    <a:off x="0" y="0"/>
                    <a:ext cx="1236345" cy="353060"/>
                  </a:xfrm>
                  <a:prstGeom prst="rect">
                    <a:avLst/>
                  </a:prstGeom>
                </pic:spPr>
              </pic:pic>
            </a:graphicData>
          </a:graphic>
        </wp:inline>
      </w:drawing>
    </w:r>
    <w:r>
      <w:rPr/>
      <w:tab/>
    </w:r>
    <w:r>
      <w:rPr/>
      <w:drawing>
        <wp:inline distT="0" distB="0" distL="0" distR="0">
          <wp:extent cx="1737995" cy="460375"/>
          <wp:effectExtent l="0" t="0" r="0" b="0"/>
          <wp:docPr id="3" name="Image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 logo with a black background&#10;&#10;AI-generated content may be incorrect."/>
                  <pic:cNvPicPr>
                    <a:picLocks noChangeAspect="1" noChangeArrowheads="1"/>
                  </pic:cNvPicPr>
                </pic:nvPicPr>
                <pic:blipFill>
                  <a:blip r:embed="rId3"/>
                  <a:stretch>
                    <a:fillRect/>
                  </a:stretch>
                </pic:blipFill>
                <pic:spPr bwMode="auto">
                  <a:xfrm>
                    <a:off x="0" y="0"/>
                    <a:ext cx="1737995" cy="460375"/>
                  </a:xfrm>
                  <a:prstGeom prst="rect">
                    <a:avLst/>
                  </a:prstGeom>
                </pic:spPr>
              </pic:pic>
            </a:graphicData>
          </a:graphic>
        </wp:inline>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13"/>
        <w:tab w:val="clear" w:pos="9026"/>
        <w:tab w:val="left" w:pos="3107" w:leader="none"/>
      </w:tabs>
      <w:rPr/>
    </w:pPr>
    <w:r>
      <w:rPr/>
      <w:drawing>
        <wp:inline distT="0" distB="0" distL="0" distR="0">
          <wp:extent cx="951230" cy="276860"/>
          <wp:effectExtent l="0" t="0" r="0" b="0"/>
          <wp:docPr id="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
                  <pic:cNvPicPr>
                    <a:picLocks noChangeAspect="1" noChangeArrowheads="1"/>
                  </pic:cNvPicPr>
                </pic:nvPicPr>
                <pic:blipFill>
                  <a:blip r:embed="rId1"/>
                  <a:stretch>
                    <a:fillRect/>
                  </a:stretch>
                </pic:blipFill>
                <pic:spPr bwMode="auto">
                  <a:xfrm>
                    <a:off x="0" y="0"/>
                    <a:ext cx="951230" cy="276860"/>
                  </a:xfrm>
                  <a:prstGeom prst="rect">
                    <a:avLst/>
                  </a:prstGeom>
                </pic:spPr>
              </pic:pic>
            </a:graphicData>
          </a:graphic>
        </wp:inline>
      </w:drawing>
    </w:r>
    <w:r>
      <w:rPr/>
      <w:tab/>
    </w:r>
    <w:r>
      <w:rPr/>
      <w:drawing>
        <wp:inline distT="0" distB="0" distL="0" distR="0">
          <wp:extent cx="1236345" cy="353060"/>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2"/>
                  <a:stretch>
                    <a:fillRect/>
                  </a:stretch>
                </pic:blipFill>
                <pic:spPr bwMode="auto">
                  <a:xfrm>
                    <a:off x="0" y="0"/>
                    <a:ext cx="1236345" cy="353060"/>
                  </a:xfrm>
                  <a:prstGeom prst="rect">
                    <a:avLst/>
                  </a:prstGeom>
                </pic:spPr>
              </pic:pic>
            </a:graphicData>
          </a:graphic>
        </wp:inline>
      </w:drawing>
    </w:r>
    <w:r>
      <w:rPr/>
      <w:tab/>
    </w:r>
    <w:r>
      <w:rPr/>
      <w:drawing>
        <wp:inline distT="0" distB="0" distL="0" distR="0">
          <wp:extent cx="1737995" cy="460375"/>
          <wp:effectExtent l="0" t="0" r="0" b="0"/>
          <wp:docPr id="6" name="Image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A logo with a black background&#10;&#10;AI-generated content may be incorrect."/>
                  <pic:cNvPicPr>
                    <a:picLocks noChangeAspect="1" noChangeArrowheads="1"/>
                  </pic:cNvPicPr>
                </pic:nvPicPr>
                <pic:blipFill>
                  <a:blip r:embed="rId3"/>
                  <a:stretch>
                    <a:fillRect/>
                  </a:stretch>
                </pic:blipFill>
                <pic:spPr bwMode="auto">
                  <a:xfrm>
                    <a:off x="0" y="0"/>
                    <a:ext cx="1737995" cy="460375"/>
                  </a:xfrm>
                  <a:prstGeom prst="rect">
                    <a:avLst/>
                  </a:prstGeom>
                </pic:spPr>
              </pic:pic>
            </a:graphicData>
          </a:graphic>
        </wp:inline>
      </w:drawing>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2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ptos" w:hAnsi="Aptos" w:eastAsia="Aptos" w:cs="" w:asciiTheme="minorHAnsi" w:cstheme="minorBidi" w:eastAsiaTheme="minorHAnsi" w:hAnsiTheme="minorHAnsi"/>
      <w:color w:val="auto"/>
      <w:kern w:val="2"/>
      <w:sz w:val="24"/>
      <w:szCs w:val="24"/>
      <w:lang w:val="en-FR" w:eastAsia="en-US" w:bidi="ar-SA"/>
      <w14:ligatures w14:val="standardContextual"/>
    </w:rPr>
  </w:style>
  <w:style w:type="paragraph" w:styleId="Heading1">
    <w:name w:val="Heading 1"/>
    <w:basedOn w:val="Normal"/>
    <w:next w:val="Normal"/>
    <w:link w:val="Heading1Char"/>
    <w:uiPriority w:val="9"/>
    <w:qFormat/>
    <w:rsid w:val="00021e83"/>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autoRedefine/>
    <w:uiPriority w:val="9"/>
    <w:unhideWhenUsed/>
    <w:qFormat/>
    <w:rsid w:val="00270f9a"/>
    <w:pPr>
      <w:keepNext w:val="true"/>
      <w:keepLines/>
      <w:spacing w:lineRule="auto" w:line="360" w:before="160" w:after="80"/>
      <w:jc w:val="both"/>
      <w:outlineLvl w:val="1"/>
    </w:pPr>
    <w:rPr>
      <w:rFonts w:ascii="Helvetica" w:hAnsi="Helvetica" w:eastAsia="" w:cs="" w:cstheme="majorBidi" w:eastAsiaTheme="majorEastAsia"/>
      <w:b/>
      <w:color w:themeColor="text1" w:val="000000"/>
      <w:kern w:val="0"/>
      <w:sz w:val="28"/>
      <w:szCs w:val="32"/>
      <w:u w:val="single"/>
      <w:lang w:val="en-US"/>
      <w14:ligatures w14:val="none"/>
    </w:rPr>
  </w:style>
  <w:style w:type="paragraph" w:styleId="Heading3">
    <w:name w:val="Heading 3"/>
    <w:basedOn w:val="Normal"/>
    <w:next w:val="Normal"/>
    <w:link w:val="Heading3Char"/>
    <w:uiPriority w:val="9"/>
    <w:semiHidden/>
    <w:unhideWhenUsed/>
    <w:qFormat/>
    <w:rsid w:val="00021e8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autoRedefine/>
    <w:uiPriority w:val="9"/>
    <w:unhideWhenUsed/>
    <w:qFormat/>
    <w:rsid w:val="00270f9a"/>
    <w:pPr>
      <w:keepNext w:val="true"/>
      <w:keepLines/>
      <w:spacing w:lineRule="auto" w:line="360" w:before="80" w:after="40"/>
      <w:jc w:val="both"/>
      <w:outlineLvl w:val="3"/>
    </w:pPr>
    <w:rPr>
      <w:rFonts w:ascii="HELVETICA BOLD OBLIQUE" w:hAnsi="HELVETICA BOLD OBLIQUE" w:eastAsia="" w:cs="" w:cstheme="majorBidi" w:eastAsiaTheme="majorEastAsia"/>
      <w:b/>
      <w:i/>
      <w:iCs/>
      <w:color w:themeColor="text1" w:val="000000"/>
      <w:kern w:val="0"/>
      <w:szCs w:val="22"/>
      <w:lang w:val="en-US"/>
      <w14:ligatures w14:val="none"/>
    </w:rPr>
  </w:style>
  <w:style w:type="paragraph" w:styleId="Heading5">
    <w:name w:val="Heading 5"/>
    <w:basedOn w:val="Normal"/>
    <w:next w:val="Normal"/>
    <w:link w:val="Heading5Char"/>
    <w:uiPriority w:val="9"/>
    <w:semiHidden/>
    <w:unhideWhenUsed/>
    <w:qFormat/>
    <w:rsid w:val="00021e8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21e8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21e8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21e83"/>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21e83"/>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270f9a"/>
    <w:rPr>
      <w:rFonts w:ascii="Helvetica" w:hAnsi="Helvetica" w:eastAsia="" w:cs="" w:cstheme="majorBidi" w:eastAsiaTheme="majorEastAsia"/>
      <w:b/>
      <w:spacing w:val="-10"/>
      <w:kern w:val="2"/>
      <w:sz w:val="36"/>
      <w:szCs w:val="72"/>
      <w:lang w:val="en-US"/>
      <w14:ligatures w14:val="none"/>
    </w:rPr>
  </w:style>
  <w:style w:type="character" w:styleId="Heading2Char" w:customStyle="1">
    <w:name w:val="Heading 2 Char"/>
    <w:basedOn w:val="DefaultParagraphFont"/>
    <w:link w:val="Heading2"/>
    <w:uiPriority w:val="9"/>
    <w:qFormat/>
    <w:rsid w:val="00270f9a"/>
    <w:rPr>
      <w:rFonts w:ascii="Helvetica" w:hAnsi="Helvetica" w:eastAsia="" w:cs="" w:cstheme="majorBidi" w:eastAsiaTheme="majorEastAsia"/>
      <w:b/>
      <w:color w:themeColor="text1" w:val="000000"/>
      <w:kern w:val="0"/>
      <w:sz w:val="28"/>
      <w:szCs w:val="32"/>
      <w:u w:val="single"/>
      <w:lang w:val="en-US"/>
      <w14:ligatures w14:val="none"/>
    </w:rPr>
  </w:style>
  <w:style w:type="character" w:styleId="Heading4Char" w:customStyle="1">
    <w:name w:val="Heading 4 Char"/>
    <w:basedOn w:val="DefaultParagraphFont"/>
    <w:link w:val="Heading4"/>
    <w:uiPriority w:val="9"/>
    <w:qFormat/>
    <w:rsid w:val="00270f9a"/>
    <w:rPr>
      <w:rFonts w:ascii="HELVETICA BOLD OBLIQUE" w:hAnsi="HELVETICA BOLD OBLIQUE" w:eastAsia="" w:cs="" w:cstheme="majorBidi" w:eastAsiaTheme="majorEastAsia"/>
      <w:b/>
      <w:i/>
      <w:iCs/>
      <w:color w:themeColor="text1" w:val="000000"/>
      <w:kern w:val="0"/>
      <w:szCs w:val="22"/>
      <w:lang w:val="en-US"/>
      <w14:ligatures w14:val="none"/>
    </w:rPr>
  </w:style>
  <w:style w:type="character" w:styleId="Heading1Char" w:customStyle="1">
    <w:name w:val="Heading 1 Char"/>
    <w:basedOn w:val="DefaultParagraphFont"/>
    <w:link w:val="Heading1"/>
    <w:uiPriority w:val="9"/>
    <w:qFormat/>
    <w:rsid w:val="00021e83"/>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3Char" w:customStyle="1">
    <w:name w:val="Heading 3 Char"/>
    <w:basedOn w:val="DefaultParagraphFont"/>
    <w:link w:val="Heading3"/>
    <w:uiPriority w:val="9"/>
    <w:semiHidden/>
    <w:qFormat/>
    <w:rsid w:val="00021e83"/>
    <w:rPr>
      <w:rFonts w:eastAsia="" w:cs="" w:cstheme="majorBidi" w:eastAsiaTheme="majorEastAsia"/>
      <w:color w:themeColor="accent1" w:themeShade="bf" w:val="0F4761"/>
      <w:sz w:val="28"/>
      <w:szCs w:val="28"/>
    </w:rPr>
  </w:style>
  <w:style w:type="character" w:styleId="Heading5Char" w:customStyle="1">
    <w:name w:val="Heading 5 Char"/>
    <w:basedOn w:val="DefaultParagraphFont"/>
    <w:link w:val="Heading5"/>
    <w:uiPriority w:val="9"/>
    <w:semiHidden/>
    <w:qFormat/>
    <w:rsid w:val="00021e83"/>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021e8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21e8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21e83"/>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21e83"/>
    <w:rPr>
      <w:rFonts w:eastAsia="" w:cs="" w:cstheme="majorBidi" w:eastAsiaTheme="majorEastAsia"/>
      <w:color w:themeColor="text1" w:themeTint="d8" w:val="272727"/>
    </w:rPr>
  </w:style>
  <w:style w:type="character" w:styleId="SubtitleChar" w:customStyle="1">
    <w:name w:val="Subtitle Char"/>
    <w:basedOn w:val="DefaultParagraphFont"/>
    <w:link w:val="Subtitle"/>
    <w:uiPriority w:val="11"/>
    <w:qFormat/>
    <w:rsid w:val="00021e83"/>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21e83"/>
    <w:rPr>
      <w:i/>
      <w:iCs/>
      <w:color w:themeColor="text1" w:themeTint="bf" w:val="404040"/>
    </w:rPr>
  </w:style>
  <w:style w:type="character" w:styleId="IntenseEmphasis">
    <w:name w:val="Intense Emphasis"/>
    <w:basedOn w:val="DefaultParagraphFont"/>
    <w:uiPriority w:val="21"/>
    <w:qFormat/>
    <w:rsid w:val="00021e83"/>
    <w:rPr>
      <w:i/>
      <w:iCs/>
      <w:color w:themeColor="accent1" w:themeShade="bf" w:val="0F4761"/>
    </w:rPr>
  </w:style>
  <w:style w:type="character" w:styleId="IntenseQuoteChar" w:customStyle="1">
    <w:name w:val="Intense Quote Char"/>
    <w:basedOn w:val="DefaultParagraphFont"/>
    <w:link w:val="IntenseQuote"/>
    <w:uiPriority w:val="30"/>
    <w:qFormat/>
    <w:rsid w:val="00021e83"/>
    <w:rPr>
      <w:i/>
      <w:iCs/>
      <w:color w:themeColor="accent1" w:themeShade="bf" w:val="0F4761"/>
    </w:rPr>
  </w:style>
  <w:style w:type="character" w:styleId="IntenseReference">
    <w:name w:val="Intense Reference"/>
    <w:basedOn w:val="DefaultParagraphFont"/>
    <w:uiPriority w:val="32"/>
    <w:qFormat/>
    <w:rsid w:val="00021e83"/>
    <w:rPr>
      <w:b/>
      <w:bCs/>
      <w:smallCaps/>
      <w:color w:themeColor="accent1" w:themeShade="bf" w:val="0F4761"/>
      <w:spacing w:val="5"/>
    </w:rPr>
  </w:style>
  <w:style w:type="character" w:styleId="HeaderChar" w:customStyle="1">
    <w:name w:val="Header Char"/>
    <w:basedOn w:val="DefaultParagraphFont"/>
    <w:link w:val="Header"/>
    <w:uiPriority w:val="99"/>
    <w:qFormat/>
    <w:rsid w:val="00021e83"/>
    <w:rPr/>
  </w:style>
  <w:style w:type="character" w:styleId="FooterChar" w:customStyle="1">
    <w:name w:val="Footer Char"/>
    <w:basedOn w:val="DefaultParagraphFont"/>
    <w:link w:val="Footer"/>
    <w:uiPriority w:val="99"/>
    <w:qFormat/>
    <w:rsid w:val="00021e83"/>
    <w:rPr/>
  </w:style>
  <w:style w:type="character" w:styleId="Strong">
    <w:name w:val="Strong"/>
    <w:basedOn w:val="DefaultParagraphFont"/>
    <w:uiPriority w:val="22"/>
    <w:qFormat/>
    <w:rsid w:val="00cd176f"/>
    <w:rPr>
      <w:b/>
      <w:bCs/>
    </w:rPr>
  </w:style>
  <w:style w:type="character" w:styleId="Emphasis">
    <w:name w:val="Emphasis"/>
    <w:basedOn w:val="DefaultParagraphFont"/>
    <w:uiPriority w:val="20"/>
    <w:qFormat/>
    <w:rsid w:val="00ab682d"/>
    <w:rPr>
      <w:i/>
      <w:iCs/>
    </w:rPr>
  </w:style>
  <w:style w:type="character" w:styleId="Hyperlink">
    <w:name w:val="Hyperlink"/>
    <w:basedOn w:val="DefaultParagraphFont"/>
    <w:uiPriority w:val="99"/>
    <w:unhideWhenUsed/>
    <w:rsid w:val="00053cf7"/>
    <w:rPr>
      <w:color w:themeColor="hyperlink" w:val="467886"/>
      <w:u w:val="single"/>
    </w:rPr>
  </w:style>
  <w:style w:type="character" w:styleId="UnresolvedMention">
    <w:name w:val="Unresolved Mention"/>
    <w:basedOn w:val="DefaultParagraphFont"/>
    <w:uiPriority w:val="99"/>
    <w:semiHidden/>
    <w:unhideWhenUsed/>
    <w:qFormat/>
    <w:rsid w:val="00053cf7"/>
    <w:rPr>
      <w:color w:val="605E5C"/>
      <w:shd w:fill="E1DFDD" w:val="clear"/>
    </w:rPr>
  </w:style>
  <w:style w:type="character" w:styleId="PageNumber">
    <w:name w:val="Page Number"/>
    <w:basedOn w:val="DefaultParagraphFont"/>
    <w:uiPriority w:val="99"/>
    <w:semiHidden/>
    <w:unhideWhenUsed/>
    <w:rsid w:val="00964b56"/>
    <w:rPr/>
  </w:style>
  <w:style w:type="character" w:styleId="annotationreference">
    <w:name w:val="annotation reference"/>
    <w:basedOn w:val="DefaultParagraphFont"/>
    <w:uiPriority w:val="99"/>
    <w:semiHidden/>
    <w:unhideWhenUsed/>
    <w:qFormat/>
    <w:rsid w:val="00d23968"/>
    <w:rPr>
      <w:sz w:val="16"/>
      <w:szCs w:val="16"/>
    </w:rPr>
  </w:style>
  <w:style w:type="character" w:styleId="CommentTextChar" w:customStyle="1">
    <w:name w:val="Comment Text Char"/>
    <w:basedOn w:val="DefaultParagraphFont"/>
    <w:link w:val="AnnotationText"/>
    <w:uiPriority w:val="99"/>
    <w:semiHidden/>
    <w:qFormat/>
    <w:rsid w:val="00d23968"/>
    <w:rPr>
      <w:sz w:val="20"/>
      <w:szCs w:val="20"/>
    </w:rPr>
  </w:style>
  <w:style w:type="character" w:styleId="CommentSubjectChar" w:customStyle="1">
    <w:name w:val="Comment Subject Char"/>
    <w:basedOn w:val="CommentTextChar"/>
    <w:link w:val="annotationsubject"/>
    <w:uiPriority w:val="99"/>
    <w:semiHidden/>
    <w:qFormat/>
    <w:rsid w:val="00d23968"/>
    <w:rPr>
      <w:b/>
      <w:bCs/>
      <w:sz w:val="20"/>
      <w:szCs w:val="20"/>
    </w:rPr>
  </w:style>
  <w:style w:type="character" w:styleId="FollowedHyperlink">
    <w:name w:val="FollowedHyperlink"/>
    <w:basedOn w:val="DefaultParagraphFont"/>
    <w:uiPriority w:val="99"/>
    <w:semiHidden/>
    <w:unhideWhenUsed/>
    <w:rsid w:val="000f3ec9"/>
    <w:rPr>
      <w:color w:themeColor="followedHyperlink" w:val="96607D"/>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1TitleCover" w:customStyle="1">
    <w:name w:val="1_TitleCover"/>
    <w:basedOn w:val="Normal"/>
    <w:autoRedefine/>
    <w:qFormat/>
    <w:rsid w:val="00270f9a"/>
    <w:pPr>
      <w:spacing w:lineRule="exact" w:line="440" w:before="0" w:after="0"/>
      <w:contextualSpacing/>
    </w:pPr>
    <w:rPr>
      <w:rFonts w:ascii="Helvetica" w:hAnsi="Helvetica" w:eastAsia="" w:cs="Arial" w:eastAsiaTheme="majorEastAsia"/>
      <w:b/>
      <w:color w:themeColor="text1" w:val="000000"/>
      <w:spacing w:val="5"/>
      <w:kern w:val="2"/>
      <w:sz w:val="32"/>
      <w:szCs w:val="52"/>
      <w:lang w:val="en-GB" w:eastAsia="it-IT"/>
      <w14:ligatures w14:val="none"/>
    </w:rPr>
  </w:style>
  <w:style w:type="paragraph" w:styleId="Title">
    <w:name w:val="Title"/>
    <w:basedOn w:val="Normal"/>
    <w:next w:val="Normal"/>
    <w:link w:val="TitleChar"/>
    <w:autoRedefine/>
    <w:uiPriority w:val="10"/>
    <w:qFormat/>
    <w:rsid w:val="00270f9a"/>
    <w:pPr>
      <w:spacing w:lineRule="auto" w:line="360" w:before="0" w:after="80"/>
      <w:contextualSpacing/>
      <w:jc w:val="both"/>
    </w:pPr>
    <w:rPr>
      <w:rFonts w:ascii="Helvetica" w:hAnsi="Helvetica" w:eastAsia="" w:cs="" w:cstheme="majorBidi" w:eastAsiaTheme="majorEastAsia"/>
      <w:b/>
      <w:spacing w:val="-10"/>
      <w:kern w:val="2"/>
      <w:sz w:val="36"/>
      <w:szCs w:val="72"/>
      <w:lang w:val="en-US"/>
      <w14:ligatures w14:val="none"/>
    </w:rPr>
  </w:style>
  <w:style w:type="paragraph" w:styleId="EAtabletitle" w:customStyle="1">
    <w:name w:val="EA table title"/>
    <w:autoRedefine/>
    <w:uiPriority w:val="99"/>
    <w:qFormat/>
    <w:rsid w:val="00270f9a"/>
    <w:pPr>
      <w:widowControl/>
      <w:suppressAutoHyphens w:val="true"/>
      <w:bidi w:val="0"/>
      <w:spacing w:before="0" w:after="0"/>
      <w:jc w:val="left"/>
    </w:pPr>
    <w:rPr>
      <w:rFonts w:ascii="Helvetica" w:hAnsi="Helvetica" w:eastAsia="Times New Roman" w:cs="Frutiger CE 55 Roman"/>
      <w:color w:val="000000"/>
      <w:kern w:val="0"/>
      <w:sz w:val="24"/>
      <w:szCs w:val="24"/>
      <w:lang w:val="en-GB" w:eastAsia="en-US" w:bidi="ar-SA"/>
      <w14:ligatures w14:val="none"/>
    </w:rPr>
  </w:style>
  <w:style w:type="paragraph" w:styleId="Subtitle">
    <w:name w:val="Subtitle"/>
    <w:basedOn w:val="Normal"/>
    <w:next w:val="Normal"/>
    <w:link w:val="SubtitleChar"/>
    <w:uiPriority w:val="11"/>
    <w:qFormat/>
    <w:rsid w:val="00021e83"/>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21e83"/>
    <w:pPr>
      <w:spacing w:before="160" w:after="160"/>
      <w:jc w:val="center"/>
    </w:pPr>
    <w:rPr>
      <w:i/>
      <w:iCs/>
      <w:color w:themeColor="text1" w:themeTint="bf" w:val="404040"/>
    </w:rPr>
  </w:style>
  <w:style w:type="paragraph" w:styleId="ListParagraph">
    <w:name w:val="List Paragraph"/>
    <w:basedOn w:val="Normal"/>
    <w:uiPriority w:val="34"/>
    <w:qFormat/>
    <w:rsid w:val="00021e83"/>
    <w:pPr>
      <w:spacing w:before="0" w:after="0"/>
      <w:ind w:left="720"/>
      <w:contextualSpacing/>
    </w:pPr>
    <w:rPr/>
  </w:style>
  <w:style w:type="paragraph" w:styleId="IntenseQuote">
    <w:name w:val="Intense Quote"/>
    <w:basedOn w:val="Normal"/>
    <w:next w:val="Normal"/>
    <w:link w:val="IntenseQuoteChar"/>
    <w:uiPriority w:val="30"/>
    <w:qFormat/>
    <w:rsid w:val="00021e83"/>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021e83"/>
    <w:pPr>
      <w:tabs>
        <w:tab w:val="clear" w:pos="720"/>
        <w:tab w:val="center" w:pos="4513" w:leader="none"/>
        <w:tab w:val="right" w:pos="9026" w:leader="none"/>
      </w:tabs>
    </w:pPr>
    <w:rPr/>
  </w:style>
  <w:style w:type="paragraph" w:styleId="Footer">
    <w:name w:val="Footer"/>
    <w:basedOn w:val="Normal"/>
    <w:link w:val="FooterChar"/>
    <w:uiPriority w:val="99"/>
    <w:unhideWhenUsed/>
    <w:rsid w:val="00021e83"/>
    <w:pPr>
      <w:tabs>
        <w:tab w:val="clear" w:pos="720"/>
        <w:tab w:val="center" w:pos="4513" w:leader="none"/>
        <w:tab w:val="right" w:pos="9026" w:leader="none"/>
      </w:tabs>
    </w:pPr>
    <w:rPr/>
  </w:style>
  <w:style w:type="paragraph" w:styleId="Default" w:customStyle="1">
    <w:name w:val="Default"/>
    <w:qFormat/>
    <w:rsid w:val="00021e83"/>
    <w:pPr>
      <w:widowControl/>
      <w:suppressAutoHyphens w:val="true"/>
      <w:bidi w:val="0"/>
      <w:spacing w:before="0" w:after="0"/>
      <w:jc w:val="left"/>
    </w:pPr>
    <w:rPr>
      <w:rFonts w:ascii="Times New Roman" w:hAnsi="Times New Roman" w:eastAsia="Aptos" w:cs="Times New Roman"/>
      <w:color w:val="000000"/>
      <w:kern w:val="0"/>
      <w:sz w:val="24"/>
      <w:szCs w:val="24"/>
      <w:lang w:val="en-GB" w:eastAsia="en-US" w:bidi="ar-SA"/>
    </w:rPr>
  </w:style>
  <w:style w:type="paragraph" w:styleId="NormalWeb">
    <w:name w:val="Normal (Web)"/>
    <w:basedOn w:val="Normal"/>
    <w:uiPriority w:val="99"/>
    <w:unhideWhenUsed/>
    <w:qFormat/>
    <w:rsid w:val="00cd176f"/>
    <w:pPr>
      <w:spacing w:beforeAutospacing="1" w:afterAutospacing="1"/>
    </w:pPr>
    <w:rPr>
      <w:rFonts w:ascii="Times New Roman" w:hAnsi="Times New Roman" w:eastAsia="Times New Roman" w:cs="Times New Roman"/>
      <w:kern w:val="0"/>
      <w:lang w:eastAsia="en-GB"/>
      <w14:ligatures w14:val="none"/>
    </w:rPr>
  </w:style>
  <w:style w:type="paragraph" w:styleId="AnnotationText">
    <w:name w:val="Annotation Text"/>
    <w:basedOn w:val="Normal"/>
    <w:link w:val="CommentTextChar"/>
    <w:uiPriority w:val="99"/>
    <w:semiHidden/>
    <w:unhideWhenUsed/>
    <w:rsid w:val="00d23968"/>
    <w:pPr/>
    <w:rPr>
      <w:sz w:val="20"/>
      <w:szCs w:val="20"/>
    </w:rPr>
  </w:style>
  <w:style w:type="paragraph" w:styleId="annotationsubject">
    <w:name w:val="annotation subject"/>
    <w:basedOn w:val="AnnotationText"/>
    <w:next w:val="AnnotationText"/>
    <w:link w:val="CommentSubjectChar"/>
    <w:uiPriority w:val="99"/>
    <w:semiHidden/>
    <w:unhideWhenUsed/>
    <w:qFormat/>
    <w:rsid w:val="00d23968"/>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ens.chazottes@epfl.ch" TargetMode="External"/><Relationship Id="rId3" Type="http://schemas.openxmlformats.org/officeDocument/2006/relationships/hyperlink" Target="mailto:robin.huguenot-noel@eui.eu"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comments" Target="comment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963FE-D640-3F40-AFD5-518678CF4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Application>LibreOffice/24.2.6.2$Linux_X86_64 LibreOffice_project/420$Build-2</Application>
  <AppVersion>15.0000</AppVersion>
  <Pages>2</Pages>
  <Words>1058</Words>
  <Characters>6230</Characters>
  <CharactersWithSpaces>7364</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2025-05-28T10:37:00Z</dcterms:created>
  <dc:creator>Huguenot-Noel, Robin</dc:creator>
  <dc:description/>
  <dc:language>en-US</dc:language>
  <cp:lastModifiedBy/>
  <cp:lastPrinted>2025-06-03T01:38:31Z</cp:lastPrinted>
  <dcterms:modified xsi:type="dcterms:W3CDTF">2025-06-03T01:39:22Z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