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9A9EE" w14:textId="78DB025D" w:rsidR="00FE1A0D" w:rsidRDefault="002C6276" w:rsidP="002C6276">
      <w:pPr>
        <w:jc w:val="center"/>
        <w:rPr>
          <w:b/>
          <w:bCs/>
          <w:sz w:val="28"/>
          <w:szCs w:val="28"/>
          <w:lang w:val="en-US"/>
        </w:rPr>
      </w:pPr>
      <w:r>
        <w:rPr>
          <w:b/>
          <w:bCs/>
          <w:sz w:val="28"/>
          <w:szCs w:val="28"/>
          <w:lang w:val="en-US"/>
        </w:rPr>
        <w:t>Activity 5</w:t>
      </w:r>
    </w:p>
    <w:p w14:paraId="04F6910A" w14:textId="743368FA" w:rsidR="002C6276" w:rsidRDefault="002C6276" w:rsidP="002C6276">
      <w:pPr>
        <w:spacing w:after="0"/>
        <w:rPr>
          <w:lang w:val="en-US"/>
        </w:rPr>
      </w:pPr>
      <w:r>
        <w:rPr>
          <w:b/>
          <w:bCs/>
          <w:lang w:val="en-US"/>
        </w:rPr>
        <w:t xml:space="preserve">Name: </w:t>
      </w:r>
      <w:proofErr w:type="spellStart"/>
      <w:r>
        <w:rPr>
          <w:lang w:val="en-US"/>
        </w:rPr>
        <w:t>Elcito</w:t>
      </w:r>
      <w:proofErr w:type="spellEnd"/>
      <w:r>
        <w:rPr>
          <w:lang w:val="en-US"/>
        </w:rPr>
        <w:t xml:space="preserve"> Jr. A. Gador</w:t>
      </w:r>
    </w:p>
    <w:p w14:paraId="734F2279" w14:textId="39212C38" w:rsidR="002C6276" w:rsidRDefault="002C6276" w:rsidP="002C6276">
      <w:pPr>
        <w:spacing w:after="0"/>
        <w:rPr>
          <w:lang w:val="en-US"/>
        </w:rPr>
      </w:pPr>
      <w:r>
        <w:rPr>
          <w:b/>
          <w:bCs/>
          <w:lang w:val="en-US"/>
        </w:rPr>
        <w:t xml:space="preserve">Section: </w:t>
      </w:r>
      <w:r>
        <w:rPr>
          <w:lang w:val="en-US"/>
        </w:rPr>
        <w:t>ARC224</w:t>
      </w:r>
    </w:p>
    <w:p w14:paraId="294D828C" w14:textId="1D95EB1C" w:rsidR="002C6276" w:rsidRDefault="002C6276" w:rsidP="002C6276">
      <w:pPr>
        <w:spacing w:after="0"/>
        <w:rPr>
          <w:lang w:val="en-US"/>
        </w:rPr>
      </w:pPr>
    </w:p>
    <w:p w14:paraId="1B695822" w14:textId="0C79D9A2" w:rsidR="002C6276" w:rsidRPr="002C6276" w:rsidRDefault="002C6276" w:rsidP="002C6276">
      <w:pPr>
        <w:pStyle w:val="ListParagraph"/>
        <w:numPr>
          <w:ilvl w:val="0"/>
          <w:numId w:val="1"/>
        </w:numPr>
        <w:spacing w:after="0"/>
        <w:rPr>
          <w:lang w:val="en-US"/>
        </w:rPr>
      </w:pPr>
      <w:r>
        <w:rPr>
          <w:b/>
          <w:bCs/>
          <w:lang w:val="en-US"/>
        </w:rPr>
        <w:t>Predictive Analytics</w:t>
      </w:r>
    </w:p>
    <w:p w14:paraId="1856598D" w14:textId="13C59984" w:rsidR="002C6276" w:rsidRDefault="002C6276" w:rsidP="006443F9">
      <w:pPr>
        <w:spacing w:after="0"/>
        <w:ind w:firstLine="720"/>
        <w:jc w:val="both"/>
        <w:rPr>
          <w:lang w:val="en-US"/>
        </w:rPr>
      </w:pPr>
      <w:r w:rsidRPr="002C6276">
        <w:rPr>
          <w:lang w:val="en-US"/>
        </w:rPr>
        <w:t>Predictive analytics utilizes both past and current data to predict upcoming patterns and occurrences. This tool finds wide application across various sectors such as finance, healthcare, and online commerce. It aids in tasks such as anticipating stock market fluctuations, projecting patient prognosis, and estimating consumer demand for products. Through predictive analytics, organizations can make informed decisions in advance, mitigate potential risks, and fine-tune their business processes for optimal efficiency.</w:t>
      </w:r>
    </w:p>
    <w:p w14:paraId="1F496DE7" w14:textId="68D25800" w:rsidR="006443F9" w:rsidRDefault="006443F9" w:rsidP="006443F9">
      <w:pPr>
        <w:spacing w:after="0"/>
        <w:jc w:val="both"/>
        <w:rPr>
          <w:lang w:val="en-US"/>
        </w:rPr>
      </w:pPr>
    </w:p>
    <w:p w14:paraId="1A88F555" w14:textId="723F8BDB" w:rsidR="006443F9" w:rsidRDefault="006443F9" w:rsidP="006443F9">
      <w:pPr>
        <w:spacing w:after="0"/>
        <w:jc w:val="both"/>
        <w:rPr>
          <w:lang w:val="en-US"/>
        </w:rPr>
      </w:pPr>
      <w:r>
        <w:rPr>
          <w:lang w:val="en-US"/>
        </w:rPr>
        <w:t>Example:</w:t>
      </w:r>
    </w:p>
    <w:p w14:paraId="73E42DCA" w14:textId="625AF7AC" w:rsidR="006443F9" w:rsidRDefault="006443F9" w:rsidP="006443F9">
      <w:pPr>
        <w:spacing w:after="0"/>
        <w:jc w:val="both"/>
        <w:rPr>
          <w:b/>
          <w:bCs/>
          <w:lang w:val="en-US"/>
        </w:rPr>
      </w:pPr>
      <w:r>
        <w:rPr>
          <w:b/>
          <w:bCs/>
          <w:lang w:val="en-US"/>
        </w:rPr>
        <w:t>Bank Assets of other countries</w:t>
      </w:r>
    </w:p>
    <w:p w14:paraId="1FA39B32" w14:textId="6886EEC2" w:rsidR="006443F9" w:rsidRDefault="006443F9" w:rsidP="006443F9">
      <w:pPr>
        <w:spacing w:after="0"/>
        <w:jc w:val="both"/>
        <w:rPr>
          <w:b/>
          <w:bCs/>
          <w:lang w:val="en-US"/>
        </w:rPr>
      </w:pPr>
      <w:r>
        <w:rPr>
          <w:b/>
          <w:bCs/>
          <w:noProof/>
          <w:lang w:val="en-US"/>
        </w:rPr>
        <w:drawing>
          <wp:anchor distT="0" distB="0" distL="114300" distR="114300" simplePos="0" relativeHeight="251658240" behindDoc="0" locked="0" layoutInCell="1" allowOverlap="1" wp14:anchorId="395664DA" wp14:editId="53784874">
            <wp:simplePos x="0" y="0"/>
            <wp:positionH relativeFrom="margin">
              <wp:posOffset>1212850</wp:posOffset>
            </wp:positionH>
            <wp:positionV relativeFrom="paragraph">
              <wp:posOffset>72390</wp:posOffset>
            </wp:positionV>
            <wp:extent cx="2513330" cy="228600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3330" cy="2286000"/>
                    </a:xfrm>
                    <a:prstGeom prst="rect">
                      <a:avLst/>
                    </a:prstGeom>
                  </pic:spPr>
                </pic:pic>
              </a:graphicData>
            </a:graphic>
            <wp14:sizeRelH relativeFrom="page">
              <wp14:pctWidth>0</wp14:pctWidth>
            </wp14:sizeRelH>
            <wp14:sizeRelV relativeFrom="page">
              <wp14:pctHeight>0</wp14:pctHeight>
            </wp14:sizeRelV>
          </wp:anchor>
        </w:drawing>
      </w:r>
    </w:p>
    <w:p w14:paraId="3731BEEA" w14:textId="2D7856B0" w:rsidR="006443F9" w:rsidRDefault="006443F9" w:rsidP="006443F9">
      <w:pPr>
        <w:spacing w:after="0"/>
        <w:jc w:val="both"/>
        <w:rPr>
          <w:b/>
          <w:bCs/>
          <w:lang w:val="en-US"/>
        </w:rPr>
      </w:pPr>
    </w:p>
    <w:p w14:paraId="681038BD" w14:textId="515D89AB" w:rsidR="006443F9" w:rsidRDefault="006443F9" w:rsidP="006443F9">
      <w:pPr>
        <w:spacing w:after="0"/>
        <w:jc w:val="both"/>
        <w:rPr>
          <w:b/>
          <w:bCs/>
          <w:lang w:val="en-US"/>
        </w:rPr>
      </w:pPr>
    </w:p>
    <w:p w14:paraId="0C774B40" w14:textId="578E9FD4" w:rsidR="006443F9" w:rsidRDefault="006443F9" w:rsidP="006443F9">
      <w:pPr>
        <w:spacing w:after="0"/>
        <w:jc w:val="both"/>
        <w:rPr>
          <w:b/>
          <w:bCs/>
          <w:lang w:val="en-US"/>
        </w:rPr>
      </w:pPr>
    </w:p>
    <w:p w14:paraId="15967018" w14:textId="475707A9" w:rsidR="006443F9" w:rsidRDefault="006443F9" w:rsidP="006443F9">
      <w:pPr>
        <w:spacing w:after="0"/>
        <w:jc w:val="both"/>
        <w:rPr>
          <w:b/>
          <w:bCs/>
          <w:lang w:val="en-US"/>
        </w:rPr>
      </w:pPr>
    </w:p>
    <w:p w14:paraId="70CDA80C" w14:textId="1CB4C368" w:rsidR="006443F9" w:rsidRDefault="006443F9" w:rsidP="006443F9">
      <w:pPr>
        <w:spacing w:after="0"/>
        <w:jc w:val="both"/>
        <w:rPr>
          <w:b/>
          <w:bCs/>
          <w:lang w:val="en-US"/>
        </w:rPr>
      </w:pPr>
    </w:p>
    <w:p w14:paraId="5DB927C0" w14:textId="2336C8B8" w:rsidR="006443F9" w:rsidRDefault="006443F9" w:rsidP="006443F9">
      <w:pPr>
        <w:spacing w:after="0"/>
        <w:jc w:val="both"/>
        <w:rPr>
          <w:b/>
          <w:bCs/>
          <w:lang w:val="en-US"/>
        </w:rPr>
      </w:pPr>
    </w:p>
    <w:p w14:paraId="07BEF7C4" w14:textId="4433C12A" w:rsidR="006443F9" w:rsidRDefault="006443F9" w:rsidP="006443F9">
      <w:pPr>
        <w:spacing w:after="0"/>
        <w:jc w:val="both"/>
        <w:rPr>
          <w:b/>
          <w:bCs/>
          <w:lang w:val="en-US"/>
        </w:rPr>
      </w:pPr>
    </w:p>
    <w:p w14:paraId="1086537C" w14:textId="0C3D6CC1" w:rsidR="006443F9" w:rsidRDefault="006443F9" w:rsidP="006443F9">
      <w:pPr>
        <w:spacing w:after="0"/>
        <w:jc w:val="both"/>
        <w:rPr>
          <w:b/>
          <w:bCs/>
          <w:lang w:val="en-US"/>
        </w:rPr>
      </w:pPr>
    </w:p>
    <w:p w14:paraId="2B81DE23" w14:textId="3033BD22" w:rsidR="006443F9" w:rsidRDefault="006443F9" w:rsidP="006443F9">
      <w:pPr>
        <w:spacing w:after="0"/>
        <w:jc w:val="both"/>
        <w:rPr>
          <w:b/>
          <w:bCs/>
          <w:lang w:val="en-US"/>
        </w:rPr>
      </w:pPr>
    </w:p>
    <w:p w14:paraId="4BEB81B7" w14:textId="24DC2472" w:rsidR="006443F9" w:rsidRDefault="006443F9" w:rsidP="006443F9">
      <w:pPr>
        <w:spacing w:after="0"/>
        <w:jc w:val="both"/>
        <w:rPr>
          <w:b/>
          <w:bCs/>
          <w:lang w:val="en-US"/>
        </w:rPr>
      </w:pPr>
    </w:p>
    <w:p w14:paraId="2C6EF086" w14:textId="77777777" w:rsidR="006443F9" w:rsidRDefault="006443F9" w:rsidP="006443F9">
      <w:pPr>
        <w:spacing w:after="0"/>
        <w:jc w:val="both"/>
        <w:rPr>
          <w:b/>
          <w:bCs/>
          <w:lang w:val="en-US"/>
        </w:rPr>
      </w:pPr>
    </w:p>
    <w:p w14:paraId="1863EB85" w14:textId="4C4F07FC" w:rsidR="006443F9" w:rsidRDefault="006443F9" w:rsidP="006443F9">
      <w:pPr>
        <w:spacing w:after="0"/>
        <w:jc w:val="both"/>
        <w:rPr>
          <w:b/>
          <w:bCs/>
          <w:lang w:val="en-US"/>
        </w:rPr>
      </w:pPr>
    </w:p>
    <w:p w14:paraId="0EF23102" w14:textId="2CC1772F" w:rsidR="006443F9" w:rsidRDefault="006443F9" w:rsidP="006443F9">
      <w:pPr>
        <w:spacing w:after="0"/>
        <w:jc w:val="both"/>
        <w:rPr>
          <w:b/>
          <w:bCs/>
          <w:lang w:val="en-US"/>
        </w:rPr>
      </w:pPr>
    </w:p>
    <w:p w14:paraId="18E06AD9" w14:textId="77777777" w:rsidR="006443F9" w:rsidRPr="006443F9" w:rsidRDefault="006443F9" w:rsidP="006443F9">
      <w:pPr>
        <w:numPr>
          <w:ilvl w:val="0"/>
          <w:numId w:val="2"/>
        </w:numPr>
        <w:shd w:val="clear" w:color="auto" w:fill="FFFFFF"/>
        <w:spacing w:after="0" w:line="240" w:lineRule="auto"/>
        <w:rPr>
          <w:rFonts w:eastAsia="Times New Roman" w:cstheme="minorHAnsi"/>
          <w:color w:val="111111"/>
          <w:sz w:val="24"/>
          <w:szCs w:val="24"/>
          <w:lang w:eastAsia="en-PH"/>
        </w:rPr>
      </w:pPr>
      <w:r w:rsidRPr="006443F9">
        <w:rPr>
          <w:rFonts w:eastAsia="Times New Roman" w:cstheme="minorHAnsi"/>
          <w:b/>
          <w:bCs/>
          <w:color w:val="111111"/>
          <w:sz w:val="24"/>
          <w:szCs w:val="24"/>
          <w:lang w:eastAsia="en-PH"/>
        </w:rPr>
        <w:t>Graph Description</w:t>
      </w:r>
      <w:r w:rsidRPr="006443F9">
        <w:rPr>
          <w:rFonts w:eastAsia="Times New Roman" w:cstheme="minorHAnsi"/>
          <w:color w:val="111111"/>
          <w:sz w:val="24"/>
          <w:szCs w:val="24"/>
          <w:lang w:eastAsia="en-PH"/>
        </w:rPr>
        <w:t>:</w:t>
      </w:r>
    </w:p>
    <w:p w14:paraId="746FC039" w14:textId="77777777" w:rsidR="006443F9" w:rsidRPr="006443F9" w:rsidRDefault="006443F9" w:rsidP="006443F9">
      <w:pPr>
        <w:numPr>
          <w:ilvl w:val="1"/>
          <w:numId w:val="2"/>
        </w:numPr>
        <w:shd w:val="clear" w:color="auto" w:fill="FFFFFF"/>
        <w:spacing w:before="100" w:beforeAutospacing="1" w:after="100" w:afterAutospacing="1" w:line="240" w:lineRule="auto"/>
        <w:rPr>
          <w:rFonts w:eastAsia="Times New Roman" w:cstheme="minorHAnsi"/>
          <w:color w:val="111111"/>
          <w:sz w:val="24"/>
          <w:szCs w:val="24"/>
          <w:lang w:eastAsia="en-PH"/>
        </w:rPr>
      </w:pPr>
      <w:r w:rsidRPr="006443F9">
        <w:rPr>
          <w:rFonts w:eastAsia="Times New Roman" w:cstheme="minorHAnsi"/>
          <w:color w:val="111111"/>
          <w:sz w:val="24"/>
          <w:szCs w:val="24"/>
          <w:lang w:eastAsia="en-PH"/>
        </w:rPr>
        <w:t>The graph represents the </w:t>
      </w:r>
      <w:r w:rsidRPr="006443F9">
        <w:rPr>
          <w:rFonts w:eastAsia="Times New Roman" w:cstheme="minorHAnsi"/>
          <w:b/>
          <w:bCs/>
          <w:color w:val="111111"/>
          <w:sz w:val="24"/>
          <w:szCs w:val="24"/>
          <w:lang w:eastAsia="en-PH"/>
        </w:rPr>
        <w:t>percentage</w:t>
      </w:r>
      <w:r w:rsidRPr="006443F9">
        <w:rPr>
          <w:rFonts w:eastAsia="Times New Roman" w:cstheme="minorHAnsi"/>
          <w:color w:val="111111"/>
          <w:sz w:val="24"/>
          <w:szCs w:val="24"/>
          <w:lang w:eastAsia="en-PH"/>
        </w:rPr>
        <w:t> of central bank assets and bank deposits in various countries as of </w:t>
      </w:r>
      <w:r w:rsidRPr="006443F9">
        <w:rPr>
          <w:rFonts w:eastAsia="Times New Roman" w:cstheme="minorHAnsi"/>
          <w:b/>
          <w:bCs/>
          <w:color w:val="111111"/>
          <w:sz w:val="24"/>
          <w:szCs w:val="24"/>
          <w:lang w:eastAsia="en-PH"/>
        </w:rPr>
        <w:t>December 2015</w:t>
      </w:r>
      <w:r w:rsidRPr="006443F9">
        <w:rPr>
          <w:rFonts w:eastAsia="Times New Roman" w:cstheme="minorHAnsi"/>
          <w:color w:val="111111"/>
          <w:sz w:val="24"/>
          <w:szCs w:val="24"/>
          <w:lang w:eastAsia="en-PH"/>
        </w:rPr>
        <w:t>.</w:t>
      </w:r>
    </w:p>
    <w:p w14:paraId="7E2E5027" w14:textId="77777777" w:rsidR="006443F9" w:rsidRPr="006443F9" w:rsidRDefault="006443F9" w:rsidP="006443F9">
      <w:pPr>
        <w:numPr>
          <w:ilvl w:val="1"/>
          <w:numId w:val="2"/>
        </w:numPr>
        <w:shd w:val="clear" w:color="auto" w:fill="FFFFFF"/>
        <w:spacing w:before="100" w:beforeAutospacing="1" w:after="100" w:afterAutospacing="1" w:line="240" w:lineRule="auto"/>
        <w:rPr>
          <w:rFonts w:eastAsia="Times New Roman" w:cstheme="minorHAnsi"/>
          <w:color w:val="111111"/>
          <w:sz w:val="24"/>
          <w:szCs w:val="24"/>
          <w:lang w:eastAsia="en-PH"/>
        </w:rPr>
      </w:pPr>
      <w:r w:rsidRPr="006443F9">
        <w:rPr>
          <w:rFonts w:eastAsia="Times New Roman" w:cstheme="minorHAnsi"/>
          <w:color w:val="111111"/>
          <w:sz w:val="24"/>
          <w:szCs w:val="24"/>
          <w:lang w:eastAsia="en-PH"/>
        </w:rPr>
        <w:t>It compares these percentages to the respective countries’ </w:t>
      </w:r>
      <w:r w:rsidRPr="006443F9">
        <w:rPr>
          <w:rFonts w:eastAsia="Times New Roman" w:cstheme="minorHAnsi"/>
          <w:b/>
          <w:bCs/>
          <w:color w:val="111111"/>
          <w:sz w:val="24"/>
          <w:szCs w:val="24"/>
          <w:lang w:eastAsia="en-PH"/>
        </w:rPr>
        <w:t>nominal GDP</w:t>
      </w:r>
      <w:r w:rsidRPr="006443F9">
        <w:rPr>
          <w:rFonts w:eastAsia="Times New Roman" w:cstheme="minorHAnsi"/>
          <w:color w:val="111111"/>
          <w:sz w:val="24"/>
          <w:szCs w:val="24"/>
          <w:lang w:eastAsia="en-PH"/>
        </w:rPr>
        <w:t> (Gross Domestic Product).</w:t>
      </w:r>
    </w:p>
    <w:p w14:paraId="51C5D556" w14:textId="77777777" w:rsidR="006443F9" w:rsidRPr="006443F9" w:rsidRDefault="006443F9" w:rsidP="006443F9">
      <w:pPr>
        <w:numPr>
          <w:ilvl w:val="0"/>
          <w:numId w:val="2"/>
        </w:numPr>
        <w:shd w:val="clear" w:color="auto" w:fill="FFFFFF"/>
        <w:spacing w:after="0" w:line="240" w:lineRule="auto"/>
        <w:rPr>
          <w:rFonts w:eastAsia="Times New Roman" w:cstheme="minorHAnsi"/>
          <w:color w:val="111111"/>
          <w:sz w:val="24"/>
          <w:szCs w:val="24"/>
          <w:lang w:eastAsia="en-PH"/>
        </w:rPr>
      </w:pPr>
      <w:r w:rsidRPr="006443F9">
        <w:rPr>
          <w:rFonts w:eastAsia="Times New Roman" w:cstheme="minorHAnsi"/>
          <w:b/>
          <w:bCs/>
          <w:color w:val="111111"/>
          <w:sz w:val="24"/>
          <w:szCs w:val="24"/>
          <w:lang w:eastAsia="en-PH"/>
        </w:rPr>
        <w:t>Countries Included</w:t>
      </w:r>
      <w:r w:rsidRPr="006443F9">
        <w:rPr>
          <w:rFonts w:eastAsia="Times New Roman" w:cstheme="minorHAnsi"/>
          <w:color w:val="111111"/>
          <w:sz w:val="24"/>
          <w:szCs w:val="24"/>
          <w:lang w:eastAsia="en-PH"/>
        </w:rPr>
        <w:t>:</w:t>
      </w:r>
    </w:p>
    <w:p w14:paraId="2D96371C" w14:textId="77777777" w:rsidR="006443F9" w:rsidRPr="006443F9" w:rsidRDefault="006443F9" w:rsidP="006443F9">
      <w:pPr>
        <w:numPr>
          <w:ilvl w:val="1"/>
          <w:numId w:val="2"/>
        </w:numPr>
        <w:shd w:val="clear" w:color="auto" w:fill="FFFFFF"/>
        <w:spacing w:before="100" w:beforeAutospacing="1" w:after="100" w:afterAutospacing="1" w:line="240" w:lineRule="auto"/>
        <w:rPr>
          <w:rFonts w:eastAsia="Times New Roman" w:cstheme="minorHAnsi"/>
          <w:color w:val="111111"/>
          <w:sz w:val="24"/>
          <w:szCs w:val="24"/>
          <w:lang w:eastAsia="en-PH"/>
        </w:rPr>
      </w:pPr>
      <w:r w:rsidRPr="006443F9">
        <w:rPr>
          <w:rFonts w:eastAsia="Times New Roman" w:cstheme="minorHAnsi"/>
          <w:color w:val="111111"/>
          <w:sz w:val="24"/>
          <w:szCs w:val="24"/>
          <w:lang w:eastAsia="en-PH"/>
        </w:rPr>
        <w:t>The countries listed on the graph, from left to right, are:</w:t>
      </w:r>
    </w:p>
    <w:p w14:paraId="76CCF21A" w14:textId="77777777" w:rsidR="006443F9" w:rsidRPr="006443F9" w:rsidRDefault="006443F9" w:rsidP="006443F9">
      <w:pPr>
        <w:numPr>
          <w:ilvl w:val="2"/>
          <w:numId w:val="2"/>
        </w:numPr>
        <w:shd w:val="clear" w:color="auto" w:fill="FFFFFF"/>
        <w:spacing w:before="100" w:beforeAutospacing="1" w:after="100" w:afterAutospacing="1" w:line="240" w:lineRule="auto"/>
        <w:rPr>
          <w:rFonts w:eastAsia="Times New Roman" w:cstheme="minorHAnsi"/>
          <w:color w:val="111111"/>
          <w:sz w:val="24"/>
          <w:szCs w:val="24"/>
          <w:lang w:eastAsia="en-PH"/>
        </w:rPr>
      </w:pPr>
      <w:r w:rsidRPr="006443F9">
        <w:rPr>
          <w:rFonts w:eastAsia="Times New Roman" w:cstheme="minorHAnsi"/>
          <w:color w:val="111111"/>
          <w:sz w:val="24"/>
          <w:szCs w:val="24"/>
          <w:lang w:eastAsia="en-PH"/>
        </w:rPr>
        <w:t>Canada</w:t>
      </w:r>
    </w:p>
    <w:p w14:paraId="2F70D3D8" w14:textId="77777777" w:rsidR="006443F9" w:rsidRPr="006443F9" w:rsidRDefault="006443F9" w:rsidP="006443F9">
      <w:pPr>
        <w:numPr>
          <w:ilvl w:val="2"/>
          <w:numId w:val="2"/>
        </w:numPr>
        <w:shd w:val="clear" w:color="auto" w:fill="FFFFFF"/>
        <w:spacing w:before="100" w:beforeAutospacing="1" w:after="100" w:afterAutospacing="1" w:line="240" w:lineRule="auto"/>
        <w:rPr>
          <w:rFonts w:eastAsia="Times New Roman" w:cstheme="minorHAnsi"/>
          <w:color w:val="111111"/>
          <w:sz w:val="24"/>
          <w:szCs w:val="24"/>
          <w:lang w:eastAsia="en-PH"/>
        </w:rPr>
      </w:pPr>
      <w:r w:rsidRPr="006443F9">
        <w:rPr>
          <w:rFonts w:eastAsia="Times New Roman" w:cstheme="minorHAnsi"/>
          <w:color w:val="111111"/>
          <w:sz w:val="24"/>
          <w:szCs w:val="24"/>
          <w:lang w:eastAsia="en-PH"/>
        </w:rPr>
        <w:t>Australia</w:t>
      </w:r>
    </w:p>
    <w:p w14:paraId="167BDDD0" w14:textId="77777777" w:rsidR="006443F9" w:rsidRPr="006443F9" w:rsidRDefault="006443F9" w:rsidP="006443F9">
      <w:pPr>
        <w:numPr>
          <w:ilvl w:val="2"/>
          <w:numId w:val="2"/>
        </w:numPr>
        <w:shd w:val="clear" w:color="auto" w:fill="FFFFFF"/>
        <w:spacing w:before="100" w:beforeAutospacing="1" w:after="100" w:afterAutospacing="1" w:line="240" w:lineRule="auto"/>
        <w:rPr>
          <w:rFonts w:eastAsia="Times New Roman" w:cstheme="minorHAnsi"/>
          <w:color w:val="111111"/>
          <w:sz w:val="24"/>
          <w:szCs w:val="24"/>
          <w:lang w:eastAsia="en-PH"/>
        </w:rPr>
      </w:pPr>
      <w:r w:rsidRPr="006443F9">
        <w:rPr>
          <w:rFonts w:eastAsia="Times New Roman" w:cstheme="minorHAnsi"/>
          <w:color w:val="111111"/>
          <w:sz w:val="24"/>
          <w:szCs w:val="24"/>
          <w:lang w:eastAsia="en-PH"/>
        </w:rPr>
        <w:t>New Zealand</w:t>
      </w:r>
    </w:p>
    <w:p w14:paraId="28F92DF6" w14:textId="77777777" w:rsidR="006443F9" w:rsidRPr="006443F9" w:rsidRDefault="006443F9" w:rsidP="006443F9">
      <w:pPr>
        <w:numPr>
          <w:ilvl w:val="2"/>
          <w:numId w:val="2"/>
        </w:numPr>
        <w:shd w:val="clear" w:color="auto" w:fill="FFFFFF"/>
        <w:spacing w:before="100" w:beforeAutospacing="1" w:after="100" w:afterAutospacing="1" w:line="240" w:lineRule="auto"/>
        <w:rPr>
          <w:rFonts w:eastAsia="Times New Roman" w:cstheme="minorHAnsi"/>
          <w:color w:val="111111"/>
          <w:sz w:val="24"/>
          <w:szCs w:val="24"/>
          <w:lang w:eastAsia="en-PH"/>
        </w:rPr>
      </w:pPr>
      <w:r w:rsidRPr="006443F9">
        <w:rPr>
          <w:rFonts w:eastAsia="Times New Roman" w:cstheme="minorHAnsi"/>
          <w:color w:val="111111"/>
          <w:sz w:val="24"/>
          <w:szCs w:val="24"/>
          <w:lang w:eastAsia="en-PH"/>
        </w:rPr>
        <w:t>Switzerland</w:t>
      </w:r>
    </w:p>
    <w:p w14:paraId="7A64EF16" w14:textId="77777777" w:rsidR="006443F9" w:rsidRPr="006443F9" w:rsidRDefault="006443F9" w:rsidP="006443F9">
      <w:pPr>
        <w:numPr>
          <w:ilvl w:val="2"/>
          <w:numId w:val="2"/>
        </w:numPr>
        <w:shd w:val="clear" w:color="auto" w:fill="FFFFFF"/>
        <w:spacing w:before="100" w:beforeAutospacing="1" w:after="100" w:afterAutospacing="1" w:line="240" w:lineRule="auto"/>
        <w:rPr>
          <w:rFonts w:eastAsia="Times New Roman" w:cstheme="minorHAnsi"/>
          <w:color w:val="111111"/>
          <w:sz w:val="24"/>
          <w:szCs w:val="24"/>
          <w:lang w:eastAsia="en-PH"/>
        </w:rPr>
      </w:pPr>
      <w:r w:rsidRPr="006443F9">
        <w:rPr>
          <w:rFonts w:eastAsia="Times New Roman" w:cstheme="minorHAnsi"/>
          <w:color w:val="111111"/>
          <w:sz w:val="24"/>
          <w:szCs w:val="24"/>
          <w:lang w:eastAsia="en-PH"/>
        </w:rPr>
        <w:t>Sweden</w:t>
      </w:r>
    </w:p>
    <w:p w14:paraId="0D350C17" w14:textId="77777777" w:rsidR="006443F9" w:rsidRPr="006443F9" w:rsidRDefault="006443F9" w:rsidP="006443F9">
      <w:pPr>
        <w:numPr>
          <w:ilvl w:val="2"/>
          <w:numId w:val="2"/>
        </w:numPr>
        <w:shd w:val="clear" w:color="auto" w:fill="FFFFFF"/>
        <w:spacing w:before="100" w:beforeAutospacing="1" w:after="100" w:afterAutospacing="1" w:line="240" w:lineRule="auto"/>
        <w:rPr>
          <w:rFonts w:eastAsia="Times New Roman" w:cstheme="minorHAnsi"/>
          <w:color w:val="111111"/>
          <w:sz w:val="24"/>
          <w:szCs w:val="24"/>
          <w:lang w:eastAsia="en-PH"/>
        </w:rPr>
      </w:pPr>
      <w:r w:rsidRPr="006443F9">
        <w:rPr>
          <w:rFonts w:eastAsia="Times New Roman" w:cstheme="minorHAnsi"/>
          <w:color w:val="111111"/>
          <w:sz w:val="24"/>
          <w:szCs w:val="24"/>
          <w:lang w:eastAsia="en-PH"/>
        </w:rPr>
        <w:t>Norway</w:t>
      </w:r>
    </w:p>
    <w:p w14:paraId="471D93D0" w14:textId="77777777" w:rsidR="006443F9" w:rsidRPr="006443F9" w:rsidRDefault="006443F9" w:rsidP="006443F9">
      <w:pPr>
        <w:numPr>
          <w:ilvl w:val="2"/>
          <w:numId w:val="2"/>
        </w:numPr>
        <w:shd w:val="clear" w:color="auto" w:fill="FFFFFF"/>
        <w:spacing w:before="100" w:beforeAutospacing="1" w:after="100" w:afterAutospacing="1" w:line="240" w:lineRule="auto"/>
        <w:rPr>
          <w:rFonts w:eastAsia="Times New Roman" w:cstheme="minorHAnsi"/>
          <w:color w:val="111111"/>
          <w:sz w:val="24"/>
          <w:szCs w:val="24"/>
          <w:lang w:eastAsia="en-PH"/>
        </w:rPr>
      </w:pPr>
      <w:r w:rsidRPr="006443F9">
        <w:rPr>
          <w:rFonts w:eastAsia="Times New Roman" w:cstheme="minorHAnsi"/>
          <w:color w:val="111111"/>
          <w:sz w:val="24"/>
          <w:szCs w:val="24"/>
          <w:lang w:eastAsia="en-PH"/>
        </w:rPr>
        <w:t>Denmark</w:t>
      </w:r>
    </w:p>
    <w:p w14:paraId="54BC7B03" w14:textId="77777777" w:rsidR="006443F9" w:rsidRPr="006443F9" w:rsidRDefault="006443F9" w:rsidP="006443F9">
      <w:pPr>
        <w:numPr>
          <w:ilvl w:val="2"/>
          <w:numId w:val="2"/>
        </w:numPr>
        <w:shd w:val="clear" w:color="auto" w:fill="FFFFFF"/>
        <w:spacing w:before="100" w:beforeAutospacing="1" w:after="100" w:afterAutospacing="1" w:line="240" w:lineRule="auto"/>
        <w:rPr>
          <w:rFonts w:eastAsia="Times New Roman" w:cstheme="minorHAnsi"/>
          <w:color w:val="111111"/>
          <w:sz w:val="24"/>
          <w:szCs w:val="24"/>
          <w:lang w:eastAsia="en-PH"/>
        </w:rPr>
      </w:pPr>
      <w:r w:rsidRPr="006443F9">
        <w:rPr>
          <w:rFonts w:eastAsia="Times New Roman" w:cstheme="minorHAnsi"/>
          <w:color w:val="111111"/>
          <w:sz w:val="24"/>
          <w:szCs w:val="24"/>
          <w:lang w:eastAsia="en-PH"/>
        </w:rPr>
        <w:t>United Kingdom</w:t>
      </w:r>
    </w:p>
    <w:p w14:paraId="5DC803DF" w14:textId="77777777" w:rsidR="006443F9" w:rsidRPr="006443F9" w:rsidRDefault="006443F9" w:rsidP="006443F9">
      <w:pPr>
        <w:numPr>
          <w:ilvl w:val="2"/>
          <w:numId w:val="2"/>
        </w:numPr>
        <w:shd w:val="clear" w:color="auto" w:fill="FFFFFF"/>
        <w:spacing w:before="100" w:beforeAutospacing="1" w:after="100" w:afterAutospacing="1" w:line="240" w:lineRule="auto"/>
        <w:rPr>
          <w:rFonts w:eastAsia="Times New Roman" w:cstheme="minorHAnsi"/>
          <w:color w:val="111111"/>
          <w:sz w:val="24"/>
          <w:szCs w:val="24"/>
          <w:lang w:eastAsia="en-PH"/>
        </w:rPr>
      </w:pPr>
      <w:r w:rsidRPr="006443F9">
        <w:rPr>
          <w:rFonts w:eastAsia="Times New Roman" w:cstheme="minorHAnsi"/>
          <w:color w:val="111111"/>
          <w:sz w:val="24"/>
          <w:szCs w:val="24"/>
          <w:lang w:eastAsia="en-PH"/>
        </w:rPr>
        <w:lastRenderedPageBreak/>
        <w:t>United States</w:t>
      </w:r>
    </w:p>
    <w:p w14:paraId="5D495D6C" w14:textId="77777777" w:rsidR="006443F9" w:rsidRPr="006443F9" w:rsidRDefault="006443F9" w:rsidP="006443F9">
      <w:pPr>
        <w:numPr>
          <w:ilvl w:val="2"/>
          <w:numId w:val="2"/>
        </w:numPr>
        <w:shd w:val="clear" w:color="auto" w:fill="FFFFFF"/>
        <w:spacing w:before="100" w:beforeAutospacing="1" w:after="100" w:afterAutospacing="1" w:line="240" w:lineRule="auto"/>
        <w:rPr>
          <w:rFonts w:eastAsia="Times New Roman" w:cstheme="minorHAnsi"/>
          <w:color w:val="111111"/>
          <w:sz w:val="24"/>
          <w:szCs w:val="24"/>
          <w:lang w:eastAsia="en-PH"/>
        </w:rPr>
      </w:pPr>
      <w:r w:rsidRPr="006443F9">
        <w:rPr>
          <w:rFonts w:eastAsia="Times New Roman" w:cstheme="minorHAnsi"/>
          <w:color w:val="111111"/>
          <w:sz w:val="24"/>
          <w:szCs w:val="24"/>
          <w:lang w:eastAsia="en-PH"/>
        </w:rPr>
        <w:t>Euro area</w:t>
      </w:r>
    </w:p>
    <w:p w14:paraId="6291E926" w14:textId="77777777" w:rsidR="006443F9" w:rsidRPr="006443F9" w:rsidRDefault="006443F9" w:rsidP="006443F9">
      <w:pPr>
        <w:numPr>
          <w:ilvl w:val="2"/>
          <w:numId w:val="2"/>
        </w:numPr>
        <w:shd w:val="clear" w:color="auto" w:fill="FFFFFF"/>
        <w:spacing w:before="100" w:beforeAutospacing="1" w:after="100" w:afterAutospacing="1" w:line="240" w:lineRule="auto"/>
        <w:rPr>
          <w:rFonts w:eastAsia="Times New Roman" w:cstheme="minorHAnsi"/>
          <w:color w:val="111111"/>
          <w:sz w:val="24"/>
          <w:szCs w:val="24"/>
          <w:lang w:eastAsia="en-PH"/>
        </w:rPr>
      </w:pPr>
      <w:r w:rsidRPr="006443F9">
        <w:rPr>
          <w:rFonts w:eastAsia="Times New Roman" w:cstheme="minorHAnsi"/>
          <w:color w:val="111111"/>
          <w:sz w:val="24"/>
          <w:szCs w:val="24"/>
          <w:lang w:eastAsia="en-PH"/>
        </w:rPr>
        <w:t>Japan</w:t>
      </w:r>
    </w:p>
    <w:p w14:paraId="12AA4CBF" w14:textId="77777777" w:rsidR="006443F9" w:rsidRPr="006443F9" w:rsidRDefault="006443F9" w:rsidP="006443F9">
      <w:pPr>
        <w:numPr>
          <w:ilvl w:val="0"/>
          <w:numId w:val="2"/>
        </w:numPr>
        <w:shd w:val="clear" w:color="auto" w:fill="FFFFFF"/>
        <w:spacing w:after="0" w:line="240" w:lineRule="auto"/>
        <w:rPr>
          <w:rFonts w:eastAsia="Times New Roman" w:cstheme="minorHAnsi"/>
          <w:color w:val="111111"/>
          <w:sz w:val="24"/>
          <w:szCs w:val="24"/>
          <w:lang w:eastAsia="en-PH"/>
        </w:rPr>
      </w:pPr>
      <w:r w:rsidRPr="006443F9">
        <w:rPr>
          <w:rFonts w:eastAsia="Times New Roman" w:cstheme="minorHAnsi"/>
          <w:b/>
          <w:bCs/>
          <w:color w:val="111111"/>
          <w:sz w:val="24"/>
          <w:szCs w:val="24"/>
          <w:lang w:eastAsia="en-PH"/>
        </w:rPr>
        <w:t>Data Representation</w:t>
      </w:r>
      <w:r w:rsidRPr="006443F9">
        <w:rPr>
          <w:rFonts w:eastAsia="Times New Roman" w:cstheme="minorHAnsi"/>
          <w:color w:val="111111"/>
          <w:sz w:val="24"/>
          <w:szCs w:val="24"/>
          <w:lang w:eastAsia="en-PH"/>
        </w:rPr>
        <w:t>:</w:t>
      </w:r>
    </w:p>
    <w:p w14:paraId="2A4EEB1E" w14:textId="77777777" w:rsidR="006443F9" w:rsidRPr="006443F9" w:rsidRDefault="006443F9" w:rsidP="006443F9">
      <w:pPr>
        <w:numPr>
          <w:ilvl w:val="1"/>
          <w:numId w:val="2"/>
        </w:numPr>
        <w:shd w:val="clear" w:color="auto" w:fill="FFFFFF"/>
        <w:spacing w:before="100" w:beforeAutospacing="1" w:after="100" w:afterAutospacing="1" w:line="240" w:lineRule="auto"/>
        <w:rPr>
          <w:rFonts w:eastAsia="Times New Roman" w:cstheme="minorHAnsi"/>
          <w:color w:val="111111"/>
          <w:sz w:val="24"/>
          <w:szCs w:val="24"/>
          <w:lang w:eastAsia="en-PH"/>
        </w:rPr>
      </w:pPr>
      <w:r w:rsidRPr="006443F9">
        <w:rPr>
          <w:rFonts w:eastAsia="Times New Roman" w:cstheme="minorHAnsi"/>
          <w:color w:val="111111"/>
          <w:sz w:val="24"/>
          <w:szCs w:val="24"/>
          <w:lang w:eastAsia="en-PH"/>
        </w:rPr>
        <w:t>The blue bars represent </w:t>
      </w:r>
      <w:r w:rsidRPr="006443F9">
        <w:rPr>
          <w:rFonts w:eastAsia="Times New Roman" w:cstheme="minorHAnsi"/>
          <w:b/>
          <w:bCs/>
          <w:color w:val="111111"/>
          <w:sz w:val="24"/>
          <w:szCs w:val="24"/>
          <w:lang w:eastAsia="en-PH"/>
        </w:rPr>
        <w:t>central bank assets</w:t>
      </w:r>
      <w:r w:rsidRPr="006443F9">
        <w:rPr>
          <w:rFonts w:eastAsia="Times New Roman" w:cstheme="minorHAnsi"/>
          <w:color w:val="111111"/>
          <w:sz w:val="24"/>
          <w:szCs w:val="24"/>
          <w:lang w:eastAsia="en-PH"/>
        </w:rPr>
        <w:t> as a percentage of nominal GDP.</w:t>
      </w:r>
    </w:p>
    <w:p w14:paraId="309EAC6D" w14:textId="77777777" w:rsidR="006443F9" w:rsidRPr="006443F9" w:rsidRDefault="006443F9" w:rsidP="006443F9">
      <w:pPr>
        <w:numPr>
          <w:ilvl w:val="1"/>
          <w:numId w:val="2"/>
        </w:numPr>
        <w:shd w:val="clear" w:color="auto" w:fill="FFFFFF"/>
        <w:spacing w:before="100" w:beforeAutospacing="1" w:after="100" w:afterAutospacing="1" w:line="240" w:lineRule="auto"/>
        <w:rPr>
          <w:rFonts w:eastAsia="Times New Roman" w:cstheme="minorHAnsi"/>
          <w:color w:val="111111"/>
          <w:sz w:val="24"/>
          <w:szCs w:val="24"/>
          <w:lang w:eastAsia="en-PH"/>
        </w:rPr>
      </w:pPr>
      <w:r w:rsidRPr="006443F9">
        <w:rPr>
          <w:rFonts w:eastAsia="Times New Roman" w:cstheme="minorHAnsi"/>
          <w:color w:val="111111"/>
          <w:sz w:val="24"/>
          <w:szCs w:val="24"/>
          <w:lang w:eastAsia="en-PH"/>
        </w:rPr>
        <w:t>The red bars represent </w:t>
      </w:r>
      <w:r w:rsidRPr="006443F9">
        <w:rPr>
          <w:rFonts w:eastAsia="Times New Roman" w:cstheme="minorHAnsi"/>
          <w:b/>
          <w:bCs/>
          <w:color w:val="111111"/>
          <w:sz w:val="24"/>
          <w:szCs w:val="24"/>
          <w:lang w:eastAsia="en-PH"/>
        </w:rPr>
        <w:t>bank deposits</w:t>
      </w:r>
      <w:r w:rsidRPr="006443F9">
        <w:rPr>
          <w:rFonts w:eastAsia="Times New Roman" w:cstheme="minorHAnsi"/>
          <w:color w:val="111111"/>
          <w:sz w:val="24"/>
          <w:szCs w:val="24"/>
          <w:lang w:eastAsia="en-PH"/>
        </w:rPr>
        <w:t> as a percentage of nominal GDP.</w:t>
      </w:r>
    </w:p>
    <w:p w14:paraId="524992DC" w14:textId="77777777" w:rsidR="006443F9" w:rsidRPr="006443F9" w:rsidRDefault="006443F9" w:rsidP="006443F9">
      <w:pPr>
        <w:numPr>
          <w:ilvl w:val="0"/>
          <w:numId w:val="2"/>
        </w:numPr>
        <w:shd w:val="clear" w:color="auto" w:fill="FFFFFF"/>
        <w:spacing w:after="0" w:line="240" w:lineRule="auto"/>
        <w:rPr>
          <w:rFonts w:eastAsia="Times New Roman" w:cstheme="minorHAnsi"/>
          <w:color w:val="111111"/>
          <w:sz w:val="24"/>
          <w:szCs w:val="24"/>
          <w:lang w:eastAsia="en-PH"/>
        </w:rPr>
      </w:pPr>
      <w:r w:rsidRPr="006443F9">
        <w:rPr>
          <w:rFonts w:eastAsia="Times New Roman" w:cstheme="minorHAnsi"/>
          <w:b/>
          <w:bCs/>
          <w:color w:val="111111"/>
          <w:sz w:val="24"/>
          <w:szCs w:val="24"/>
          <w:lang w:eastAsia="en-PH"/>
        </w:rPr>
        <w:t>Noteworthy Observations</w:t>
      </w:r>
      <w:r w:rsidRPr="006443F9">
        <w:rPr>
          <w:rFonts w:eastAsia="Times New Roman" w:cstheme="minorHAnsi"/>
          <w:color w:val="111111"/>
          <w:sz w:val="24"/>
          <w:szCs w:val="24"/>
          <w:lang w:eastAsia="en-PH"/>
        </w:rPr>
        <w:t>:</w:t>
      </w:r>
    </w:p>
    <w:p w14:paraId="6B93E3C7" w14:textId="77777777" w:rsidR="006443F9" w:rsidRPr="006443F9" w:rsidRDefault="006443F9" w:rsidP="006443F9">
      <w:pPr>
        <w:numPr>
          <w:ilvl w:val="1"/>
          <w:numId w:val="2"/>
        </w:numPr>
        <w:shd w:val="clear" w:color="auto" w:fill="FFFFFF"/>
        <w:spacing w:before="100" w:beforeAutospacing="1" w:after="100" w:afterAutospacing="1" w:line="240" w:lineRule="auto"/>
        <w:rPr>
          <w:rFonts w:eastAsia="Times New Roman" w:cstheme="minorHAnsi"/>
          <w:color w:val="111111"/>
          <w:sz w:val="24"/>
          <w:szCs w:val="24"/>
          <w:lang w:eastAsia="en-PH"/>
        </w:rPr>
      </w:pPr>
      <w:r w:rsidRPr="006443F9">
        <w:rPr>
          <w:rFonts w:eastAsia="Times New Roman" w:cstheme="minorHAnsi"/>
          <w:b/>
          <w:bCs/>
          <w:color w:val="111111"/>
          <w:sz w:val="24"/>
          <w:szCs w:val="24"/>
          <w:lang w:eastAsia="en-PH"/>
        </w:rPr>
        <w:t>Japan</w:t>
      </w:r>
      <w:r w:rsidRPr="006443F9">
        <w:rPr>
          <w:rFonts w:eastAsia="Times New Roman" w:cstheme="minorHAnsi"/>
          <w:color w:val="111111"/>
          <w:sz w:val="24"/>
          <w:szCs w:val="24"/>
          <w:lang w:eastAsia="en-PH"/>
        </w:rPr>
        <w:t> stands out significantly:</w:t>
      </w:r>
    </w:p>
    <w:p w14:paraId="23962BAD" w14:textId="77777777" w:rsidR="006443F9" w:rsidRPr="006443F9" w:rsidRDefault="006443F9" w:rsidP="006443F9">
      <w:pPr>
        <w:numPr>
          <w:ilvl w:val="2"/>
          <w:numId w:val="2"/>
        </w:numPr>
        <w:shd w:val="clear" w:color="auto" w:fill="FFFFFF"/>
        <w:spacing w:before="100" w:beforeAutospacing="1" w:after="100" w:afterAutospacing="1" w:line="240" w:lineRule="auto"/>
        <w:rPr>
          <w:rFonts w:eastAsia="Times New Roman" w:cstheme="minorHAnsi"/>
          <w:color w:val="111111"/>
          <w:sz w:val="24"/>
          <w:szCs w:val="24"/>
          <w:lang w:eastAsia="en-PH"/>
        </w:rPr>
      </w:pPr>
      <w:r w:rsidRPr="006443F9">
        <w:rPr>
          <w:rFonts w:eastAsia="Times New Roman" w:cstheme="minorHAnsi"/>
          <w:color w:val="111111"/>
          <w:sz w:val="24"/>
          <w:szCs w:val="24"/>
          <w:lang w:eastAsia="en-PH"/>
        </w:rPr>
        <w:t>Its central bank assets are exceptionally high compared to other countries.</w:t>
      </w:r>
    </w:p>
    <w:p w14:paraId="5316525B" w14:textId="77777777" w:rsidR="006443F9" w:rsidRPr="006443F9" w:rsidRDefault="006443F9" w:rsidP="006443F9">
      <w:pPr>
        <w:numPr>
          <w:ilvl w:val="2"/>
          <w:numId w:val="2"/>
        </w:numPr>
        <w:shd w:val="clear" w:color="auto" w:fill="FFFFFF"/>
        <w:spacing w:before="100" w:beforeAutospacing="1" w:after="100" w:afterAutospacing="1" w:line="240" w:lineRule="auto"/>
        <w:rPr>
          <w:rFonts w:eastAsia="Times New Roman" w:cstheme="minorHAnsi"/>
          <w:color w:val="111111"/>
          <w:sz w:val="24"/>
          <w:szCs w:val="24"/>
          <w:lang w:eastAsia="en-PH"/>
        </w:rPr>
      </w:pPr>
      <w:r w:rsidRPr="006443F9">
        <w:rPr>
          <w:rFonts w:eastAsia="Times New Roman" w:cstheme="minorHAnsi"/>
          <w:color w:val="111111"/>
          <w:sz w:val="24"/>
          <w:szCs w:val="24"/>
          <w:lang w:eastAsia="en-PH"/>
        </w:rPr>
        <w:t>The percentage of central bank assets in Japan exceeds </w:t>
      </w:r>
      <w:r w:rsidRPr="006443F9">
        <w:rPr>
          <w:rFonts w:eastAsia="Times New Roman" w:cstheme="minorHAnsi"/>
          <w:b/>
          <w:bCs/>
          <w:color w:val="111111"/>
          <w:sz w:val="24"/>
          <w:szCs w:val="24"/>
          <w:lang w:eastAsia="en-PH"/>
        </w:rPr>
        <w:t>200%</w:t>
      </w:r>
      <w:r w:rsidRPr="006443F9">
        <w:rPr>
          <w:rFonts w:eastAsia="Times New Roman" w:cstheme="minorHAnsi"/>
          <w:color w:val="111111"/>
          <w:sz w:val="24"/>
          <w:szCs w:val="24"/>
          <w:lang w:eastAsia="en-PH"/>
        </w:rPr>
        <w:t> of its nominal GDP.</w:t>
      </w:r>
    </w:p>
    <w:p w14:paraId="1A6243FA" w14:textId="77777777" w:rsidR="006443F9" w:rsidRPr="006443F9" w:rsidRDefault="006443F9" w:rsidP="006443F9">
      <w:pPr>
        <w:numPr>
          <w:ilvl w:val="1"/>
          <w:numId w:val="2"/>
        </w:numPr>
        <w:shd w:val="clear" w:color="auto" w:fill="FFFFFF"/>
        <w:spacing w:before="100" w:beforeAutospacing="1" w:after="100" w:afterAutospacing="1" w:line="240" w:lineRule="auto"/>
        <w:rPr>
          <w:rFonts w:eastAsia="Times New Roman" w:cstheme="minorHAnsi"/>
          <w:color w:val="111111"/>
          <w:sz w:val="24"/>
          <w:szCs w:val="24"/>
          <w:lang w:eastAsia="en-PH"/>
        </w:rPr>
      </w:pPr>
      <w:r w:rsidRPr="006443F9">
        <w:rPr>
          <w:rFonts w:eastAsia="Times New Roman" w:cstheme="minorHAnsi"/>
          <w:color w:val="111111"/>
          <w:sz w:val="24"/>
          <w:szCs w:val="24"/>
          <w:lang w:eastAsia="en-PH"/>
        </w:rPr>
        <w:t>Other countries have varying levels of central bank assets and bank deposits relative to their GDP.</w:t>
      </w:r>
    </w:p>
    <w:p w14:paraId="46D69C45" w14:textId="77777777" w:rsidR="006443F9" w:rsidRPr="006443F9" w:rsidRDefault="006443F9" w:rsidP="006443F9">
      <w:pPr>
        <w:numPr>
          <w:ilvl w:val="0"/>
          <w:numId w:val="2"/>
        </w:numPr>
        <w:shd w:val="clear" w:color="auto" w:fill="FFFFFF"/>
        <w:spacing w:after="0" w:line="240" w:lineRule="auto"/>
        <w:rPr>
          <w:rFonts w:eastAsia="Times New Roman" w:cstheme="minorHAnsi"/>
          <w:color w:val="111111"/>
          <w:sz w:val="24"/>
          <w:szCs w:val="24"/>
          <w:lang w:eastAsia="en-PH"/>
        </w:rPr>
      </w:pPr>
      <w:r w:rsidRPr="006443F9">
        <w:rPr>
          <w:rFonts w:eastAsia="Times New Roman" w:cstheme="minorHAnsi"/>
          <w:b/>
          <w:bCs/>
          <w:color w:val="111111"/>
          <w:sz w:val="24"/>
          <w:szCs w:val="24"/>
          <w:lang w:eastAsia="en-PH"/>
        </w:rPr>
        <w:t>Additional Notes</w:t>
      </w:r>
      <w:r w:rsidRPr="006443F9">
        <w:rPr>
          <w:rFonts w:eastAsia="Times New Roman" w:cstheme="minorHAnsi"/>
          <w:color w:val="111111"/>
          <w:sz w:val="24"/>
          <w:szCs w:val="24"/>
          <w:lang w:eastAsia="en-PH"/>
        </w:rPr>
        <w:t>:</w:t>
      </w:r>
    </w:p>
    <w:p w14:paraId="3235E3BA" w14:textId="77777777" w:rsidR="006443F9" w:rsidRPr="006443F9" w:rsidRDefault="006443F9" w:rsidP="006443F9">
      <w:pPr>
        <w:numPr>
          <w:ilvl w:val="1"/>
          <w:numId w:val="2"/>
        </w:numPr>
        <w:shd w:val="clear" w:color="auto" w:fill="FFFFFF"/>
        <w:spacing w:before="100" w:beforeAutospacing="1" w:after="100" w:afterAutospacing="1" w:line="240" w:lineRule="auto"/>
        <w:rPr>
          <w:rFonts w:eastAsia="Times New Roman" w:cstheme="minorHAnsi"/>
          <w:color w:val="111111"/>
          <w:sz w:val="24"/>
          <w:szCs w:val="24"/>
          <w:lang w:eastAsia="en-PH"/>
        </w:rPr>
      </w:pPr>
      <w:r w:rsidRPr="006443F9">
        <w:rPr>
          <w:rFonts w:eastAsia="Times New Roman" w:cstheme="minorHAnsi"/>
          <w:color w:val="111111"/>
          <w:sz w:val="24"/>
          <w:szCs w:val="24"/>
          <w:lang w:eastAsia="en-PH"/>
        </w:rPr>
        <w:t>The graph includes </w:t>
      </w:r>
      <w:r w:rsidRPr="006443F9">
        <w:rPr>
          <w:rFonts w:eastAsia="Times New Roman" w:cstheme="minorHAnsi"/>
          <w:b/>
          <w:bCs/>
          <w:color w:val="111111"/>
          <w:sz w:val="24"/>
          <w:szCs w:val="24"/>
          <w:lang w:eastAsia="en-PH"/>
        </w:rPr>
        <w:t>deposit-like products</w:t>
      </w:r>
      <w:r w:rsidRPr="006443F9">
        <w:rPr>
          <w:rFonts w:eastAsia="Times New Roman" w:cstheme="minorHAnsi"/>
          <w:color w:val="111111"/>
          <w:sz w:val="24"/>
          <w:szCs w:val="24"/>
          <w:lang w:eastAsia="en-PH"/>
        </w:rPr>
        <w:t> in the calculation of broad money.</w:t>
      </w:r>
    </w:p>
    <w:p w14:paraId="586E162F" w14:textId="56DC6E5B" w:rsidR="006443F9" w:rsidRDefault="006443F9" w:rsidP="006443F9">
      <w:pPr>
        <w:numPr>
          <w:ilvl w:val="1"/>
          <w:numId w:val="2"/>
        </w:numPr>
        <w:shd w:val="clear" w:color="auto" w:fill="FFFFFF"/>
        <w:spacing w:before="100" w:beforeAutospacing="1" w:after="100" w:afterAutospacing="1" w:line="240" w:lineRule="auto"/>
        <w:rPr>
          <w:rFonts w:eastAsia="Times New Roman" w:cstheme="minorHAnsi"/>
          <w:color w:val="111111"/>
          <w:sz w:val="24"/>
          <w:szCs w:val="24"/>
          <w:lang w:eastAsia="en-PH"/>
        </w:rPr>
      </w:pPr>
      <w:r w:rsidRPr="006443F9">
        <w:rPr>
          <w:rFonts w:eastAsia="Times New Roman" w:cstheme="minorHAnsi"/>
          <w:color w:val="111111"/>
          <w:sz w:val="24"/>
          <w:szCs w:val="24"/>
          <w:lang w:eastAsia="en-PH"/>
        </w:rPr>
        <w:t>Sources for the data include central banks, IFS, IMF, RBA, and Thomson Reuters.</w:t>
      </w:r>
    </w:p>
    <w:p w14:paraId="619CD1EB" w14:textId="2F22752D" w:rsidR="006443F9" w:rsidRPr="006443F9" w:rsidRDefault="006443F9" w:rsidP="006443F9">
      <w:pPr>
        <w:pStyle w:val="ListParagraph"/>
        <w:numPr>
          <w:ilvl w:val="0"/>
          <w:numId w:val="1"/>
        </w:numPr>
        <w:shd w:val="clear" w:color="auto" w:fill="FFFFFF"/>
        <w:spacing w:before="100" w:beforeAutospacing="1" w:after="100" w:afterAutospacing="1" w:line="240" w:lineRule="auto"/>
        <w:rPr>
          <w:rFonts w:eastAsia="Times New Roman" w:cstheme="minorHAnsi"/>
          <w:color w:val="111111"/>
          <w:sz w:val="24"/>
          <w:szCs w:val="24"/>
          <w:lang w:eastAsia="en-PH"/>
        </w:rPr>
      </w:pPr>
      <w:r>
        <w:rPr>
          <w:rFonts w:eastAsia="Times New Roman" w:cstheme="minorHAnsi"/>
          <w:b/>
          <w:bCs/>
          <w:color w:val="111111"/>
          <w:sz w:val="24"/>
          <w:szCs w:val="24"/>
          <w:lang w:eastAsia="en-PH"/>
        </w:rPr>
        <w:t>Fraud Detection</w:t>
      </w:r>
    </w:p>
    <w:p w14:paraId="57F6039B" w14:textId="12071833" w:rsidR="006443F9" w:rsidRDefault="006443F9" w:rsidP="006443F9">
      <w:pPr>
        <w:shd w:val="clear" w:color="auto" w:fill="FFFFFF"/>
        <w:spacing w:before="100" w:beforeAutospacing="1" w:after="100" w:afterAutospacing="1" w:line="240" w:lineRule="auto"/>
        <w:rPr>
          <w:rFonts w:eastAsia="Times New Roman" w:cstheme="minorHAnsi"/>
          <w:color w:val="111111"/>
          <w:sz w:val="24"/>
          <w:szCs w:val="24"/>
          <w:lang w:eastAsia="en-PH"/>
        </w:rPr>
      </w:pPr>
      <w:r w:rsidRPr="006443F9">
        <w:rPr>
          <w:rFonts w:eastAsia="Times New Roman" w:cstheme="minorHAnsi"/>
          <w:color w:val="111111"/>
          <w:sz w:val="24"/>
          <w:szCs w:val="24"/>
          <w:lang w:eastAsia="en-PH"/>
        </w:rPr>
        <w:t>Fraud detection analytics utilizes sophisticated algorithms and machine learning techniques to detect and deter fraudulent behaviors, including but not limited to credit card fraud, insurance scams, and cyberattacks. Through analyzing patterns and irregularities in transactional data, businesses can mitigate financial losses and uphold the trust of their clientele.</w:t>
      </w:r>
    </w:p>
    <w:p w14:paraId="35380DC2" w14:textId="14D5EEBA" w:rsidR="006443F9" w:rsidRDefault="006443F9" w:rsidP="006443F9">
      <w:pPr>
        <w:shd w:val="clear" w:color="auto" w:fill="FFFFFF"/>
        <w:spacing w:before="100" w:beforeAutospacing="1" w:after="100" w:afterAutospacing="1" w:line="240" w:lineRule="auto"/>
        <w:rPr>
          <w:rFonts w:eastAsia="Times New Roman" w:cstheme="minorHAnsi"/>
          <w:color w:val="111111"/>
          <w:sz w:val="24"/>
          <w:szCs w:val="24"/>
          <w:lang w:eastAsia="en-PH"/>
        </w:rPr>
      </w:pPr>
      <w:r>
        <w:rPr>
          <w:rFonts w:eastAsia="Times New Roman" w:cstheme="minorHAnsi"/>
          <w:color w:val="111111"/>
          <w:sz w:val="24"/>
          <w:szCs w:val="24"/>
          <w:lang w:eastAsia="en-PH"/>
        </w:rPr>
        <w:t>Example: Steps for detecting Frauds</w:t>
      </w:r>
    </w:p>
    <w:p w14:paraId="6E340778" w14:textId="378AD3AB" w:rsidR="006443F9" w:rsidRPr="006443F9" w:rsidRDefault="006443F9" w:rsidP="006443F9">
      <w:pPr>
        <w:shd w:val="clear" w:color="auto" w:fill="FFFFFF"/>
        <w:spacing w:before="100" w:beforeAutospacing="1" w:after="100" w:afterAutospacing="1" w:line="240" w:lineRule="auto"/>
        <w:rPr>
          <w:rFonts w:eastAsia="Times New Roman" w:cstheme="minorHAnsi"/>
          <w:color w:val="111111"/>
          <w:sz w:val="24"/>
          <w:szCs w:val="24"/>
          <w:lang w:eastAsia="en-PH"/>
        </w:rPr>
      </w:pPr>
      <w:r>
        <w:rPr>
          <w:rFonts w:eastAsia="Times New Roman" w:cstheme="minorHAnsi"/>
          <w:noProof/>
          <w:color w:val="111111"/>
          <w:sz w:val="24"/>
          <w:szCs w:val="24"/>
          <w:lang w:eastAsia="en-PH"/>
        </w:rPr>
        <w:drawing>
          <wp:inline distT="0" distB="0" distL="0" distR="0" wp14:anchorId="63E71472" wp14:editId="051CB2EA">
            <wp:extent cx="5943600" cy="3121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21660"/>
                    </a:xfrm>
                    <a:prstGeom prst="rect">
                      <a:avLst/>
                    </a:prstGeom>
                  </pic:spPr>
                </pic:pic>
              </a:graphicData>
            </a:graphic>
          </wp:inline>
        </w:drawing>
      </w:r>
    </w:p>
    <w:p w14:paraId="4D60FC35" w14:textId="351745A3" w:rsidR="006443F9" w:rsidRDefault="00D72121" w:rsidP="006443F9">
      <w:pPr>
        <w:spacing w:after="0"/>
        <w:jc w:val="both"/>
        <w:rPr>
          <w:lang w:val="en-US"/>
        </w:rPr>
      </w:pPr>
      <w:r w:rsidRPr="00D72121">
        <w:rPr>
          <w:lang w:val="en-US"/>
        </w:rPr>
        <w:lastRenderedPageBreak/>
        <w:t>The flowchart delineates the stages of a fraud detection mechanism, encompassing tasks from data recording and collection to surveillance and audit. Machine learning and AI technologies are pivotal in scrutinizing data and rendering decisions within this process.</w:t>
      </w:r>
    </w:p>
    <w:p w14:paraId="58D748FE" w14:textId="56181CC0" w:rsidR="00D72121" w:rsidRDefault="00D72121" w:rsidP="006443F9">
      <w:pPr>
        <w:spacing w:after="0"/>
        <w:jc w:val="both"/>
        <w:rPr>
          <w:lang w:val="en-US"/>
        </w:rPr>
      </w:pPr>
    </w:p>
    <w:p w14:paraId="7613E1D7" w14:textId="673F830E" w:rsidR="00D72121" w:rsidRPr="00D72121" w:rsidRDefault="00D72121" w:rsidP="00D72121">
      <w:pPr>
        <w:pStyle w:val="ListParagraph"/>
        <w:numPr>
          <w:ilvl w:val="0"/>
          <w:numId w:val="1"/>
        </w:numPr>
        <w:spacing w:after="0"/>
        <w:jc w:val="both"/>
        <w:rPr>
          <w:lang w:val="en-US"/>
        </w:rPr>
      </w:pPr>
      <w:r>
        <w:rPr>
          <w:b/>
          <w:bCs/>
          <w:lang w:val="en-US"/>
        </w:rPr>
        <w:t>Sentiment Analysis</w:t>
      </w:r>
    </w:p>
    <w:p w14:paraId="0A93A9C6" w14:textId="3206F284" w:rsidR="00D72121" w:rsidRDefault="00D72121" w:rsidP="00D72121">
      <w:pPr>
        <w:jc w:val="both"/>
      </w:pPr>
      <w:r w:rsidRPr="00D72121">
        <w:t>Sentiment analysis, also known as opinion mining, uses natural language processing and machine learning techniques to assess public sentiment and opinions from sources like social media, customer reviews, and surveys. Companies can gain insights into how their brand is perceived and use this information to shape marketing strategies and product development.</w:t>
      </w:r>
    </w:p>
    <w:p w14:paraId="4F927B02" w14:textId="2AD62B6C" w:rsidR="00D72121" w:rsidRDefault="00D72121" w:rsidP="00D72121">
      <w:pPr>
        <w:jc w:val="both"/>
      </w:pPr>
      <w:r>
        <w:t xml:space="preserve">Example: </w:t>
      </w:r>
    </w:p>
    <w:p w14:paraId="754C9184" w14:textId="789E2B86" w:rsidR="00D72121" w:rsidRPr="00D72121" w:rsidRDefault="00D72121" w:rsidP="00D72121">
      <w:pPr>
        <w:jc w:val="both"/>
      </w:pPr>
      <w:r>
        <w:rPr>
          <w:noProof/>
        </w:rPr>
        <w:drawing>
          <wp:anchor distT="0" distB="0" distL="114300" distR="114300" simplePos="0" relativeHeight="251659264" behindDoc="1" locked="0" layoutInCell="1" allowOverlap="1" wp14:anchorId="0EECEED0" wp14:editId="05731FB0">
            <wp:simplePos x="0" y="0"/>
            <wp:positionH relativeFrom="column">
              <wp:posOffset>0</wp:posOffset>
            </wp:positionH>
            <wp:positionV relativeFrom="paragraph">
              <wp:posOffset>1270</wp:posOffset>
            </wp:positionV>
            <wp:extent cx="3082925" cy="231140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082925" cy="2311400"/>
                    </a:xfrm>
                    <a:prstGeom prst="rect">
                      <a:avLst/>
                    </a:prstGeom>
                  </pic:spPr>
                </pic:pic>
              </a:graphicData>
            </a:graphic>
            <wp14:sizeRelH relativeFrom="page">
              <wp14:pctWidth>0</wp14:pctWidth>
            </wp14:sizeRelH>
            <wp14:sizeRelV relativeFrom="page">
              <wp14:pctHeight>0</wp14:pctHeight>
            </wp14:sizeRelV>
          </wp:anchor>
        </w:drawing>
      </w:r>
      <w:r w:rsidRPr="00D72121">
        <w:t>This image illustrates the critical aspects of customer sentiment towards the company, its applications, or services, aggregating feedback to help the company gain insights and identify areas for improvement.</w:t>
      </w:r>
    </w:p>
    <w:p w14:paraId="5531F7B1" w14:textId="6144651A" w:rsidR="006443F9" w:rsidRPr="006443F9" w:rsidRDefault="006443F9" w:rsidP="006443F9">
      <w:pPr>
        <w:spacing w:after="0"/>
        <w:jc w:val="both"/>
        <w:rPr>
          <w:b/>
          <w:bCs/>
          <w:lang w:val="en-US"/>
        </w:rPr>
      </w:pPr>
    </w:p>
    <w:p w14:paraId="601292AE" w14:textId="77777777" w:rsidR="006443F9" w:rsidRPr="002C6276" w:rsidRDefault="006443F9" w:rsidP="006443F9">
      <w:pPr>
        <w:spacing w:after="0"/>
        <w:jc w:val="both"/>
        <w:rPr>
          <w:lang w:val="en-US"/>
        </w:rPr>
      </w:pPr>
    </w:p>
    <w:p w14:paraId="403C5791" w14:textId="77777777" w:rsidR="002C6276" w:rsidRPr="002C6276" w:rsidRDefault="002C6276" w:rsidP="002C6276">
      <w:pPr>
        <w:rPr>
          <w:lang w:val="en-US"/>
        </w:rPr>
      </w:pPr>
    </w:p>
    <w:sectPr w:rsidR="002C6276" w:rsidRPr="002C62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23C23"/>
    <w:multiLevelType w:val="multilevel"/>
    <w:tmpl w:val="81F05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AD3339"/>
    <w:multiLevelType w:val="hybridMultilevel"/>
    <w:tmpl w:val="C3E49A2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276"/>
    <w:rsid w:val="002C6276"/>
    <w:rsid w:val="006443F9"/>
    <w:rsid w:val="00CC3867"/>
    <w:rsid w:val="00D72121"/>
    <w:rsid w:val="00FE1A0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7AECC"/>
  <w15:chartTrackingRefBased/>
  <w15:docId w15:val="{3D3516AB-46A3-40FF-BBE5-AFCC178C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276"/>
    <w:pPr>
      <w:ind w:left="720"/>
      <w:contextualSpacing/>
    </w:pPr>
  </w:style>
  <w:style w:type="paragraph" w:styleId="NormalWeb">
    <w:name w:val="Normal (Web)"/>
    <w:basedOn w:val="Normal"/>
    <w:uiPriority w:val="99"/>
    <w:semiHidden/>
    <w:unhideWhenUsed/>
    <w:rsid w:val="006443F9"/>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6443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2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Waren Gador</dc:creator>
  <cp:keywords/>
  <dc:description/>
  <cp:lastModifiedBy>Waren Gador</cp:lastModifiedBy>
  <cp:revision>1</cp:revision>
  <cp:lastPrinted>2024-03-13T10:13:00Z</cp:lastPrinted>
  <dcterms:created xsi:type="dcterms:W3CDTF">2024-03-13T09:40:00Z</dcterms:created>
  <dcterms:modified xsi:type="dcterms:W3CDTF">2024-03-13T12:50:00Z</dcterms:modified>
</cp:coreProperties>
</file>