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Renthub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Making Renting Easy, Anytime, Anywhere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Slide 2: Problem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Problem Statement: Inefficient, time-consuming process of finding, renting, and returning objects.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Not a lot of options in the market.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Slide 3: Solution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Renthub an intuitive mobile application for renting various objects.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Features: User-friendly interface.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Slide 5: Target Audience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Basically everyone.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Convenience, affordability, sustainability.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Slide 7: Business Model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Premium memberships, advertising.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Monetization Strategy: Transaction fees.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Slide 12: Call to Action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Call to Action: Join RentEase today and experience hassle-free renting!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Contact Information: Website, social media handles, customer support email.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