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480"/>
        <w:jc w:val="center"/>
      </w:pPr>
      <w:r>
        <w:rPr>
          <w:rFonts w:ascii="Times New Roman" w:cs="Times New Roman" w:eastAsia="Times New Roman" w:hAnsi="Times New Roman"/>
          <w:b/>
          <w:bCs/>
          <w:sz w:val="24"/>
          <w:szCs w:val="24"/>
        </w:rPr>
        <w:t xml:space="preserve">Documentación de propuesta técnica del software RentaMovil</w:t>
      </w:r>
    </w:p>
    <w:p>
      <w:pPr>
        <w:spacing w:after="0" w:line="480"/>
        <w:jc w:val="center"/>
      </w:pPr>
      <w:r>
        <w:rPr>
          <w:rFonts w:ascii="Times New Roman" w:cs="Times New Roman" w:eastAsia="Times New Roman" w:hAnsi="Times New Roman"/>
          <w:sz w:val="24"/>
          <w:szCs w:val="24"/>
        </w:rPr>
        <w:t xml:space="preserve">Nicole Dayana Ramirez Vargas – Thiago Fabian Rojas Guevara – David Santiago Erez Rodriguez</w:t>
      </w:r>
    </w:p>
    <w:p>
      <w:pPr>
        <w:spacing w:after="0" w:line="480"/>
        <w:jc w:val="center"/>
      </w:pPr>
      <w:r>
        <w:rPr>
          <w:rFonts w:ascii="Times New Roman" w:cs="Times New Roman" w:eastAsia="Times New Roman" w:hAnsi="Times New Roman"/>
          <w:sz w:val="24"/>
          <w:szCs w:val="24"/>
        </w:rPr>
        <w:t xml:space="preserve">Servicio Nacional de Aprendizaje (SENA)</w:t>
      </w:r>
    </w:p>
    <w:p>
      <w:pPr>
        <w:spacing w:after="0" w:line="480"/>
        <w:jc w:val="center"/>
      </w:pPr>
      <w:r>
        <w:rPr>
          <w:rFonts w:ascii="Times New Roman" w:cs="Times New Roman" w:eastAsia="Times New Roman" w:hAnsi="Times New Roman"/>
          <w:sz w:val="24"/>
          <w:szCs w:val="24"/>
        </w:rPr>
        <w:t xml:space="preserve">Programa de formación: Análisis y Desarrollo de Software</w:t>
      </w:r>
    </w:p>
    <w:p>
      <w:pPr>
        <w:spacing w:after="0" w:line="480"/>
        <w:jc w:val="center"/>
      </w:pPr>
      <w:r>
        <w:rPr>
          <w:rFonts w:ascii="Times New Roman" w:cs="Times New Roman" w:eastAsia="Times New Roman" w:hAnsi="Times New Roman"/>
          <w:sz w:val="24"/>
          <w:szCs w:val="24"/>
        </w:rPr>
        <w:t xml:space="preserve">Asignatura o ficha: 3145556</w:t>
      </w:r>
    </w:p>
    <w:p>
      <w:pPr>
        <w:spacing w:after="0" w:line="480"/>
        <w:jc w:val="center"/>
      </w:pPr>
      <w:r>
        <w:rPr>
          <w:rFonts w:ascii="Times New Roman" w:cs="Times New Roman" w:eastAsia="Times New Roman" w:hAnsi="Times New Roman"/>
          <w:sz w:val="24"/>
          <w:szCs w:val="24"/>
        </w:rPr>
        <w:t xml:space="preserve">Fecha de entrega: 9 de octubre de 2026 – Fecha de elaboración: 9 de octubre de 2026</w:t>
      </w:r>
    </w:p>
    <w:p>
      <w:r>
        <w:br w:type="page"/>
      </w:r>
    </w:p>
    <w:p>
      <w:pPr>
        <w:spacing w:after="240" w:before="240" w:line="480"/>
        <w:jc w:val="center"/>
      </w:pPr>
      <w:r>
        <w:rPr>
          <w:rFonts w:ascii="Times New Roman" w:cs="Times New Roman" w:eastAsia="Times New Roman" w:hAnsi="Times New Roman"/>
          <w:b/>
          <w:bCs/>
          <w:sz w:val="24"/>
          <w:szCs w:val="24"/>
        </w:rPr>
        <w:t xml:space="preserve">Resumen</w:t>
      </w:r>
    </w:p>
    <w:p>
      <w:pPr>
        <w:spacing w:after="200" w:line="480"/>
        <w:jc w:val="both"/>
      </w:pPr>
      <w:r>
        <w:rPr>
          <w:rFonts w:ascii="Times New Roman" w:cs="Times New Roman" w:eastAsia="Times New Roman" w:hAnsi="Times New Roman"/>
          <w:sz w:val="24"/>
          <w:szCs w:val="24"/>
        </w:rPr>
        <w:t xml:space="preserve">Este documento propone y justifica la solución técnica de RentaMovil antes de su diseño detallado: las alternativas evaluadas para cada decisión arquitectónica relevante, la pila tecnológica elegida, la arquitectura a alto nivel, la viabilidad del proyecto, la metodología de desarrollo y un cronograma propuesto por épica. No sustituye los registros de decisión arquitectónica (ADR) del repositorio de documentación, que son la fuente de verdad: los resume, los relaciona entre sí y los presenta como una propuesta única y coherente para evaluadores y equipo de desarrollo.</w:t>
      </w:r>
    </w:p>
    <w:p>
      <w:pPr>
        <w:spacing w:after="200" w:line="480"/>
        <w:ind w:left="720"/>
        <w:jc w:val="both"/>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RentaMovil, propuesta técnica, arquitectura de microservicios, arquitectura hexagonal, decisiones arquitectónicas, viabilidad, metodología Scrum.</w:t>
      </w:r>
    </w:p>
    <w:p>
      <w:r>
        <w:br w:type="page"/>
      </w:r>
    </w:p>
    <w:p>
      <w:pPr>
        <w:spacing w:after="240" w:before="240" w:line="480"/>
        <w:jc w:val="center"/>
      </w:pPr>
      <w:r>
        <w:rPr>
          <w:rFonts w:ascii="Times New Roman" w:cs="Times New Roman" w:eastAsia="Times New Roman" w:hAnsi="Times New Roman"/>
          <w:b/>
          <w:bCs/>
          <w:sz w:val="24"/>
          <w:szCs w:val="24"/>
        </w:rPr>
        <w:t xml:space="preserve">1. Introducción</w:t>
      </w:r>
    </w:p>
    <w:p>
      <w:pPr>
        <w:spacing w:after="160" w:before="200" w:line="480"/>
        <w:jc w:val="left"/>
      </w:pPr>
      <w:r>
        <w:rPr>
          <w:rFonts w:ascii="Times New Roman" w:cs="Times New Roman" w:eastAsia="Times New Roman" w:hAnsi="Times New Roman"/>
          <w:b/>
          <w:bCs/>
          <w:sz w:val="24"/>
          <w:szCs w:val="24"/>
        </w:rPr>
        <w:t xml:space="preserve">1.1 Propósito, audiencia y alcance</w:t>
      </w:r>
    </w:p>
    <w:p>
      <w:pPr>
        <w:spacing w:after="200" w:line="480"/>
        <w:jc w:val="both"/>
      </w:pPr>
      <w:r>
        <w:rPr>
          <w:rFonts w:ascii="Times New Roman" w:cs="Times New Roman" w:eastAsia="Times New Roman" w:hAnsi="Times New Roman"/>
          <w:sz w:val="24"/>
          <w:szCs w:val="24"/>
        </w:rPr>
        <w:t xml:space="preserve">Este documento está dirigido a docentes, evaluadores y al equipo de desarrollo. Su propósito es consolidar, en un único documento, las decisiones técnicas ya registradas como ADR (Architecture Decision Record) en el repositorio </w:t>
      </w:r>
      <w:r>
        <w:rPr>
          <w:rFonts w:ascii="Times New Roman" w:cs="Times New Roman" w:eastAsia="Times New Roman" w:hAnsi="Times New Roman"/>
          <w:i/>
          <w:iCs/>
          <w:sz w:val="24"/>
          <w:szCs w:val="24"/>
        </w:rPr>
        <w:t xml:space="preserve">rtm-docs</w:t>
      </w:r>
      <w:r>
        <w:rPr>
          <w:rFonts w:ascii="Times New Roman" w:cs="Times New Roman" w:eastAsia="Times New Roman" w:hAnsi="Times New Roman"/>
          <w:sz w:val="24"/>
          <w:szCs w:val="24"/>
        </w:rPr>
        <w:t xml:space="preserve">, junto con la pila tecnológica, la viabilidad y la planificación propuestas para el proyecto. Cubre el backend de microservicios, la aplicación web de cliente y administración, y la aplicación móvil de cliente.</w:t>
      </w:r>
    </w:p>
    <w:p>
      <w:pPr>
        <w:spacing w:after="160" w:before="200" w:line="480"/>
        <w:jc w:val="left"/>
      </w:pPr>
      <w:r>
        <w:rPr>
          <w:rFonts w:ascii="Times New Roman" w:cs="Times New Roman" w:eastAsia="Times New Roman" w:hAnsi="Times New Roman"/>
          <w:b/>
          <w:bCs/>
          <w:sz w:val="24"/>
          <w:szCs w:val="24"/>
        </w:rPr>
        <w:t xml:space="preserve">1.2 Objetivos</w:t>
      </w:r>
    </w:p>
    <w:p>
      <w:pPr>
        <w:spacing w:after="200" w:line="480"/>
        <w:jc w:val="both"/>
      </w:pPr>
      <w:r>
        <w:rPr>
          <w:rFonts w:ascii="Times New Roman" w:cs="Times New Roman" w:eastAsia="Times New Roman" w:hAnsi="Times New Roman"/>
          <w:b/>
          <w:bCs/>
          <w:sz w:val="24"/>
          <w:szCs w:val="24"/>
        </w:rPr>
        <w:t xml:space="preserve">Objetivo general:</w:t>
      </w:r>
      <w:r>
        <w:rPr>
          <w:rFonts w:ascii="Times New Roman" w:cs="Times New Roman" w:eastAsia="Times New Roman" w:hAnsi="Times New Roman"/>
          <w:sz w:val="24"/>
          <w:szCs w:val="24"/>
        </w:rPr>
        <w:t xml:space="preserve"> proponer y justificar la solución técnica de RentaMovil, documentando las alternativas evaluadas, la arquitectura elegida y su viabilidad para el equipo y el tiempo disponible en el programa de formación.</w:t>
      </w:r>
    </w:p>
    <w:p>
      <w:pPr>
        <w:spacing w:after="200" w:line="480"/>
        <w:jc w:val="both"/>
      </w:pPr>
      <w:r>
        <w:rPr>
          <w:rFonts w:ascii="Times New Roman" w:cs="Times New Roman" w:eastAsia="Times New Roman" w:hAnsi="Times New Roman"/>
          <w:b/>
          <w:bCs/>
          <w:sz w:val="24"/>
          <w:szCs w:val="24"/>
        </w:rPr>
        <w:t xml:space="preserve">Objetivos específicos:</w:t>
      </w:r>
    </w:p>
    <w:p>
      <w:pPr>
        <w:pStyle w:val="ListParagraph"/>
        <w:numPr>
          <w:ilvl w:val="0"/>
          <w:numId w:val="2"/>
        </w:numPr>
        <w:spacing w:after="100" w:line="480"/>
      </w:pPr>
      <w:r>
        <w:rPr>
          <w:rFonts w:ascii="Times New Roman" w:cs="Times New Roman" w:eastAsia="Times New Roman" w:hAnsi="Times New Roman"/>
          <w:sz w:val="24"/>
          <w:szCs w:val="24"/>
        </w:rPr>
        <w:t xml:space="preserve">Registrar las alternativas consideradas para cada decisión arquitectónica relevante y la razón de la elección final.</w:t>
      </w:r>
    </w:p>
    <w:p>
      <w:pPr>
        <w:pStyle w:val="ListParagraph"/>
        <w:numPr>
          <w:ilvl w:val="0"/>
          <w:numId w:val="2"/>
        </w:numPr>
        <w:spacing w:after="100" w:line="480"/>
      </w:pPr>
      <w:r>
        <w:rPr>
          <w:rFonts w:ascii="Times New Roman" w:cs="Times New Roman" w:eastAsia="Times New Roman" w:hAnsi="Times New Roman"/>
          <w:sz w:val="24"/>
          <w:szCs w:val="24"/>
        </w:rPr>
        <w:t xml:space="preserve">Justificar la pila tecnológica propuesta para backend, frontend web, aplicación móvil y base de datos.</w:t>
      </w:r>
    </w:p>
    <w:p>
      <w:pPr>
        <w:pStyle w:val="ListParagraph"/>
        <w:numPr>
          <w:ilvl w:val="0"/>
          <w:numId w:val="2"/>
        </w:numPr>
        <w:spacing w:after="100" w:line="480"/>
      </w:pPr>
      <w:r>
        <w:rPr>
          <w:rFonts w:ascii="Times New Roman" w:cs="Times New Roman" w:eastAsia="Times New Roman" w:hAnsi="Times New Roman"/>
          <w:sz w:val="24"/>
          <w:szCs w:val="24"/>
        </w:rPr>
        <w:t xml:space="preserve">Evaluar la viabilidad técnica, operativa y económica del proyecto.</w:t>
      </w:r>
    </w:p>
    <w:p>
      <w:pPr>
        <w:pStyle w:val="ListParagraph"/>
        <w:numPr>
          <w:ilvl w:val="0"/>
          <w:numId w:val="2"/>
        </w:numPr>
        <w:spacing w:after="100" w:line="480"/>
      </w:pPr>
      <w:r>
        <w:rPr>
          <w:rFonts w:ascii="Times New Roman" w:cs="Times New Roman" w:eastAsia="Times New Roman" w:hAnsi="Times New Roman"/>
          <w:sz w:val="24"/>
          <w:szCs w:val="24"/>
        </w:rPr>
        <w:t xml:space="preserve">Describir la metodología de desarrollo acordada por el equipo.</w:t>
      </w:r>
    </w:p>
    <w:p>
      <w:pPr>
        <w:pStyle w:val="ListParagraph"/>
        <w:numPr>
          <w:ilvl w:val="0"/>
          <w:numId w:val="2"/>
        </w:numPr>
        <w:spacing w:after="100" w:line="480"/>
      </w:pPr>
      <w:r>
        <w:rPr>
          <w:rFonts w:ascii="Times New Roman" w:cs="Times New Roman" w:eastAsia="Times New Roman" w:hAnsi="Times New Roman"/>
          <w:sz w:val="24"/>
          <w:szCs w:val="24"/>
        </w:rPr>
        <w:t xml:space="preserve">Proponer un cronograma de alto nivel y los riesgos identificados con su mitigación.</w:t>
      </w:r>
    </w:p>
    <w:p>
      <w:pPr>
        <w:spacing w:after="160" w:before="200" w:line="480"/>
        <w:jc w:val="left"/>
      </w:pPr>
      <w:r>
        <w:rPr>
          <w:rFonts w:ascii="Times New Roman" w:cs="Times New Roman" w:eastAsia="Times New Roman" w:hAnsi="Times New Roman"/>
          <w:b/>
          <w:bCs/>
          <w:sz w:val="24"/>
          <w:szCs w:val="24"/>
        </w:rPr>
        <w:t xml:space="preserve">1.3 Relación con los demás documentos del proyecto</w:t>
      </w:r>
    </w:p>
    <w:p>
      <w:pPr>
        <w:spacing w:after="200" w:line="480"/>
        <w:jc w:val="both"/>
      </w:pPr>
      <w:r>
        <w:rPr>
          <w:rFonts w:ascii="Times New Roman" w:cs="Times New Roman" w:eastAsia="Times New Roman" w:hAnsi="Times New Roman"/>
          <w:sz w:val="24"/>
          <w:szCs w:val="24"/>
        </w:rPr>
        <w:t xml:space="preserve">Este documento se ubica entre la especificación de requisitos (documento 1) y el documento de análisis de vistas dinámicas (documento 2), que establecen </w:t>
      </w:r>
      <w:r>
        <w:rPr>
          <w:rFonts w:ascii="Times New Roman" w:cs="Times New Roman" w:eastAsia="Times New Roman" w:hAnsi="Times New Roman"/>
          <w:i/>
          <w:iCs/>
          <w:sz w:val="24"/>
          <w:szCs w:val="24"/>
        </w:rPr>
        <w:t xml:space="preserve">qué</w:t>
      </w:r>
      <w:r>
        <w:rPr>
          <w:rFonts w:ascii="Times New Roman" w:cs="Times New Roman" w:eastAsia="Times New Roman" w:hAnsi="Times New Roman"/>
          <w:sz w:val="24"/>
          <w:szCs w:val="24"/>
        </w:rPr>
        <w:t xml:space="preserve"> debe hacer el sistema, y la documentación de diseño del software (documento 4), que detalla </w:t>
      </w:r>
      <w:r>
        <w:rPr>
          <w:rFonts w:ascii="Times New Roman" w:cs="Times New Roman" w:eastAsia="Times New Roman" w:hAnsi="Times New Roman"/>
          <w:i/>
          <w:iCs/>
          <w:sz w:val="24"/>
          <w:szCs w:val="24"/>
        </w:rPr>
        <w:t xml:space="preserve">cómo</w:t>
      </w:r>
      <w:r>
        <w:rPr>
          <w:rFonts w:ascii="Times New Roman" w:cs="Times New Roman" w:eastAsia="Times New Roman" w:hAnsi="Times New Roman"/>
          <w:sz w:val="24"/>
          <w:szCs w:val="24"/>
        </w:rPr>
        <w:t xml:space="preserve"> se construye (interfaces gráficas, modelo arquitectónico, patrones y modelo de datos). La propuesta técnica responde la pregunta intermedia: </w:t>
      </w:r>
      <w:r>
        <w:rPr>
          <w:rFonts w:ascii="Times New Roman" w:cs="Times New Roman" w:eastAsia="Times New Roman" w:hAnsi="Times New Roman"/>
          <w:i/>
          <w:iCs/>
          <w:sz w:val="24"/>
          <w:szCs w:val="24"/>
        </w:rPr>
        <w:t xml:space="preserve">qué solución se eligió y por qué</w:t>
      </w:r>
      <w:r>
        <w:rPr>
          <w:rFonts w:ascii="Times New Roman" w:cs="Times New Roman" w:eastAsia="Times New Roman" w:hAnsi="Times New Roman"/>
          <w:sz w:val="24"/>
          <w:szCs w:val="24"/>
        </w:rPr>
        <w:t xml:space="preserve">, antes de entrar al diseño detallado (RentaMovil, 2026, 01-context/overview.md; 03-product/vision.md).</w:t>
      </w:r>
    </w:p>
    <w:p>
      <w:pPr>
        <w:spacing w:after="240" w:before="240" w:line="480"/>
        <w:jc w:val="center"/>
      </w:pPr>
      <w:r>
        <w:rPr>
          <w:rFonts w:ascii="Times New Roman" w:cs="Times New Roman" w:eastAsia="Times New Roman" w:hAnsi="Times New Roman"/>
          <w:b/>
          <w:bCs/>
          <w:sz w:val="24"/>
          <w:szCs w:val="24"/>
        </w:rPr>
        <w:t xml:space="preserve">2. Alternativas de solución evaluadas</w:t>
      </w:r>
    </w:p>
    <w:p>
      <w:pPr>
        <w:spacing w:after="200" w:line="480"/>
        <w:jc w:val="both"/>
      </w:pPr>
      <w:r>
        <w:rPr>
          <w:rFonts w:ascii="Times New Roman" w:cs="Times New Roman" w:eastAsia="Times New Roman" w:hAnsi="Times New Roman"/>
          <w:sz w:val="24"/>
          <w:szCs w:val="24"/>
        </w:rPr>
        <w:t xml:space="preserve">Cada decisión arquitectónica relevante del proyecto quedó registrada como un ADR (Architecture Decision Record) en </w:t>
      </w:r>
      <w:r>
        <w:rPr>
          <w:rFonts w:ascii="Times New Roman" w:cs="Times New Roman" w:eastAsia="Times New Roman" w:hAnsi="Times New Roman"/>
          <w:i/>
          <w:iCs/>
          <w:sz w:val="24"/>
          <w:szCs w:val="24"/>
        </w:rPr>
        <w:t xml:space="preserve">05-architecture/decisions/records/</w:t>
      </w:r>
      <w:r>
        <w:rPr>
          <w:rFonts w:ascii="Times New Roman" w:cs="Times New Roman" w:eastAsia="Times New Roman" w:hAnsi="Times New Roman"/>
          <w:sz w:val="24"/>
          <w:szCs w:val="24"/>
        </w:rPr>
        <w:t xml:space="preserve">. Esta sección resume, para cada una, la alternativa elegida, las alternativas descartadas y la razón de la elección. Todas las decisiones aquí descritas tienen estado </w:t>
      </w:r>
      <w:r>
        <w:rPr>
          <w:rFonts w:ascii="Times New Roman" w:cs="Times New Roman" w:eastAsia="Times New Roman" w:hAnsi="Times New Roman"/>
          <w:i/>
          <w:iCs/>
          <w:sz w:val="24"/>
          <w:szCs w:val="24"/>
        </w:rPr>
        <w:t xml:space="preserve">Proposed</w:t>
      </w:r>
      <w:r>
        <w:rPr>
          <w:rFonts w:ascii="Times New Roman" w:cs="Times New Roman" w:eastAsia="Times New Roman" w:hAnsi="Times New Roman"/>
          <w:sz w:val="24"/>
          <w:szCs w:val="24"/>
        </w:rPr>
        <w:t xml:space="preserve"> en el repositorio: son la arquitectura objetivo del proyecto, no necesariamente el estado actual de cada línea de código.</w:t>
      </w:r>
    </w:p>
    <w:p>
      <w:pPr>
        <w:spacing w:after="160" w:before="200" w:line="480"/>
        <w:jc w:val="left"/>
      </w:pPr>
      <w:r>
        <w:rPr>
          <w:rFonts w:ascii="Times New Roman" w:cs="Times New Roman" w:eastAsia="Times New Roman" w:hAnsi="Times New Roman"/>
          <w:b/>
          <w:bCs/>
          <w:sz w:val="24"/>
          <w:szCs w:val="24"/>
        </w:rPr>
        <w:t xml:space="preserve">2.1 Descomposición del backend en microservicios</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Estado</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Razón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Un servicio por Bounded Context (7 servicios)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Elegida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Alinea el ownership del código con el lenguaje de dominio y los eventos ya definidos en el modelo de dominio</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Un servicio por feature de frontend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Acopla los límites del backend a la interfaz de usuario y duplica el ownership de dominio</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Monolito grande indefinido</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No establece un ownership de dominio independiente por equipo/servicio</w:t>
            </w:r>
          </w:p>
        </w:tc>
      </w:tr>
    </w:tbl>
    <w:p>
      <w:pPr>
        <w:spacing w:after="160"/>
      </w:pPr>
    </w:p>
    <w:p>
      <w:pPr>
        <w:spacing w:after="200" w:line="480"/>
        <w:jc w:val="both"/>
      </w:pPr>
      <w:r>
        <w:rPr>
          <w:rFonts w:ascii="Times New Roman" w:cs="Times New Roman" w:eastAsia="Times New Roman" w:hAnsi="Times New Roman"/>
          <w:sz w:val="24"/>
          <w:szCs w:val="24"/>
        </w:rPr>
        <w:t xml:space="preserve">La contrapartida de la decisión elegida es que las migraciones sobre la base de datos SQL Server compartida requieren coordinación explícita entre servicios, y el despliegue independiente de cada servicio sigue siendo una capacidad futura, no actual (RentaMovil, 2026, ADR-002-microservices-decomposition.md).</w:t>
      </w:r>
    </w:p>
    <w:p>
      <w:pPr>
        <w:spacing w:after="160" w:before="200" w:line="480"/>
        <w:jc w:val="left"/>
      </w:pPr>
      <w:r>
        <w:rPr>
          <w:rFonts w:ascii="Times New Roman" w:cs="Times New Roman" w:eastAsia="Times New Roman" w:hAnsi="Times New Roman"/>
          <w:b/>
          <w:bCs/>
          <w:sz w:val="24"/>
          <w:szCs w:val="24"/>
        </w:rPr>
        <w:t xml:space="preserve">2.2 Arquitectura del cliente móvil</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Estado</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Razón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Feature-Based + Component-Driven + Expo Router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Elegida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Ownership claro por funcionalidad de negocio y reutilización de componentes de interfaz</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Carpetas organizadas solo por capas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Dispersa el comportamiento de cada funcionalidad por todo el proyecto</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Lógica de negocio dentro de los archivos de ruta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Acopla la navegación al comportamiento de negocio</w:t>
            </w:r>
          </w:p>
        </w:tc>
      </w:tr>
    </w:tbl>
    <w:p>
      <w:pPr>
        <w:spacing w:after="160"/>
      </w:pPr>
    </w:p>
    <w:p>
      <w:pPr>
        <w:spacing w:after="200" w:line="480"/>
        <w:jc w:val="both"/>
      </w:pPr>
      <w:r>
        <w:rPr>
          <w:rFonts w:ascii="Times New Roman" w:cs="Times New Roman" w:eastAsia="Times New Roman" w:hAnsi="Times New Roman"/>
          <w:sz w:val="24"/>
          <w:szCs w:val="24"/>
        </w:rPr>
        <w:t xml:space="preserve">Como consecuencia, las nuevas funcionalidades del cliente móvil se ubican bajo </w:t>
      </w:r>
      <w:r>
        <w:rPr>
          <w:rFonts w:ascii="Times New Roman" w:cs="Times New Roman" w:eastAsia="Times New Roman" w:hAnsi="Times New Roman"/>
          <w:i/>
          <w:iCs/>
          <w:sz w:val="24"/>
          <w:szCs w:val="24"/>
        </w:rPr>
        <w:t xml:space="preserve">src/features/</w:t>
      </w:r>
      <w:r>
        <w:rPr>
          <w:rFonts w:ascii="Times New Roman" w:cs="Times New Roman" w:eastAsia="Times New Roman" w:hAnsi="Times New Roman"/>
          <w:sz w:val="24"/>
          <w:szCs w:val="24"/>
        </w:rPr>
        <w:t xml:space="preserve">, la interfaz compartida bajo </w:t>
      </w:r>
      <w:r>
        <w:rPr>
          <w:rFonts w:ascii="Times New Roman" w:cs="Times New Roman" w:eastAsia="Times New Roman" w:hAnsi="Times New Roman"/>
          <w:i/>
          <w:iCs/>
          <w:sz w:val="24"/>
          <w:szCs w:val="24"/>
        </w:rPr>
        <w:t xml:space="preserve">src/shared/</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src/app/</w:t>
      </w:r>
      <w:r>
        <w:rPr>
          <w:rFonts w:ascii="Times New Roman" w:cs="Times New Roman" w:eastAsia="Times New Roman" w:hAnsi="Times New Roman"/>
          <w:sz w:val="24"/>
          <w:szCs w:val="24"/>
        </w:rPr>
        <w:t xml:space="preserve"> queda reservado solo para navegación (RentaMovil, 2026, ADR-003-mobile-architecture.md).</w:t>
      </w:r>
    </w:p>
    <w:p>
      <w:pPr>
        <w:spacing w:after="160" w:before="200" w:line="480"/>
        <w:jc w:val="left"/>
      </w:pPr>
      <w:r>
        <w:rPr>
          <w:rFonts w:ascii="Times New Roman" w:cs="Times New Roman" w:eastAsia="Times New Roman" w:hAnsi="Times New Roman"/>
          <w:b/>
          <w:bCs/>
          <w:sz w:val="24"/>
          <w:szCs w:val="24"/>
        </w:rPr>
        <w:t xml:space="preserve">2.3 Gestión de estado en el cliente</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Estado</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Razón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Estado local + Context por funcionalidad + Zustand para estado transversal</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Elegida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Ownership explícito del estado y adopción gradual, sin forzar un único mecanismo global</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Zustand para todo el estado del cliente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Fomenta acoplamiento global innecesario</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Context para todo el estado del cliente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Puede causar renderizados amplios y ownership poco claro</w:t>
            </w:r>
          </w:p>
        </w:tc>
      </w:tr>
    </w:tbl>
    <w:p>
      <w:pPr>
        <w:spacing w:after="160"/>
      </w:pPr>
    </w:p>
    <w:p>
      <w:pPr>
        <w:spacing w:after="200" w:line="480"/>
        <w:jc w:val="both"/>
      </w:pPr>
      <w:r>
        <w:rPr>
          <w:rFonts w:ascii="Times New Roman" w:cs="Times New Roman" w:eastAsia="Times New Roman" w:hAnsi="Times New Roman"/>
          <w:sz w:val="24"/>
          <w:szCs w:val="24"/>
        </w:rPr>
        <w:t xml:space="preserve">Los datos propiedad del servidor permanecen en los servicios backend y no se tratan como fuente de verdad en el cliente; esta decisión no autoriza acceso directo del cliente a la persistencia (RentaMovil, 2026, ADR-004-state-management.md).</w:t>
      </w:r>
    </w:p>
    <w:p>
      <w:pPr>
        <w:spacing w:after="160" w:before="200" w:line="480"/>
        <w:jc w:val="left"/>
      </w:pPr>
      <w:r>
        <w:rPr>
          <w:rFonts w:ascii="Times New Roman" w:cs="Times New Roman" w:eastAsia="Times New Roman" w:hAnsi="Times New Roman"/>
          <w:b/>
          <w:bCs/>
          <w:sz w:val="24"/>
          <w:szCs w:val="24"/>
        </w:rPr>
        <w:t xml:space="preserve">2.4 Autenticación y autorización en la web</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Estado</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Razón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Autorización en el backend + route guards en el frontend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Elegida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Segura y usable; la decisión final de acceso siempre es del backend</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Autorización resuelta solo en el frontend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No protege los datos expuestos por la API</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Supabase Auth como emisor de identidad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Entra en conflicto con la política de seguridad del proyecto</w:t>
            </w:r>
          </w:p>
        </w:tc>
      </w:tr>
    </w:tbl>
    <w:p>
      <w:pPr>
        <w:spacing w:after="160"/>
      </w:pPr>
    </w:p>
    <w:p>
      <w:pPr>
        <w:spacing w:after="200" w:line="480"/>
        <w:jc w:val="both"/>
      </w:pPr>
      <w:r>
        <w:rPr>
          <w:rFonts w:ascii="Times New Roman" w:cs="Times New Roman" w:eastAsia="Times New Roman" w:hAnsi="Times New Roman"/>
          <w:sz w:val="24"/>
          <w:szCs w:val="24"/>
        </w:rPr>
        <w:t xml:space="preserve">El frontend web se integra con el servicio de identidad a través de la API backend, almacena los refresh tokens en cookies </w:t>
      </w:r>
      <w:r>
        <w:rPr>
          <w:rFonts w:ascii="Times New Roman" w:cs="Times New Roman" w:eastAsia="Times New Roman" w:hAnsi="Times New Roman"/>
          <w:i/>
          <w:iCs/>
          <w:sz w:val="24"/>
          <w:szCs w:val="24"/>
        </w:rPr>
        <w:t xml:space="preserve">httpOnly</w:t>
      </w:r>
      <w:r>
        <w:rPr>
          <w:rFonts w:ascii="Times New Roman" w:cs="Times New Roman" w:eastAsia="Times New Roman" w:hAnsi="Times New Roman"/>
          <w:sz w:val="24"/>
          <w:szCs w:val="24"/>
        </w:rPr>
        <w:t xml:space="preserve">, y usa guards de ruta para la navegación; los tokens de acceso se emiten como JWT firmados con RS256 (RentaMovil, 2026, ADR-005-web-authentication-and-authorization.md).</w:t>
      </w:r>
    </w:p>
    <w:p>
      <w:pPr>
        <w:spacing w:after="160" w:before="200" w:line="480"/>
        <w:jc w:val="left"/>
      </w:pPr>
      <w:r>
        <w:rPr>
          <w:rFonts w:ascii="Times New Roman" w:cs="Times New Roman" w:eastAsia="Times New Roman" w:hAnsi="Times New Roman"/>
          <w:b/>
          <w:bCs/>
          <w:sz w:val="24"/>
          <w:szCs w:val="24"/>
        </w:rPr>
        <w:t xml:space="preserve">2.5 Arquitectura del frontend web</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Estado</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Razón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Estructura de funcionalidad estandarizada (Feature + Component + Route-Based)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Elegida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Predecible y escalable a medida que crece el número de pantallas</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Preservar todas las convenciones de carpetas existentes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 para código nuevo</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Mantiene el riesgo de imports inconsistentes en sistemas sensibles a mayúsculas/minúsculas</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Estructura de proyecto organizada solo por capas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Debilita el ownership de cada funcionalidad</w:t>
            </w:r>
          </w:p>
        </w:tc>
      </w:tr>
    </w:tbl>
    <w:p>
      <w:pPr>
        <w:spacing w:after="160"/>
      </w:pPr>
    </w:p>
    <w:p>
      <w:pPr>
        <w:spacing w:after="200" w:line="480"/>
        <w:jc w:val="both"/>
      </w:pPr>
      <w:r>
        <w:rPr>
          <w:rFonts w:ascii="Times New Roman" w:cs="Times New Roman" w:eastAsia="Times New Roman" w:hAnsi="Times New Roman"/>
          <w:sz w:val="24"/>
          <w:szCs w:val="24"/>
        </w:rPr>
        <w:t xml:space="preserve">El frontend web mezclaba previamente convenciones de carpetas distintas (</w:t>
      </w:r>
      <w:r>
        <w:rPr>
          <w:rFonts w:ascii="Times New Roman" w:cs="Times New Roman" w:eastAsia="Times New Roman" w:hAnsi="Times New Roman"/>
          <w:i/>
          <w:iCs/>
          <w:sz w:val="24"/>
          <w:szCs w:val="24"/>
        </w:rPr>
        <w:t xml:space="preserve">Pages/pages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Services/services</w:t>
      </w:r>
      <w:r>
        <w:rPr>
          <w:rFonts w:ascii="Times New Roman" w:cs="Times New Roman" w:eastAsia="Times New Roman" w:hAnsi="Times New Roman"/>
          <w:sz w:val="24"/>
          <w:szCs w:val="24"/>
        </w:rPr>
        <w:t xml:space="preserve">); el código nuevo adopta nombres en minúsculas y </w:t>
      </w:r>
      <w:r>
        <w:rPr>
          <w:rFonts w:ascii="Times New Roman" w:cs="Times New Roman" w:eastAsia="Times New Roman" w:hAnsi="Times New Roman"/>
          <w:i/>
          <w:iCs/>
          <w:sz w:val="24"/>
          <w:szCs w:val="24"/>
        </w:rPr>
        <w:t xml:space="preserve">services/</w:t>
      </w:r>
      <w:r>
        <w:rPr>
          <w:rFonts w:ascii="Times New Roman" w:cs="Times New Roman" w:eastAsia="Times New Roman" w:hAnsi="Times New Roman"/>
          <w:sz w:val="24"/>
          <w:szCs w:val="24"/>
        </w:rPr>
        <w:t xml:space="preserve"> en plural, migrando el resto de forma incremental (RentaMovil, 2026, ADR-006-web-frontend-architecture.md).</w:t>
      </w:r>
    </w:p>
    <w:p>
      <w:pPr>
        <w:spacing w:after="160" w:before="200" w:line="480"/>
        <w:jc w:val="left"/>
      </w:pPr>
      <w:r>
        <w:rPr>
          <w:rFonts w:ascii="Times New Roman" w:cs="Times New Roman" w:eastAsia="Times New Roman" w:hAnsi="Times New Roman"/>
          <w:b/>
          <w:bCs/>
          <w:sz w:val="24"/>
          <w:szCs w:val="24"/>
        </w:rPr>
        <w:t xml:space="preserve">2.6 Frontera entre frontend y backend</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Estado</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Razón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Los clientes consumen únicamente las REST API del backend propio</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Elegida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Centraliza las reglas de negocio y la autorización en el backend</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Acceso directo del frontend a Supabase u otro proveedor de datos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 como arquitectura objetivo</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Evade el ownership de dominio y la política de seguridad del backend</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Acceso directo del frontend a SQL Server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Inseguro e imposible de gobernar</w:t>
            </w:r>
          </w:p>
        </w:tc>
      </w:tr>
    </w:tbl>
    <w:p>
      <w:pPr>
        <w:spacing w:after="160"/>
      </w:pPr>
    </w:p>
    <w:p>
      <w:pPr>
        <w:spacing w:after="200" w:line="480"/>
        <w:jc w:val="both"/>
      </w:pPr>
      <w:r>
        <w:rPr>
          <w:rFonts w:ascii="Times New Roman" w:cs="Times New Roman" w:eastAsia="Times New Roman" w:hAnsi="Times New Roman"/>
          <w:sz w:val="24"/>
          <w:szCs w:val="24"/>
        </w:rPr>
        <w:t xml:space="preserve">Cualquier uso temporal de Supabase en los clientes actuales se trata como deuda técnica o punto de integración temporal, y no debe expandirse sin actualizar el ADR correspondiente (RentaMovil, 2026, ADR-007-frontend-backend-boundary.md).</w:t>
      </w:r>
    </w:p>
    <w:p>
      <w:pPr>
        <w:spacing w:after="160" w:before="200" w:line="480"/>
        <w:jc w:val="left"/>
      </w:pPr>
      <w:r>
        <w:rPr>
          <w:rFonts w:ascii="Times New Roman" w:cs="Times New Roman" w:eastAsia="Times New Roman" w:hAnsi="Times New Roman"/>
          <w:b/>
          <w:bCs/>
          <w:sz w:val="24"/>
          <w:szCs w:val="24"/>
        </w:rPr>
        <w:t xml:space="preserve">2.7 Alcance de rutas del MVP</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Estado</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Razón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Ocultar o remover del frontend las rutas de contratos de alquiler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Elegida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Alinea la navegación activa con el alcance real del MVP</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Mantener activas las rutas de contrato existentes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Tergiversa el alcance del MVP y crea flujos no soportados por el backend</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Agregar los contratos al MVP de manera informal</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Rompe la gobernanza de alcance y la trazabilidad con los requisitos</w:t>
            </w:r>
          </w:p>
        </w:tc>
      </w:tr>
    </w:tbl>
    <w:p>
      <w:pPr>
        <w:spacing w:after="160"/>
      </w:pPr>
    </w:p>
    <w:p>
      <w:pPr>
        <w:spacing w:after="200" w:line="480"/>
        <w:jc w:val="both"/>
      </w:pPr>
      <w:r>
        <w:rPr>
          <w:rFonts w:ascii="Times New Roman" w:cs="Times New Roman" w:eastAsia="Times New Roman" w:hAnsi="Times New Roman"/>
          <w:sz w:val="24"/>
          <w:szCs w:val="24"/>
        </w:rPr>
        <w:t xml:space="preserve">El catálogo de rutas distingue rutas públicas, de cliente, administrativas y legacy; agregar los contratos de alquiler al alcance requeriría un cambio de alcance aprobado y actualizar producto, requisitos, dominio, API y arquitectura (RentaMovil, 2026, ADR-008-mvp-route-boundary.md).</w:t>
      </w:r>
    </w:p>
    <w:p>
      <w:pPr>
        <w:spacing w:after="160" w:before="200" w:line="480"/>
        <w:jc w:val="left"/>
      </w:pPr>
      <w:r>
        <w:rPr>
          <w:rFonts w:ascii="Times New Roman" w:cs="Times New Roman" w:eastAsia="Times New Roman" w:hAnsi="Times New Roman"/>
          <w:b/>
          <w:bCs/>
          <w:sz w:val="24"/>
          <w:szCs w:val="24"/>
        </w:rPr>
        <w:t xml:space="preserve">2.8 Esquema y migraciones de base de datos</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Estado</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Razón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Un schema por servicio + un repositorio de migraciones por servicio</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Elegida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El ownership de cada tabla queda explícito en su nombre; los repos nunca colisionan entre sí</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Todas las tablas en </w:t>
            </w:r>
            <w:r>
              <w:rPr>
                <w:rFonts w:ascii="Times New Roman" w:cs="Times New Roman" w:eastAsia="Times New Roman" w:hAnsi="Times New Roman"/>
                <w:i/>
                <w:iCs/>
                <w:sz w:val="22"/>
                <w:szCs w:val="22"/>
              </w:rPr>
              <w:t xml:space="preserve">dbo</w:t>
            </w:r>
            <w:r>
              <w:rPr>
                <w:rFonts w:ascii="Times New Roman" w:cs="Times New Roman" w:eastAsia="Times New Roman" w:hAnsi="Times New Roman"/>
                <w:sz w:val="22"/>
                <w:szCs w:val="22"/>
              </w:rPr>
              <w:t xml:space="preserve">, un repositorio de migración por servicio</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El ownership queda solo por convención; cualquier servicio puede escribir en cualquier tabla</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Un repositorio de migración único y compartido entre todos los servicios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Acopla el release de todos los equipos a un solo repositorio</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Una base de datos independiente por servicio</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Descartada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Contradice la base de datos compartida y pierde las llaves foráneas entre contextos</w:t>
            </w:r>
          </w:p>
        </w:tc>
      </w:tr>
    </w:tbl>
    <w:p>
      <w:pPr>
        <w:spacing w:after="160"/>
      </w:pPr>
    </w:p>
    <w:p>
      <w:pPr>
        <w:spacing w:after="200" w:line="480"/>
        <w:jc w:val="both"/>
      </w:pPr>
      <w:r>
        <w:rPr>
          <w:rFonts w:ascii="Times New Roman" w:cs="Times New Roman" w:eastAsia="Times New Roman" w:hAnsi="Times New Roman"/>
          <w:sz w:val="24"/>
          <w:szCs w:val="24"/>
        </w:rPr>
        <w:t xml:space="preserve">La base de datos sigue siendo una única instancia de SQL Server compartida (</w:t>
      </w:r>
      <w:r>
        <w:rPr>
          <w:rFonts w:ascii="Times New Roman" w:cs="Times New Roman" w:eastAsia="Times New Roman" w:hAnsi="Times New Roman"/>
          <w:i/>
          <w:iCs/>
          <w:sz w:val="24"/>
          <w:szCs w:val="24"/>
        </w:rPr>
        <w:t xml:space="preserve">rentamovil</w:t>
      </w:r>
      <w:r>
        <w:rPr>
          <w:rFonts w:ascii="Times New Roman" w:cs="Times New Roman" w:eastAsia="Times New Roman" w:hAnsi="Times New Roman"/>
          <w:sz w:val="24"/>
          <w:szCs w:val="24"/>
        </w:rPr>
        <w:t xml:space="preserve">), con un schema por servicio de negocio (</w:t>
      </w:r>
      <w:r>
        <w:rPr>
          <w:rFonts w:ascii="Times New Roman" w:cs="Times New Roman" w:eastAsia="Times New Roman" w:hAnsi="Times New Roman"/>
          <w:i/>
          <w:iCs/>
          <w:sz w:val="24"/>
          <w:szCs w:val="24"/>
        </w:rPr>
        <w:t xml:space="preserve">iam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fleet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telemetry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booking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payment</w:t>
      </w:r>
      <w:r>
        <w:rPr>
          <w:rFonts w:ascii="Times New Roman" w:cs="Times New Roman" w:eastAsia="Times New Roman" w:hAnsi="Times New Roman"/>
          <w:sz w:val="24"/>
          <w:szCs w:val="24"/>
        </w:rPr>
        <w:t xml:space="preserve">) y un repositorio </w:t>
      </w:r>
      <w:r>
        <w:rPr>
          <w:rFonts w:ascii="Times New Roman" w:cs="Times New Roman" w:eastAsia="Times New Roman" w:hAnsi="Times New Roman"/>
          <w:i/>
          <w:iCs/>
          <w:sz w:val="24"/>
          <w:szCs w:val="24"/>
        </w:rPr>
        <w:t xml:space="preserve">rtm-&lt;servicio&gt;-db</w:t>
      </w:r>
      <w:r>
        <w:rPr>
          <w:rFonts w:ascii="Times New Roman" w:cs="Times New Roman" w:eastAsia="Times New Roman" w:hAnsi="Times New Roman"/>
          <w:sz w:val="24"/>
          <w:szCs w:val="24"/>
        </w:rPr>
        <w:t xml:space="preserve"> por servicio. El orden de ejecución entre repositorios es fijo (</w:t>
      </w:r>
      <w:r>
        <w:rPr>
          <w:rFonts w:ascii="Times New Roman" w:cs="Times New Roman" w:eastAsia="Times New Roman" w:hAnsi="Times New Roman"/>
          <w:i/>
          <w:iCs/>
          <w:sz w:val="24"/>
          <w:szCs w:val="24"/>
        </w:rPr>
        <w:t xml:space="preserve">iam</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fleet-maintenance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telemetry-gps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booking-reservation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payment-billing</w:t>
      </w:r>
      <w:r>
        <w:rPr>
          <w:rFonts w:ascii="Times New Roman" w:cs="Times New Roman" w:eastAsia="Times New Roman" w:hAnsi="Times New Roman"/>
          <w:sz w:val="24"/>
          <w:szCs w:val="24"/>
        </w:rPr>
        <w:t xml:space="preserve">) para que las llaves foráneas entre servicios siempre apunten a tablas ya existentes (RentaMovil, 2026, ADR-009-schema-per-service-and-migration-repos.md).</w:t>
      </w:r>
    </w:p>
    <w:p>
      <w:pPr>
        <w:spacing w:after="240" w:before="240" w:line="480"/>
        <w:jc w:val="center"/>
      </w:pPr>
      <w:r>
        <w:rPr>
          <w:rFonts w:ascii="Times New Roman" w:cs="Times New Roman" w:eastAsia="Times New Roman" w:hAnsi="Times New Roman"/>
          <w:b/>
          <w:bCs/>
          <w:sz w:val="24"/>
          <w:szCs w:val="24"/>
        </w:rPr>
        <w:t xml:space="preserve">3. Pila tecnológica propuesta</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Capa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Tecnología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Justificación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Backend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Java + Spring Boot, Arquitectura Hexagonal</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Separa las reglas de negocio de Spring, SQL Server y el transporte; es el estándar del programa de formación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Base de datos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Microsoft SQL Server (instancia compartida, un schema por servicio)</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Única tecnología de persistencia declarada para el proyecto; migrada con Liquibase por servicio</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Web (cliente y administración)</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React + Vite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Permite una arquitectura por funcionalidad y componentes reutilizables, con tiempos de compilación rápidos</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Móvil (cliente)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Expo + React Native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Un solo código fuente para Android/iOS, con Expo Router para la navegación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Autenticación</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JWT firmado con RS256, emitido por el servicio de identidad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Permite que cada microservicio verifique el token de forma independiente, sin consultar al emisor en cada petición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Comunicación</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REST síncrono entre cliente y backend; eventos de dominio asíncronos entre servicios, con entrega </w:t>
            </w:r>
            <w:r>
              <w:rPr>
                <w:rFonts w:ascii="Times New Roman" w:cs="Times New Roman" w:eastAsia="Times New Roman" w:hAnsi="Times New Roman"/>
                <w:i/>
                <w:iCs/>
                <w:sz w:val="22"/>
                <w:szCs w:val="22"/>
              </w:rPr>
              <w:t xml:space="preserve">at-least-once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Exige que los flujos de pago, alquiler, telemetría y notificación sean idempotentes</w:t>
            </w:r>
          </w:p>
        </w:tc>
      </w:tr>
    </w:tbl>
    <w:p>
      <w:pPr>
        <w:spacing w:after="160"/>
      </w:pPr>
    </w:p>
    <w:p>
      <w:pPr>
        <w:spacing w:after="200" w:line="480"/>
        <w:jc w:val="both"/>
      </w:pPr>
      <w:r>
        <w:rPr>
          <w:rFonts w:ascii="Times New Roman" w:cs="Times New Roman" w:eastAsia="Times New Roman" w:hAnsi="Times New Roman"/>
          <w:sz w:val="24"/>
          <w:szCs w:val="24"/>
        </w:rPr>
        <w:t xml:space="preserve">(RentaMovil, 2026, 05-architecture/overview.md)</w:t>
      </w:r>
    </w:p>
    <w:p>
      <w:pPr>
        <w:spacing w:after="240" w:before="240" w:line="480"/>
        <w:jc w:val="center"/>
      </w:pPr>
      <w:r>
        <w:rPr>
          <w:rFonts w:ascii="Times New Roman" w:cs="Times New Roman" w:eastAsia="Times New Roman" w:hAnsi="Times New Roman"/>
          <w:b/>
          <w:bCs/>
          <w:sz w:val="24"/>
          <w:szCs w:val="24"/>
        </w:rPr>
        <w:t xml:space="preserve">4. Arquitectura propuesta a alto nivel</w:t>
      </w:r>
    </w:p>
    <w:p>
      <w:pPr>
        <w:spacing w:after="200" w:line="480"/>
        <w:jc w:val="both"/>
      </w:pPr>
      <w:r>
        <w:rPr>
          <w:rFonts w:ascii="Times New Roman" w:cs="Times New Roman" w:eastAsia="Times New Roman" w:hAnsi="Times New Roman"/>
          <w:sz w:val="24"/>
          <w:szCs w:val="24"/>
        </w:rPr>
        <w:t xml:space="preserve">La arquitectura es cliente-servidor: las aplicaciones web y móvil de cliente, y la interfaz web administrativa, consumen las API del backend mediante contratos publicados (OpenAPI). El backend se organiza en siete Bounded Contexts, agrupados en servicios desplegables:</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4513"/>
        <w:gridCol w:w="4513"/>
      </w:tblGrid>
      <w:tr>
        <w:trPr>
          <w:tblHeader/>
        </w:trPr>
        <w:tc>
          <w:tcPr>
            <w:tcW w:type="dxa" w:w="4513"/>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Bounded Context</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Servicio objetivo</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Identity &amp; Access</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identity-access-service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Fleet &amp; Maintenance</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fleet-maintenance-service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Booking &amp; Reservation</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booking-reservation-service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Rental Execution</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rental-execution-service (ejecuta dentro de booking-reservation)</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Payment &amp; Billing</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payment-billing-service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Telemetry &amp; GPS</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telemetry-gps-service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Notification</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notification-service (ejecuta dentro de booking-reservation)</w:t>
            </w:r>
          </w:p>
        </w:tc>
      </w:tr>
    </w:tbl>
    <w:p>
      <w:pPr>
        <w:spacing w:after="160"/>
      </w:pPr>
    </w:p>
    <w:p>
      <w:pPr>
        <w:spacing w:after="200" w:line="480"/>
        <w:jc w:val="both"/>
      </w:pPr>
      <w:r>
        <w:rPr>
          <w:rFonts w:ascii="Times New Roman" w:cs="Times New Roman" w:eastAsia="Times New Roman" w:hAnsi="Times New Roman"/>
          <w:i/>
          <w:iCs/>
          <w:sz w:val="24"/>
          <w:szCs w:val="24"/>
        </w:rPr>
        <w:t xml:space="preserve">audit</w:t>
      </w:r>
      <w:r>
        <w:rPr>
          <w:rFonts w:ascii="Times New Roman" w:cs="Times New Roman" w:eastAsia="Times New Roman" w:hAnsi="Times New Roman"/>
          <w:sz w:val="24"/>
          <w:szCs w:val="24"/>
        </w:rPr>
        <w:t xml:space="preserve"> es infraestructura transversal escrita directamente por los siete contextos, no un Bounded Context propio con pantalla o microservicio dedicado.</w:t>
      </w:r>
    </w:p>
    <w:p>
      <w:pPr>
        <w:spacing w:after="200" w:line="480"/>
        <w:jc w:val="both"/>
      </w:pPr>
      <w:r>
        <w:rPr>
          <w:rFonts w:ascii="Times New Roman" w:cs="Times New Roman" w:eastAsia="Times New Roman" w:hAnsi="Times New Roman"/>
          <w:b/>
          <w:bCs/>
          <w:sz w:val="24"/>
          <w:szCs w:val="24"/>
        </w:rPr>
        <w:t xml:space="preserve">Principios arquitectónicos:</w:t>
      </w:r>
      <w:r>
        <w:rPr>
          <w:rFonts w:ascii="Times New Roman" w:cs="Times New Roman" w:eastAsia="Times New Roman" w:hAnsi="Times New Roman"/>
          <w:sz w:val="24"/>
          <w:szCs w:val="24"/>
        </w:rPr>
        <w:t xml:space="preserve"> contratos de API antes de implementar endpoints públicos (</w:t>
      </w:r>
      <w:r>
        <w:rPr>
          <w:rFonts w:ascii="Times New Roman" w:cs="Times New Roman" w:eastAsia="Times New Roman" w:hAnsi="Times New Roman"/>
          <w:i/>
          <w:iCs/>
          <w:sz w:val="24"/>
          <w:szCs w:val="24"/>
        </w:rPr>
        <w:t xml:space="preserve">API first</w:t>
      </w:r>
      <w:r>
        <w:rPr>
          <w:rFonts w:ascii="Times New Roman" w:cs="Times New Roman" w:eastAsia="Times New Roman" w:hAnsi="Times New Roman"/>
          <w:sz w:val="24"/>
          <w:szCs w:val="24"/>
        </w:rPr>
        <w:t xml:space="preserve">); aislamiento de dominio respecto a Spring, SQL Server y el transporte; ownership delimitado por contexto; dependencias controladas únicamente vía REST o eventos de dominio publicados, nunca acceso interno directo; seguridad incorporada desde el diseño; evolución incremental del sistema.</w:t>
      </w:r>
    </w:p>
    <w:p>
      <w:pPr>
        <w:spacing w:after="200" w:line="480"/>
        <w:jc w:val="both"/>
      </w:pPr>
      <w:r>
        <w:rPr>
          <w:rFonts w:ascii="Times New Roman" w:cs="Times New Roman" w:eastAsia="Times New Roman" w:hAnsi="Times New Roman"/>
          <w:b/>
          <w:bCs/>
          <w:sz w:val="24"/>
          <w:szCs w:val="24"/>
        </w:rPr>
        <w:t xml:space="preserve">Patrones arquitectónicos:</w:t>
      </w:r>
      <w:r>
        <w:rPr>
          <w:rFonts w:ascii="Times New Roman" w:cs="Times New Roman" w:eastAsia="Times New Roman" w:hAnsi="Times New Roman"/>
          <w:sz w:val="24"/>
          <w:szCs w:val="24"/>
        </w:rPr>
        <w:t xml:space="preserve"> Arquitectura Hexagonal (adoptada en el backend), Feature-Based y Component-Driven (adoptados en el cliente móvil), API Gateway (frontera objetivo del sistema), Saga/Outbox y Circuit Breaker (a evaluar para flujos entre contextos y llamadas entre servicios desplegados de forma independiente, respectivamente). Una eventual migración de la base de datos compartida a una base de datos por servicio requeriría un nuevo ADR (RentaMovil, 2026, 05-architecture/overview.md).</w:t>
      </w:r>
    </w:p>
    <w:p>
      <w:pPr>
        <w:spacing w:after="240" w:before="240" w:line="480"/>
        <w:jc w:val="center"/>
      </w:pPr>
      <w:r>
        <w:rPr>
          <w:rFonts w:ascii="Times New Roman" w:cs="Times New Roman" w:eastAsia="Times New Roman" w:hAnsi="Times New Roman"/>
          <w:b/>
          <w:bCs/>
          <w:sz w:val="24"/>
          <w:szCs w:val="24"/>
        </w:rPr>
        <w:t xml:space="preserve">5. Viabilidad</w:t>
      </w:r>
    </w:p>
    <w:p>
      <w:pPr>
        <w:spacing w:after="160" w:before="200" w:line="480"/>
        <w:jc w:val="left"/>
      </w:pPr>
      <w:r>
        <w:rPr>
          <w:rFonts w:ascii="Times New Roman" w:cs="Times New Roman" w:eastAsia="Times New Roman" w:hAnsi="Times New Roman"/>
          <w:b/>
          <w:bCs/>
          <w:sz w:val="24"/>
          <w:szCs w:val="24"/>
        </w:rPr>
        <w:t xml:space="preserve">5.1 Viabilidad técnica</w:t>
      </w:r>
    </w:p>
    <w:p>
      <w:pPr>
        <w:spacing w:after="200" w:line="480"/>
        <w:jc w:val="both"/>
      </w:pPr>
      <w:r>
        <w:rPr>
          <w:rFonts w:ascii="Times New Roman" w:cs="Times New Roman" w:eastAsia="Times New Roman" w:hAnsi="Times New Roman"/>
          <w:sz w:val="24"/>
          <w:szCs w:val="24"/>
        </w:rPr>
        <w:t xml:space="preserve">El equipo cuenta con experiencia previa en Java/Spring Boot, React y bases de datos relacionales, reforzada durante el programa de formación. El stack elegido (sección 3) usa herramientas de uso extendido en la industria y con documentación abundante, lo que reduce el riesgo de adopción. La principal complejidad técnica identificada es la coordinación de migraciones entre los repositorios </w:t>
      </w:r>
      <w:r>
        <w:rPr>
          <w:rFonts w:ascii="Times New Roman" w:cs="Times New Roman" w:eastAsia="Times New Roman" w:hAnsi="Times New Roman"/>
          <w:i/>
          <w:iCs/>
          <w:sz w:val="24"/>
          <w:szCs w:val="24"/>
        </w:rPr>
        <w:t xml:space="preserve">rtm-&lt;servicio&gt;-db</w:t>
      </w:r>
      <w:r>
        <w:rPr>
          <w:rFonts w:ascii="Times New Roman" w:cs="Times New Roman" w:eastAsia="Times New Roman" w:hAnsi="Times New Roman"/>
          <w:sz w:val="24"/>
          <w:szCs w:val="24"/>
        </w:rPr>
        <w:t xml:space="preserve">, mitigada mediante el orden de ejecución fijo descrito en la sección 2.8.</w:t>
      </w:r>
    </w:p>
    <w:p>
      <w:pPr>
        <w:spacing w:after="160" w:before="200" w:line="480"/>
        <w:jc w:val="left"/>
      </w:pPr>
      <w:r>
        <w:rPr>
          <w:rFonts w:ascii="Times New Roman" w:cs="Times New Roman" w:eastAsia="Times New Roman" w:hAnsi="Times New Roman"/>
          <w:b/>
          <w:bCs/>
          <w:sz w:val="24"/>
          <w:szCs w:val="24"/>
        </w:rPr>
        <w:t xml:space="preserve">5.2 Viabilidad operativa</w:t>
      </w:r>
    </w:p>
    <w:p>
      <w:pPr>
        <w:spacing w:after="200" w:line="480"/>
        <w:jc w:val="both"/>
      </w:pPr>
      <w:r>
        <w:rPr>
          <w:rFonts w:ascii="Times New Roman" w:cs="Times New Roman" w:eastAsia="Times New Roman" w:hAnsi="Times New Roman"/>
          <w:sz w:val="24"/>
          <w:szCs w:val="24"/>
        </w:rPr>
        <w:t xml:space="preserve">El proyecto se desarrolla con un equipo de 3 integrantes bajo la metodología descrita en la sección 6, con herramientas gratuitas o con nivel gratuito disponible (Jira, GitHub, Docker). No se identifican dependencias de infraestructura de producción fuera del alcance de un entorno de desarrollo y pruebas local o en contenedores (RentaMovil, 2026, 00-governance/agile- conventions.md).</w:t>
      </w:r>
    </w:p>
    <w:p>
      <w:pPr>
        <w:spacing w:after="160" w:before="200" w:line="480"/>
        <w:jc w:val="left"/>
      </w:pPr>
      <w:r>
        <w:rPr>
          <w:rFonts w:ascii="Times New Roman" w:cs="Times New Roman" w:eastAsia="Times New Roman" w:hAnsi="Times New Roman"/>
          <w:b/>
          <w:bCs/>
          <w:sz w:val="24"/>
          <w:szCs w:val="24"/>
        </w:rPr>
        <w:t xml:space="preserve">5.3 Viabilidad económica</w:t>
      </w:r>
    </w:p>
    <w:p>
      <w:pPr>
        <w:spacing w:after="200" w:line="480"/>
        <w:jc w:val="both"/>
      </w:pPr>
      <w:r>
        <w:rPr>
          <w:rFonts w:ascii="Times New Roman" w:cs="Times New Roman" w:eastAsia="Times New Roman" w:hAnsi="Times New Roman"/>
          <w:sz w:val="24"/>
          <w:szCs w:val="24"/>
        </w:rPr>
        <w:t xml:space="preserve">Al tratarse de un proyecto académico, no existe presupuesto asignado para infraestructura de producción ni para licencias comerciales. El stack tecnológico propuesto (sección 3) usa en su totalidad herramientas de código abierto o con nivel gratuito suficiente para el alcance del MVP (Java, Spring Boot, SQL Server Developer Edition, React, Expo, Docker). No se realizó un análisis de costo-beneficio formal de despliegue en producción, por estar fuera del alcance académico del programa de formación.</w:t>
      </w:r>
    </w:p>
    <w:p>
      <w:pPr>
        <w:spacing w:after="240" w:before="240" w:line="480"/>
        <w:jc w:val="center"/>
      </w:pPr>
      <w:r>
        <w:rPr>
          <w:rFonts w:ascii="Times New Roman" w:cs="Times New Roman" w:eastAsia="Times New Roman" w:hAnsi="Times New Roman"/>
          <w:b/>
          <w:bCs/>
          <w:sz w:val="24"/>
          <w:szCs w:val="24"/>
        </w:rPr>
        <w:t xml:space="preserve">6. Metodología de desarrollo</w:t>
      </w:r>
    </w:p>
    <w:p>
      <w:pPr>
        <w:spacing w:after="200" w:line="480"/>
        <w:jc w:val="both"/>
      </w:pPr>
      <w:r>
        <w:rPr>
          <w:rFonts w:ascii="Times New Roman" w:cs="Times New Roman" w:eastAsia="Times New Roman" w:hAnsi="Times New Roman"/>
          <w:sz w:val="24"/>
          <w:szCs w:val="24"/>
        </w:rPr>
        <w:t xml:space="preserve">El equipo acordó trabajar bajo </w:t>
      </w:r>
      <w:r>
        <w:rPr>
          <w:rFonts w:ascii="Times New Roman" w:cs="Times New Roman" w:eastAsia="Times New Roman" w:hAnsi="Times New Roman"/>
          <w:b/>
          <w:bCs/>
          <w:sz w:val="24"/>
          <w:szCs w:val="24"/>
        </w:rPr>
        <w:t xml:space="preserve">Scrum</w:t>
      </w:r>
      <w:r>
        <w:rPr>
          <w:rFonts w:ascii="Times New Roman" w:cs="Times New Roman" w:eastAsia="Times New Roman" w:hAnsi="Times New Roman"/>
          <w:sz w:val="24"/>
          <w:szCs w:val="24"/>
        </w:rPr>
        <w:t xml:space="preserve">, con sprints de </w:t>
      </w:r>
      <w:r>
        <w:rPr>
          <w:rFonts w:ascii="Times New Roman" w:cs="Times New Roman" w:eastAsia="Times New Roman" w:hAnsi="Times New Roman"/>
          <w:b/>
          <w:bCs/>
          <w:sz w:val="24"/>
          <w:szCs w:val="24"/>
        </w:rPr>
        <w:t xml:space="preserve">una semana</w:t>
      </w:r>
      <w:r>
        <w:rPr>
          <w:rFonts w:ascii="Times New Roman" w:cs="Times New Roman" w:eastAsia="Times New Roman" w:hAnsi="Times New Roman"/>
          <w:sz w:val="24"/>
          <w:szCs w:val="24"/>
        </w:rPr>
        <w:t xml:space="preserve"> (lunes a viernes) para un equipo de </w:t>
      </w:r>
      <w:r>
        <w:rPr>
          <w:rFonts w:ascii="Times New Roman" w:cs="Times New Roman" w:eastAsia="Times New Roman" w:hAnsi="Times New Roman"/>
          <w:b/>
          <w:bCs/>
          <w:sz w:val="24"/>
          <w:szCs w:val="24"/>
        </w:rPr>
        <w:t xml:space="preserve">3 personas</w:t>
      </w:r>
      <w:r>
        <w:rPr>
          <w:rFonts w:ascii="Times New Roman" w:cs="Times New Roman" w:eastAsia="Times New Roman" w:hAnsi="Times New Roman"/>
          <w:sz w:val="24"/>
          <w:szCs w:val="24"/>
        </w:rPr>
        <w:t xml:space="preserve">. Las ceremonias se comprimieron para ajustarse a la duración corta del sprint:</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2256"/>
        <w:gridCol w:w="2256"/>
        <w:gridCol w:w="2256"/>
        <w:gridCol w:w="2258"/>
      </w:tblGrid>
      <w:tr>
        <w:trPr>
          <w:tblHeader/>
        </w:trPr>
        <w:tc>
          <w:tcPr>
            <w:tcW w:type="dxa" w:w="2256"/>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Ceremonia</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Momento</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Duración máxima</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Participantes</w:t>
            </w:r>
          </w:p>
        </w:tc>
      </w:tr>
      <w:tr>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Sprint Planning</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Lunes</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1 hora</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Equipo completo</w:t>
            </w:r>
          </w:p>
        </w:tc>
      </w:tr>
      <w:tr>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Daily Stand-up</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Diario</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15 minutos</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Equipo completo</w:t>
            </w:r>
          </w:p>
        </w:tc>
      </w:tr>
      <w:tr>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Backlog Refinement</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Miércoles</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30 minutos</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Equipo completo</w:t>
            </w:r>
          </w:p>
        </w:tc>
      </w:tr>
      <w:tr>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Sprint Review</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Viernes</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30 minutos</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Equipo + Product Owner</w:t>
            </w:r>
          </w:p>
        </w:tc>
      </w:tr>
      <w:tr>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Sprint Retrospective</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Viernes (tras la Review)</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30 minutos</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Equipo completo</w:t>
            </w:r>
          </w:p>
        </w:tc>
      </w:tr>
    </w:tbl>
    <w:p>
      <w:pPr>
        <w:spacing w:after="160"/>
      </w:pPr>
    </w:p>
    <w:p>
      <w:pPr>
        <w:spacing w:after="200" w:line="480"/>
        <w:jc w:val="both"/>
      </w:pPr>
      <w:r>
        <w:rPr>
          <w:rFonts w:ascii="Times New Roman" w:cs="Times New Roman" w:eastAsia="Times New Roman" w:hAnsi="Times New Roman"/>
          <w:sz w:val="24"/>
          <w:szCs w:val="24"/>
        </w:rPr>
        <w:t xml:space="preserve">Cada retrospectiva debe producir al menos una acción de mejora con responsable y fecha límite. La estimación de historias usa la escala </w:t>
      </w:r>
      <w:r>
        <w:rPr>
          <w:rFonts w:ascii="Times New Roman" w:cs="Times New Roman" w:eastAsia="Times New Roman" w:hAnsi="Times New Roman"/>
          <w:b/>
          <w:bCs/>
          <w:sz w:val="24"/>
          <w:szCs w:val="24"/>
        </w:rPr>
        <w:t xml:space="preserve">Fibonacci</w:t>
      </w:r>
      <w:r>
        <w:rPr>
          <w:rFonts w:ascii="Times New Roman" w:cs="Times New Roman" w:eastAsia="Times New Roman" w:hAnsi="Times New Roman"/>
          <w:sz w:val="24"/>
          <w:szCs w:val="24"/>
        </w:rPr>
        <w:t xml:space="preserve"> (1, 2, 3, 5, 8, 13) mediante </w:t>
      </w:r>
      <w:r>
        <w:rPr>
          <w:rFonts w:ascii="Times New Roman" w:cs="Times New Roman" w:eastAsia="Times New Roman" w:hAnsi="Times New Roman"/>
          <w:b/>
          <w:bCs/>
          <w:sz w:val="24"/>
          <w:szCs w:val="24"/>
        </w:rPr>
        <w:t xml:space="preserve">Planning Poker</w:t>
      </w:r>
      <w:r>
        <w:rPr>
          <w:rFonts w:ascii="Times New Roman" w:cs="Times New Roman" w:eastAsia="Times New Roman" w:hAnsi="Times New Roman"/>
          <w:sz w:val="24"/>
          <w:szCs w:val="24"/>
        </w:rPr>
        <w:t xml:space="preserve">; una historia estimada en 8 o 13 puntos debe dividirse antes de entrar al sprint. El backlog se gestiona en </w:t>
      </w:r>
      <w:r>
        <w:rPr>
          <w:rFonts w:ascii="Times New Roman" w:cs="Times New Roman" w:eastAsia="Times New Roman" w:hAnsi="Times New Roman"/>
          <w:b/>
          <w:bCs/>
          <w:sz w:val="24"/>
          <w:szCs w:val="24"/>
        </w:rPr>
        <w:t xml:space="preserve">Jira</w:t>
      </w:r>
      <w:r>
        <w:rPr>
          <w:rFonts w:ascii="Times New Roman" w:cs="Times New Roman" w:eastAsia="Times New Roman" w:hAnsi="Times New Roman"/>
          <w:sz w:val="24"/>
          <w:szCs w:val="24"/>
        </w:rPr>
        <w:t xml:space="preserve">, con tablero de columnas Backlog → Ready → In Progress → In Review → Done (RentaMovil, 2026, 00-governance/agile-conventions.md).</w:t>
      </w:r>
    </w:p>
    <w:p>
      <w:pPr>
        <w:spacing w:after="240" w:before="240" w:line="480"/>
        <w:jc w:val="center"/>
      </w:pPr>
      <w:r>
        <w:rPr>
          <w:rFonts w:ascii="Times New Roman" w:cs="Times New Roman" w:eastAsia="Times New Roman" w:hAnsi="Times New Roman"/>
          <w:b/>
          <w:bCs/>
          <w:sz w:val="24"/>
          <w:szCs w:val="24"/>
        </w:rPr>
        <w:t xml:space="preserve">7. Recursos necesarios</w:t>
      </w:r>
    </w:p>
    <w:p>
      <w:pPr>
        <w:spacing w:after="160" w:before="200" w:line="480"/>
        <w:jc w:val="left"/>
      </w:pPr>
      <w:r>
        <w:rPr>
          <w:rFonts w:ascii="Times New Roman" w:cs="Times New Roman" w:eastAsia="Times New Roman" w:hAnsi="Times New Roman"/>
          <w:b/>
          <w:bCs/>
          <w:sz w:val="24"/>
          <w:szCs w:val="24"/>
        </w:rPr>
        <w:t xml:space="preserve">7.1 Recursos humanos</w:t>
      </w:r>
    </w:p>
    <w:p>
      <w:pPr>
        <w:spacing w:after="200" w:line="480"/>
        <w:jc w:val="both"/>
      </w:pPr>
      <w:r>
        <w:rPr>
          <w:rFonts w:ascii="Times New Roman" w:cs="Times New Roman" w:eastAsia="Times New Roman" w:hAnsi="Times New Roman"/>
          <w:sz w:val="24"/>
          <w:szCs w:val="24"/>
        </w:rPr>
        <w:t xml:space="preserve">El equipo está compuesto por 3 integrantes, con los roles ya definidos en la especificación de requisitos del proyecto:</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Integrante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Rol</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Responsabilidad</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Nicole Dayana Ramírez Vargas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Líder</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Liderar, planificar y supervisar la entrega del proyecto</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David Santiago Erez Rodríguez</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Desarrollador</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Programar el aplicativo web</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Thiago Fabian Rojas Guevara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Analista</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Análisis de información, diseño y programación</w:t>
            </w:r>
          </w:p>
        </w:tc>
      </w:tr>
    </w:tbl>
    <w:p>
      <w:pPr>
        <w:spacing w:after="160"/>
      </w:pPr>
    </w:p>
    <w:p>
      <w:pPr>
        <w:spacing w:after="200" w:line="480"/>
        <w:jc w:val="both"/>
      </w:pPr>
      <w:r>
        <w:rPr>
          <w:rFonts w:ascii="Times New Roman" w:cs="Times New Roman" w:eastAsia="Times New Roman" w:hAnsi="Times New Roman"/>
          <w:sz w:val="24"/>
          <w:szCs w:val="24"/>
        </w:rPr>
        <w:t xml:space="preserve">(RentaMovil, 2026, Documento 1 — Especificación de Requisitos de Software, sección 1.7)</w:t>
      </w:r>
    </w:p>
    <w:p>
      <w:pPr>
        <w:spacing w:after="160" w:before="200" w:line="480"/>
        <w:jc w:val="left"/>
      </w:pPr>
      <w:r>
        <w:rPr>
          <w:rFonts w:ascii="Times New Roman" w:cs="Times New Roman" w:eastAsia="Times New Roman" w:hAnsi="Times New Roman"/>
          <w:b/>
          <w:bCs/>
          <w:sz w:val="24"/>
          <w:szCs w:val="24"/>
        </w:rPr>
        <w:t xml:space="preserve">7.2 Recursos de software</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4513"/>
        <w:gridCol w:w="4513"/>
      </w:tblGrid>
      <w:tr>
        <w:trPr>
          <w:tblHeader/>
        </w:trPr>
        <w:tc>
          <w:tcPr>
            <w:tcW w:type="dxa" w:w="4513"/>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Categoría</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Herramientas</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Backend</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Java (JDK), Spring Boot, Maven/Gradle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Base de datos</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Microsoft SQL Server Developer Edition, Liquibase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Frontend web</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Node.js, React, Vite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Aplicación móvil</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Expo, React Native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Control de versiones</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Git, GitHub</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Gestión del backlog</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Jira</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Contenedores</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Docker</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Entornos de desarrollo</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IDE del equipo (IntelliJ IDEA, Visual Studio Code)</w:t>
            </w:r>
          </w:p>
        </w:tc>
      </w:tr>
    </w:tbl>
    <w:p>
      <w:pPr>
        <w:spacing w:after="160"/>
      </w:pPr>
    </w:p>
    <w:p>
      <w:pPr>
        <w:spacing w:after="200" w:line="480"/>
        <w:jc w:val="both"/>
      </w:pPr>
      <w:r>
        <w:rPr>
          <w:rFonts w:ascii="Times New Roman" w:cs="Times New Roman" w:eastAsia="Times New Roman" w:hAnsi="Times New Roman"/>
          <w:sz w:val="24"/>
          <w:szCs w:val="24"/>
        </w:rPr>
        <w:t xml:space="preserve">Todas las herramientas listadas son de código abierto o cuentan con un nivel gratuito suficiente para el alcance del MVP, consistente con lo descrito en la viabilidad económica (sección 5.3).</w:t>
      </w:r>
    </w:p>
    <w:p>
      <w:pPr>
        <w:spacing w:after="160" w:before="200" w:line="480"/>
        <w:jc w:val="left"/>
      </w:pPr>
      <w:r>
        <w:rPr>
          <w:rFonts w:ascii="Times New Roman" w:cs="Times New Roman" w:eastAsia="Times New Roman" w:hAnsi="Times New Roman"/>
          <w:b/>
          <w:bCs/>
          <w:sz w:val="24"/>
          <w:szCs w:val="24"/>
        </w:rPr>
        <w:t xml:space="preserve">7.3 Recursos de hardware</w:t>
      </w:r>
    </w:p>
    <w:p>
      <w:pPr>
        <w:spacing w:after="200" w:line="480"/>
        <w:jc w:val="both"/>
      </w:pPr>
      <w:r>
        <w:rPr>
          <w:rFonts w:ascii="Times New Roman" w:cs="Times New Roman" w:eastAsia="Times New Roman" w:hAnsi="Times New Roman"/>
          <w:sz w:val="24"/>
          <w:szCs w:val="24"/>
        </w:rPr>
        <w:t xml:space="preserve">El proyecto no requiere servidores de producción: el desarrollo, las pruebas y la integración se realizan en los equipos de cómputo de los integrantes del equipo y en contenedores Docker locales. Las pruebas de la aplicación móvil se realizan sobre emuladores (Android/iOS) o dispositivos físicos propios del equipo, sin infraestructura adicional.</w:t>
      </w:r>
    </w:p>
    <w:p>
      <w:pPr>
        <w:spacing w:after="240" w:before="240" w:line="480"/>
        <w:jc w:val="center"/>
      </w:pPr>
      <w:r>
        <w:rPr>
          <w:rFonts w:ascii="Times New Roman" w:cs="Times New Roman" w:eastAsia="Times New Roman" w:hAnsi="Times New Roman"/>
          <w:b/>
          <w:bCs/>
          <w:sz w:val="24"/>
          <w:szCs w:val="24"/>
        </w:rPr>
        <w:t xml:space="preserve">8. Estado actual y cronograma propuesto</w:t>
      </w:r>
    </w:p>
    <w:p>
      <w:pPr>
        <w:spacing w:after="200" w:line="480"/>
        <w:jc w:val="both"/>
      </w:pPr>
      <w:r>
        <w:rPr>
          <w:rFonts w:ascii="Times New Roman" w:cs="Times New Roman" w:eastAsia="Times New Roman" w:hAnsi="Times New Roman"/>
          <w:sz w:val="24"/>
          <w:szCs w:val="24"/>
        </w:rPr>
        <w:t xml:space="preserve">El backlog del proyecto, documentado en </w:t>
      </w:r>
      <w:r>
        <w:rPr>
          <w:rFonts w:ascii="Times New Roman" w:cs="Times New Roman" w:eastAsia="Times New Roman" w:hAnsi="Times New Roman"/>
          <w:i/>
          <w:iCs/>
          <w:sz w:val="24"/>
          <w:szCs w:val="24"/>
        </w:rPr>
        <w:t xml:space="preserve">04-requirements/user-stories.md</w:t>
      </w:r>
      <w:r>
        <w:rPr>
          <w:rFonts w:ascii="Times New Roman" w:cs="Times New Roman" w:eastAsia="Times New Roman" w:hAnsi="Times New Roman"/>
          <w:sz w:val="24"/>
          <w:szCs w:val="24"/>
        </w:rPr>
        <w:t xml:space="preserve">, está organizado en 7 épicas (una por Bounded Context) con 31 historias de usuario en total, estimadas entre 2 y 5 puntos cada una.</w:t>
      </w:r>
    </w:p>
    <w:p>
      <w:pPr>
        <w:spacing w:after="200" w:line="480"/>
        <w:jc w:val="both"/>
      </w:pPr>
      <w:r>
        <w:rPr>
          <w:rFonts w:ascii="Times New Roman" w:cs="Times New Roman" w:eastAsia="Times New Roman" w:hAnsi="Times New Roman"/>
          <w:sz w:val="24"/>
          <w:szCs w:val="24"/>
        </w:rPr>
        <w:t xml:space="preserve">Esta propuesta sugiere ejecutar las épicas siguiendo el mismo orden de dependencia que ya rige las migraciones de base de datos entre servicios (sección 2.8), de modo que ningún servicio dependa de tablas o contratos que todavía no existen:</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Orden</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Épica (Bounded Context)</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Dependencia</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1</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Identity &amp; Access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Ninguna — autenticación requerida por el resto</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2</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Fleet &amp; Maintenance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Identity &amp; Access (roles y permisos)</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3</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Telemetry &amp; GPS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Fleet &amp; Maintenance (vehículos a rastrear)</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4</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Booking &amp; Reservation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Identity &amp; Access, Fleet &amp; Maintenance</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5</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Rental Execution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Booking &amp; Reservation (reserva confirmada)</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6</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Payment &amp; Billing</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Booking &amp; Reservation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7</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Notification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Transversal a los eventos de las épicas anteriores</w:t>
            </w:r>
          </w:p>
        </w:tc>
      </w:tr>
    </w:tbl>
    <w:p>
      <w:pPr>
        <w:spacing w:after="160"/>
      </w:pPr>
    </w:p>
    <w:p>
      <w:pPr>
        <w:spacing w:after="200" w:line="480"/>
        <w:jc w:val="both"/>
      </w:pPr>
      <w:r>
        <w:rPr>
          <w:rFonts w:ascii="Times New Roman" w:cs="Times New Roman" w:eastAsia="Times New Roman" w:hAnsi="Times New Roman"/>
          <w:sz w:val="24"/>
          <w:szCs w:val="24"/>
        </w:rPr>
        <w:t xml:space="preserve">Con sprints de una semana y un equipo de 3 personas, cada épica puede distribuirse en uno o más sprints según el número de historias y su estimación en puntos; el calendario exacto por sprint queda sujeto a la Sprint Planning de cada semana, conforme a la metodología descrita en la sección 6.</w:t>
      </w:r>
    </w:p>
    <w:p>
      <w:pPr>
        <w:spacing w:after="240" w:before="240" w:line="480"/>
        <w:jc w:val="center"/>
      </w:pPr>
      <w:r>
        <w:rPr>
          <w:rFonts w:ascii="Times New Roman" w:cs="Times New Roman" w:eastAsia="Times New Roman" w:hAnsi="Times New Roman"/>
          <w:b/>
          <w:bCs/>
          <w:sz w:val="24"/>
          <w:szCs w:val="24"/>
        </w:rPr>
        <w:t xml:space="preserve">9. Riesgos y mitigación</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Riesgo</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Origen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Mitigación propuesta</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Migraciones de esquema descoordinadas entre servicios que comparten la base de datos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ADR-002, ADR-009</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Orden de ejecución fijo entre repositorios de migración y revisión obligatoria antes de desplegar cambios de esquema</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Referencias residuales a Supabase en el frontend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ADR-007</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Tratarlas como deuda técnica explícita; no ampliarlas sin actualizar el ADR correspondiente</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Rutas de contratos de alquiler expuestas fuera del alcance del MVP</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ADR-008</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Ocultar o remover la navegación activa hacia esas rutas hasta que exista un cambio de alcance aprobado</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Convenciones de carpetas inconsistentes en el frontend web (mayúsculas/minúsculas)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ADR-006</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Exigir la convención estandarizada en código nuevo; migración incremental del código existente</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Backlog con cronograma de sprints sin asignar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04-requirements/user-stories.md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Priorizar la asignación de sprints siguiendo el orden de dependencia propuesto en la sección 7</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Desacuerdo de estimación entre integrantes del equipo</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00-governance/agile-conventions.md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Planning Poker con regla de discusión obligatoria ante diferencias de 2 o más niveles en la escala Fibonacci</w:t>
            </w:r>
          </w:p>
        </w:tc>
      </w:tr>
    </w:tbl>
    <w:p>
      <w:pPr>
        <w:spacing w:after="160"/>
      </w:pPr>
    </w:p>
    <w:p>
      <w:pPr>
        <w:spacing w:after="240" w:before="240" w:line="480"/>
        <w:jc w:val="center"/>
      </w:pPr>
      <w:r>
        <w:rPr>
          <w:rFonts w:ascii="Times New Roman" w:cs="Times New Roman" w:eastAsia="Times New Roman" w:hAnsi="Times New Roman"/>
          <w:b/>
          <w:bCs/>
          <w:sz w:val="24"/>
          <w:szCs w:val="24"/>
        </w:rPr>
        <w:t xml:space="preserve">10. Conclusiones</w:t>
      </w:r>
    </w:p>
    <w:p>
      <w:pPr>
        <w:spacing w:after="200" w:line="480"/>
        <w:jc w:val="both"/>
      </w:pPr>
      <w:r>
        <w:rPr>
          <w:rFonts w:ascii="Times New Roman" w:cs="Times New Roman" w:eastAsia="Times New Roman" w:hAnsi="Times New Roman"/>
          <w:sz w:val="24"/>
          <w:szCs w:val="24"/>
        </w:rPr>
        <w:t xml:space="preserve">La solución técnica propuesta para RentaMovil está respaldada por nueve decisiones arquitectónicas ya registradas y evaluadas contra alternativas concretas, con una pila tecnológica de uso extendido en la industria y viable para un equipo de tres integrantes dentro del programa de formación. Las 31 historias de usuario del backlog ya están refinadas; la ejecución de sprints sigue el orden de dependencia entre épicas propuesto en este documento.</w:t>
      </w:r>
    </w:p>
    <w:p>
      <w:r>
        <w:br w:type="page"/>
      </w:r>
    </w:p>
    <w:p>
      <w:pPr>
        <w:spacing w:after="240" w:before="240" w:line="480"/>
        <w:jc w:val="center"/>
      </w:pPr>
      <w:r>
        <w:rPr>
          <w:rFonts w:ascii="Times New Roman" w:cs="Times New Roman" w:eastAsia="Times New Roman" w:hAnsi="Times New Roman"/>
          <w:b/>
          <w:bCs/>
          <w:sz w:val="24"/>
          <w:szCs w:val="24"/>
        </w:rPr>
        <w:t xml:space="preserve">Referencias</w:t>
      </w:r>
    </w:p>
    <w:p>
      <w:pPr>
        <w:spacing w:after="200" w:line="480"/>
        <w:ind w:left="720" w:hanging="720"/>
        <w:jc w:val="both"/>
      </w:pPr>
      <w:r>
        <w:rPr>
          <w:rFonts w:ascii="Times New Roman" w:cs="Times New Roman" w:eastAsia="Times New Roman" w:hAnsi="Times New Roman"/>
          <w:sz w:val="24"/>
          <w:szCs w:val="24"/>
        </w:rPr>
        <w:t xml:space="preserve">RentaMovil. (2026). 01-context/overview.md y 03-product/vision.md [Visión y contexto del proyecto]. Repositorio de documentación RentaMovil.</w:t>
      </w:r>
    </w:p>
    <w:p>
      <w:pPr>
        <w:spacing w:after="200" w:line="480"/>
        <w:ind w:left="720" w:hanging="720"/>
        <w:jc w:val="both"/>
      </w:pPr>
      <w:r>
        <w:rPr>
          <w:rFonts w:ascii="Times New Roman" w:cs="Times New Roman" w:eastAsia="Times New Roman" w:hAnsi="Times New Roman"/>
          <w:sz w:val="24"/>
          <w:szCs w:val="24"/>
        </w:rPr>
        <w:t xml:space="preserve">RentaMovil. (2026). ADR-002-microservices-decomposition.md [Registro de decisión arquitectónica]. Repositorio de documentación RentaMovil.</w:t>
      </w:r>
    </w:p>
    <w:p>
      <w:pPr>
        <w:spacing w:after="200" w:line="480"/>
        <w:ind w:left="720" w:hanging="720"/>
        <w:jc w:val="both"/>
      </w:pPr>
      <w:r>
        <w:rPr>
          <w:rFonts w:ascii="Times New Roman" w:cs="Times New Roman" w:eastAsia="Times New Roman" w:hAnsi="Times New Roman"/>
          <w:sz w:val="24"/>
          <w:szCs w:val="24"/>
        </w:rPr>
        <w:t xml:space="preserve">RentaMovil. (2026). ADR-003-mobile-architecture.md [Registro de decisión arquitectónica]. Repositorio de documentación RentaMovil.</w:t>
      </w:r>
    </w:p>
    <w:p>
      <w:pPr>
        <w:spacing w:after="200" w:line="480"/>
        <w:ind w:left="720" w:hanging="720"/>
        <w:jc w:val="both"/>
      </w:pPr>
      <w:r>
        <w:rPr>
          <w:rFonts w:ascii="Times New Roman" w:cs="Times New Roman" w:eastAsia="Times New Roman" w:hAnsi="Times New Roman"/>
          <w:sz w:val="24"/>
          <w:szCs w:val="24"/>
        </w:rPr>
        <w:t xml:space="preserve">RentaMovil. (2026). ADR-004-state-management.md [Registro de decisión arquitectónica]. Repositorio de documentación RentaMovil.</w:t>
      </w:r>
    </w:p>
    <w:p>
      <w:pPr>
        <w:spacing w:after="200" w:line="480"/>
        <w:ind w:left="720" w:hanging="720"/>
        <w:jc w:val="both"/>
      </w:pPr>
      <w:r>
        <w:rPr>
          <w:rFonts w:ascii="Times New Roman" w:cs="Times New Roman" w:eastAsia="Times New Roman" w:hAnsi="Times New Roman"/>
          <w:sz w:val="24"/>
          <w:szCs w:val="24"/>
        </w:rPr>
        <w:t xml:space="preserve">RentaMovil. (2026). ADR-005-web-authentication-and-authorization.md [Registro de decisión arquitectónica]. Repositorio de documentación RentaMovil.</w:t>
      </w:r>
    </w:p>
    <w:p>
      <w:pPr>
        <w:spacing w:after="200" w:line="480"/>
        <w:ind w:left="720" w:hanging="720"/>
        <w:jc w:val="both"/>
      </w:pPr>
      <w:r>
        <w:rPr>
          <w:rFonts w:ascii="Times New Roman" w:cs="Times New Roman" w:eastAsia="Times New Roman" w:hAnsi="Times New Roman"/>
          <w:sz w:val="24"/>
          <w:szCs w:val="24"/>
        </w:rPr>
        <w:t xml:space="preserve">RentaMovil. (2026). ADR-006-web-frontend-architecture.md [Registro de decisión arquitectónica]. Repositorio de documentación RentaMovil.</w:t>
      </w:r>
    </w:p>
    <w:p>
      <w:pPr>
        <w:spacing w:after="200" w:line="480"/>
        <w:ind w:left="720" w:hanging="720"/>
        <w:jc w:val="both"/>
      </w:pPr>
      <w:r>
        <w:rPr>
          <w:rFonts w:ascii="Times New Roman" w:cs="Times New Roman" w:eastAsia="Times New Roman" w:hAnsi="Times New Roman"/>
          <w:sz w:val="24"/>
          <w:szCs w:val="24"/>
        </w:rPr>
        <w:t xml:space="preserve">RentaMovil. (2026). ADR-007-frontend-backend-boundary.md [Registro de decisión arquitectónica]. Repositorio de documentación RentaMovil.</w:t>
      </w:r>
    </w:p>
    <w:p>
      <w:pPr>
        <w:spacing w:after="200" w:line="480"/>
        <w:ind w:left="720" w:hanging="720"/>
        <w:jc w:val="both"/>
      </w:pPr>
      <w:r>
        <w:rPr>
          <w:rFonts w:ascii="Times New Roman" w:cs="Times New Roman" w:eastAsia="Times New Roman" w:hAnsi="Times New Roman"/>
          <w:sz w:val="24"/>
          <w:szCs w:val="24"/>
        </w:rPr>
        <w:t xml:space="preserve">RentaMovil. (2026). ADR-008-mvp-route-boundary.md [Registro de decisión arquitectónica]. Repositorio de documentación RentaMovil.</w:t>
      </w:r>
    </w:p>
    <w:p>
      <w:pPr>
        <w:spacing w:after="200" w:line="480"/>
        <w:ind w:left="720" w:hanging="720"/>
        <w:jc w:val="both"/>
      </w:pPr>
      <w:r>
        <w:rPr>
          <w:rFonts w:ascii="Times New Roman" w:cs="Times New Roman" w:eastAsia="Times New Roman" w:hAnsi="Times New Roman"/>
          <w:sz w:val="24"/>
          <w:szCs w:val="24"/>
        </w:rPr>
        <w:t xml:space="preserve">RentaMovil. (2026). ADR-009-schema-per-service-and-migration-repos.md [Registro de decisión arquitectónica]. Repositorio de documentación RentaMovil.</w:t>
      </w:r>
    </w:p>
    <w:p>
      <w:pPr>
        <w:spacing w:after="200" w:line="480"/>
        <w:ind w:left="720" w:hanging="720"/>
        <w:jc w:val="both"/>
      </w:pPr>
      <w:r>
        <w:rPr>
          <w:rFonts w:ascii="Times New Roman" w:cs="Times New Roman" w:eastAsia="Times New Roman" w:hAnsi="Times New Roman"/>
          <w:sz w:val="24"/>
          <w:szCs w:val="24"/>
        </w:rPr>
        <w:t xml:space="preserve">RentaMovil. (2026). 05-architecture/overview.md [Visión general de arquitectura]. Repositorio de documentación RentaMovil.</w:t>
      </w:r>
    </w:p>
    <w:p>
      <w:pPr>
        <w:spacing w:after="200" w:line="480"/>
        <w:ind w:left="720" w:hanging="720"/>
        <w:jc w:val="both"/>
      </w:pPr>
      <w:r>
        <w:rPr>
          <w:rFonts w:ascii="Times New Roman" w:cs="Times New Roman" w:eastAsia="Times New Roman" w:hAnsi="Times New Roman"/>
          <w:sz w:val="24"/>
          <w:szCs w:val="24"/>
        </w:rPr>
        <w:t xml:space="preserve">RentaMovil. (2026). 00-governance/agile-conventions.md [Convenciones ágiles del equipo]. Repositorio de documentación RentaMovil.</w:t>
      </w:r>
    </w:p>
    <w:p>
      <w:pPr>
        <w:spacing w:after="200" w:line="480"/>
        <w:ind w:left="720" w:hanging="720"/>
        <w:jc w:val="both"/>
      </w:pPr>
      <w:r>
        <w:rPr>
          <w:rFonts w:ascii="Times New Roman" w:cs="Times New Roman" w:eastAsia="Times New Roman" w:hAnsi="Times New Roman"/>
          <w:sz w:val="24"/>
          <w:szCs w:val="24"/>
        </w:rPr>
        <w:t xml:space="preserve">RentaMovil. (2026). 04-requirements/user-stories.md [Historias de usuario y estado del backlog]. Repositorio de documentación RentaMovil.</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2026-10-09T21:25:26.481Z</dcterms:created>
  <dcterms:modified xsi:type="dcterms:W3CDTF">2026-10-09T21:25:26.482Z</dcterms:modified>
</cp:coreProperties>
</file>

<file path=docProps/custom.xml><?xml version="1.0" encoding="utf-8"?>
<Properties xmlns="http://schemas.openxmlformats.org/officeDocument/2006/custom-properties" xmlns:vt="http://schemas.openxmlformats.org/officeDocument/2006/docPropsVTypes"/>
</file>