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trHeight w:val="13600" w:hRule="exact"/>
        </w:trPr>
        <w:tc>
          <w:tcPr>
            <w:tcW w:type="dxa" w:w="9026"/>
            <w:shd w:fill="0B0B0B" w:val="clear"/>
            <w:tcMar>
              <w:top w:type="dxa" w:w="20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spacing w:after="20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DOCUMENTACIÓN DE ANÁLISIS DEL SOFTWARE — DIAGRAMAS DE SECUENCIA</w:t>
            </w:r>
          </w:p>
          <w:p>
            <w:pPr>
              <w:spacing w:after="3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PROYECTO: RENTAMOVIL — PLATAFORMA PARA EMPRESA DE ALQUILER DE VEHÍCULOS</w:t>
            </w:r>
          </w:p>
          <w:p>
            <w:pPr>
              <w:spacing w:after="1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INTEGRANTES:</w:t>
            </w: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 Thiago Fabian Rojas Guevara — David Santiago Erez Rodríguez — Nicole Dayana Ramírez Vargas</w:t>
            </w:r>
          </w:p>
          <w:p>
            <w:pPr>
              <w:spacing w:after="1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SERVICIO NACIONAL DE APRENDIZAJE — SENA — ANÁLISIS Y DESARROLLO DE SOFTWARE 3145556</w:t>
            </w:r>
          </w:p>
          <w:p>
            <w:pPr>
              <w:spacing w:after="1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presenta los diagramas de secuencia de los flujos principales de RentaMovil: el intercambio de mensajes entre el actor, el API Gateway, los microservicios y la base de datos para cada operación. Es la segunda de las cuatro vistas dinámicas del análisis del software; los casos de uso, los diagramas de actividad y los de estados están en documentos separados dentro de esta misma carpeta.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Nota sobre los nombres de servicio:</w:t>
      </w:r>
      <w:r>
        <w:rPr>
          <w:rFonts w:ascii="Calibri" w:cs="Calibri" w:eastAsia="Calibri" w:hAnsi="Calibri"/>
          <w:sz w:val="21"/>
          <w:szCs w:val="21"/>
        </w:rPr>
        <w:t xml:space="preserve"> los diagramas usan los nombres de despliegue físico de los microservicios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api-gateway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iam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fleet-maintenance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booking-reservation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payment-billing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telemetry-gps</w:t>
      </w:r>
      <w:r>
        <w:rPr>
          <w:rFonts w:ascii="Calibri" w:cs="Calibri" w:eastAsia="Calibri" w:hAnsi="Calibri"/>
          <w:sz w:val="21"/>
          <w:szCs w:val="21"/>
        </w:rPr>
        <w:t xml:space="preserve">), no los nombres conceptuales de Bounded Context del SRS. Los flujos de Rental Execution y Notification, que en el SRS aparecen como contextos propios, se ejecutan físicamente dentro 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booking-reservation</w:t>
      </w:r>
      <w:r>
        <w:rPr>
          <w:rFonts w:ascii="Calibri" w:cs="Calibri" w:eastAsia="Calibri" w:hAnsi="Calibri"/>
          <w:sz w:val="21"/>
          <w:szCs w:val="21"/>
        </w:rPr>
        <w:t xml:space="preserve"> — son parte de su mismo ciclo de vida y no necesitan desplegarse como servicios separados.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SEQ-01 — Registro de cliente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visitante no tiene cuenta en el sistema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crea una Person y un User con rol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CLIENT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SEQ-02 — Inicio de sesión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(o cualquier usuario registrado)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usuario tiene una cuenta activa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emiten access token y refresh token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5600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SEQ-03 — Crear una reserva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RF3.1, RF2.2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autenticado; el vehículo existe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Reservation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creada en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el Administrador queda notificado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2724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SEQ-04 — Pagar una reserva (revisión del comprobante)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Cliente, 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RF5.1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en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CONFIRMED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(aprobado) 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CANCELLED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(rechazado)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572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SEQ-05 — Ejecutar el alquiler (recogida, devolución y factura)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RF4.1, RF4.2, RF5.2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en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CONFIRMED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completado,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Vehicle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disponible de nuevo, factura generada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248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SEQ-06 — Programar y completar un mantenimiento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RF8.3, RF8.7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vehículo no está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RETIRED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Mantenimiento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COMPLETED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vehículo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AVAILABLE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nuevo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543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SEQ-07 — Rastreo GPS en tiempo real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RF6.1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vehículo está en estado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devuelve la última ubicación registrada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4386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Referencias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del documento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Especificación de Requisitos de Software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(este repositorio)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01-Casos-de-Uso.md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actividad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03-Diagramas-de-Actividad.md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estados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04-Diagramas-de-Estados.md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eventos de dominio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rtm-docs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02-domain/domain-events.md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microservicios (despliegue físico)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rtm-docs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09-microservices/service-catalog.md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320c3ce70e17d0f31b1f44a32567b8f63c13613.png"/><Relationship Id="rId10" Type="http://schemas.openxmlformats.org/officeDocument/2006/relationships/image" Target="media/939bc170b5cc8cfe902204299ad47fdc195bfac1.png"/><Relationship Id="rId11" Type="http://schemas.openxmlformats.org/officeDocument/2006/relationships/image" Target="media/86245f246ee977ce44ab10f6779d8acadfbc03d3.png"/><Relationship Id="rId12" Type="http://schemas.openxmlformats.org/officeDocument/2006/relationships/image" Target="media/ff5391c3053d18f8b8dda2dd59eda808921116d1.png"/><Relationship Id="rId13" Type="http://schemas.openxmlformats.org/officeDocument/2006/relationships/image" Target="media/acc6ca35ddc42ebe92cad465e9c0f678518ec744.png"/><Relationship Id="rId14" Type="http://schemas.openxmlformats.org/officeDocument/2006/relationships/image" Target="media/5009dcf9636b2a42c7c800f3506c588d7cc24d0e.png"/><Relationship Id="rId15" Type="http://schemas.openxmlformats.org/officeDocument/2006/relationships/image" Target="media/16e47ce229e94d14e5c928b8c720da541c1ac82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2026-10-09T19:12:11.859Z</dcterms:created>
  <dcterms:modified xsi:type="dcterms:W3CDTF">2026-10-09T19:12:11.861Z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