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13600" w:hRule="exact"/>
        </w:trPr>
        <w:tc>
          <w:tcPr>
            <w:tcW w:type="dxa" w:w="9026"/>
            <w:shd w:fill="0B0B0B" w:val="clear"/>
            <w:tcMar>
              <w:top w:type="dxa" w:w="200"/>
              <w:left w:type="dxa" w:w="400"/>
              <w:bottom w:type="dxa" w:w="200"/>
              <w:right w:type="dxa" w:w="400"/>
            </w:tcMar>
            <w:vAlign w:val="center"/>
          </w:tcPr>
          <w:p>
            <w:pPr>
              <w:spacing w:after="20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SOFTWARE ANALYSIS DOCUMENTATION — ACTIVITY DIAGRAMS</w:t>
            </w:r>
          </w:p>
          <w:p>
            <w:pPr>
              <w:spacing w:after="30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PROJECT: RENTAMOVIL — PLATFORM FOR A VEHICLE RENTAL COMPANY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TEAM MEMBERS:</w:t>
            </w: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 Thiago Fabian Rojas Guevara — David Santiago Erez Rodríguez — Nicole Dayana Ramírez Vargas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SERVICIO NACIONAL DE APRENDIZAJE — SENA — SOFTWARE ANALYSIS AND DEVELOPMENT 3145556</w:t>
            </w:r>
          </w:p>
          <w:p>
            <w:pPr>
              <w:spacing w:after="16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2026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1. Introduction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This document presents the activity diagrams of RentaMovil's two most complex business processes: the full reservation cycle and the vehicle maintenance cycle. It is the third of the four dynamic views of the software analysis; the use cases, the sequence diagrams and the state diagrams are in separate documents inside this same folder.</w:t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ACT-01 — Reservation and payment process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FR3.1, FR3.3, FR5.1, FR5.2, FR4.1, FR4.2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Walks through a reservation from the moment the Customer picks the vehicle until the rental ends and is invoiced, including the rejection, retry, cancellation and automatic expiration paths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2724150" cy="804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ACT-02 — Vehicle maintenance process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726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Related FRs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FR8.3, FR8.7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6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Walks through a maintenance's lifecycle, from when it is scheduled until it is completed or cancelled</w:t>
            </w:r>
          </w:p>
        </w:tc>
      </w:tr>
    </w:tbl>
    <w:p>
      <w:pPr>
        <w:spacing w:after="120"/>
      </w:pPr>
    </w:p>
    <w:p>
      <w:pPr>
        <w:spacing w:after="220" w:before="160"/>
        <w:jc w:val="center"/>
      </w:pPr>
      <w:r>
        <w:drawing>
          <wp:inline distT="0" distB="0" distL="0" distR="0">
            <wp:extent cx="3143250" cy="80486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804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999999" w:sz="6" w:space="1"/>
        </w:pBdr>
        <w:spacing w:after="160" w:before="160"/>
      </w:pPr>
    </w:p>
    <w:p>
      <w:pPr>
        <w:pStyle w:val="Heading1"/>
        <w:spacing w:after="160" w:before="280"/>
      </w:pPr>
      <w:r>
        <w:rPr>
          <w:rFonts w:ascii="Calibri" w:cs="Calibri" w:eastAsia="Calibri" w:hAnsi="Calibri"/>
        </w:rPr>
        <w:t xml:space="preserve">References</w:t>
      </w:r>
    </w:p>
    <w:tbl>
      <w:tblPr>
        <w:tblW w:type="dxa" w:w="9026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title</w:t>
            </w:r>
          </w:p>
        </w:tc>
        <w:tc>
          <w:tcPr>
            <w:tcW w:type="dxa" w:w="4513"/>
            <w:shd w:fill="14141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Reference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Software Requirements Specification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01-informe-especificacion-requisitos/SRS.md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repository)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cases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01-Use-Cases.md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Sequence diagrams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02-Sequence-Diagrams.md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  <w:t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State diagrams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FEFEF" w:val="clear"/>
              </w:rPr>
              <w:t xml:space="preserve">04-State-Diagrams.md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(this folder)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de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RentaMovil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4141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40404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Calibri" w:cs="Calibri" w:eastAsia="Calibri" w:hAnsi="Calibri"/>
      <w:b/>
      <w:bCs/>
      <w:color w:val="60606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55f76ded7f11f59a226456cd43d8a7c3b475590.png"/><Relationship Id="rId10" Type="http://schemas.openxmlformats.org/officeDocument/2006/relationships/image" Target="media/1e5964a4a41713f182d8af2983d6208f346b453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2026-10-09T19:15:23.814Z</dcterms:created>
  <dcterms:modified xsi:type="dcterms:W3CDTF">2026-10-09T19:15:23.815Z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