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24"/>
          <w:szCs w:val="24"/>
        </w:rPr>
        <w:t xml:space="preserve">RentaMovil Software Technical Proposal Documentation</w:t>
      </w:r>
    </w:p>
    <w:p>
      <w:pPr>
        <w:spacing w:after="0" w:line="480"/>
        <w:jc w:val="center"/>
      </w:pPr>
      <w:r>
        <w:rPr>
          <w:rFonts w:ascii="Times New Roman" w:cs="Times New Roman" w:eastAsia="Times New Roman" w:hAnsi="Times New Roman"/>
          <w:sz w:val="24"/>
          <w:szCs w:val="24"/>
        </w:rPr>
        <w:t xml:space="preserve">Nicole Dayana Ramirez Vargas – Thiago Fabian Rojas Guevara – David Santiago Erez Rodriguez</w:t>
      </w:r>
    </w:p>
    <w:p>
      <w:pPr>
        <w:spacing w:after="0" w:line="480"/>
        <w:jc w:val="center"/>
      </w:pPr>
      <w:r>
        <w:rPr>
          <w:rFonts w:ascii="Times New Roman" w:cs="Times New Roman" w:eastAsia="Times New Roman" w:hAnsi="Times New Roman"/>
          <w:sz w:val="24"/>
          <w:szCs w:val="24"/>
        </w:rPr>
        <w:t xml:space="preserve">Servicio Nacional de Aprendizaje (SENA)</w:t>
      </w:r>
    </w:p>
    <w:p>
      <w:pPr>
        <w:spacing w:after="0" w:line="480"/>
        <w:jc w:val="center"/>
      </w:pPr>
      <w:r>
        <w:rPr>
          <w:rFonts w:ascii="Times New Roman" w:cs="Times New Roman" w:eastAsia="Times New Roman" w:hAnsi="Times New Roman"/>
          <w:sz w:val="24"/>
          <w:szCs w:val="24"/>
        </w:rPr>
        <w:t xml:space="preserve">Training program: Software Analysis and Development</w:t>
      </w:r>
    </w:p>
    <w:p>
      <w:pPr>
        <w:spacing w:after="0" w:line="480"/>
        <w:jc w:val="center"/>
      </w:pPr>
      <w:r>
        <w:rPr>
          <w:rFonts w:ascii="Times New Roman" w:cs="Times New Roman" w:eastAsia="Times New Roman" w:hAnsi="Times New Roman"/>
          <w:sz w:val="24"/>
          <w:szCs w:val="24"/>
        </w:rPr>
        <w:t xml:space="preserve">Course or cohort: 3145556</w:t>
      </w:r>
    </w:p>
    <w:p>
      <w:pPr>
        <w:spacing w:after="0" w:line="480"/>
        <w:jc w:val="center"/>
      </w:pPr>
      <w:r>
        <w:rPr>
          <w:rFonts w:ascii="Times New Roman" w:cs="Times New Roman" w:eastAsia="Times New Roman" w:hAnsi="Times New Roman"/>
          <w:sz w:val="24"/>
          <w:szCs w:val="24"/>
        </w:rPr>
        <w:t xml:space="preserve">Submission date: October 9, 2026 – Preparation date: October 9, 2026</w:t>
      </w:r>
    </w:p>
    <w:p>
      <w:r>
        <w:br w:type="page"/>
      </w:r>
    </w:p>
    <w:p>
      <w:pPr>
        <w:spacing w:after="240" w:before="240" w:line="480"/>
        <w:jc w:val="center"/>
      </w:pPr>
      <w:r>
        <w:rPr>
          <w:rFonts w:ascii="Times New Roman" w:cs="Times New Roman" w:eastAsia="Times New Roman" w:hAnsi="Times New Roman"/>
          <w:b/>
          <w:bCs/>
          <w:sz w:val="24"/>
          <w:szCs w:val="24"/>
        </w:rPr>
        <w:t xml:space="preserve">Abstract</w:t>
      </w:r>
    </w:p>
    <w:p>
      <w:pPr>
        <w:spacing w:after="200" w:line="480"/>
        <w:jc w:val="both"/>
      </w:pPr>
      <w:r>
        <w:rPr>
          <w:rFonts w:ascii="Times New Roman" w:cs="Times New Roman" w:eastAsia="Times New Roman" w:hAnsi="Times New Roman"/>
          <w:sz w:val="24"/>
          <w:szCs w:val="24"/>
        </w:rPr>
        <w:t xml:space="preserve">This document proposes and justifies RentaMovil's technical solution before its detailed design: the alternatives evaluated for each relevant architectural decision, the chosen technology stack, the high-level architecture, project feasibility, the development methodology, and a proposed schedule by epic. It does not replace the architecture decision records (ADR) in the documentation repository, which remain the source of truth: it summarizes them, relates them to each other, and presents them as a single, coherent proposal for evaluators and the development team.</w:t>
      </w:r>
    </w:p>
    <w:p>
      <w:pPr>
        <w:spacing w:after="200" w:line="480"/>
        <w:ind w:left="72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RentaMovil, technical proposal, microservices architecture, hexagonal architecture, architectural decisions, feasibility, Scrum methodology.</w:t>
      </w:r>
    </w:p>
    <w:p>
      <w:r>
        <w:br w:type="page"/>
      </w:r>
    </w:p>
    <w:p>
      <w:pPr>
        <w:spacing w:after="240" w:before="240" w:line="480"/>
        <w:jc w:val="center"/>
      </w:pPr>
      <w:r>
        <w:rPr>
          <w:rFonts w:ascii="Times New Roman" w:cs="Times New Roman" w:eastAsia="Times New Roman" w:hAnsi="Times New Roman"/>
          <w:b/>
          <w:bCs/>
          <w:sz w:val="24"/>
          <w:szCs w:val="24"/>
        </w:rPr>
        <w:t xml:space="preserve">1. Introduction</w:t>
      </w:r>
    </w:p>
    <w:p>
      <w:pPr>
        <w:spacing w:after="160" w:before="200" w:line="480"/>
        <w:jc w:val="left"/>
      </w:pPr>
      <w:r>
        <w:rPr>
          <w:rFonts w:ascii="Times New Roman" w:cs="Times New Roman" w:eastAsia="Times New Roman" w:hAnsi="Times New Roman"/>
          <w:b/>
          <w:bCs/>
          <w:sz w:val="24"/>
          <w:szCs w:val="24"/>
        </w:rPr>
        <w:t xml:space="preserve">1.1 Purpose, audience, and scope</w:t>
      </w:r>
    </w:p>
    <w:p>
      <w:pPr>
        <w:spacing w:after="200" w:line="480"/>
        <w:jc w:val="both"/>
      </w:pPr>
      <w:r>
        <w:rPr>
          <w:rFonts w:ascii="Times New Roman" w:cs="Times New Roman" w:eastAsia="Times New Roman" w:hAnsi="Times New Roman"/>
          <w:sz w:val="24"/>
          <w:szCs w:val="24"/>
        </w:rPr>
        <w:t xml:space="preserve">This document is addressed to instructors, evaluators, and the development team. Its purpose is to consolidate, in a single document, the technical decisions already recorded as ADRs (Architecture Decision Records) in the </w:t>
      </w:r>
      <w:r>
        <w:rPr>
          <w:rFonts w:ascii="Times New Roman" w:cs="Times New Roman" w:eastAsia="Times New Roman" w:hAnsi="Times New Roman"/>
          <w:i/>
          <w:iCs/>
          <w:sz w:val="24"/>
          <w:szCs w:val="24"/>
        </w:rPr>
        <w:t xml:space="preserve">rtm-docs</w:t>
      </w:r>
      <w:r>
        <w:rPr>
          <w:rFonts w:ascii="Times New Roman" w:cs="Times New Roman" w:eastAsia="Times New Roman" w:hAnsi="Times New Roman"/>
          <w:sz w:val="24"/>
          <w:szCs w:val="24"/>
        </w:rPr>
        <w:t xml:space="preserve"> repository, together with the proposed technology stack, feasibility, and planning for the project. It covers the microservices backend, the client and administrative web application, and the client mobile application.</w:t>
      </w:r>
    </w:p>
    <w:p>
      <w:pPr>
        <w:spacing w:after="160" w:before="200" w:line="480"/>
        <w:jc w:val="left"/>
      </w:pPr>
      <w:r>
        <w:rPr>
          <w:rFonts w:ascii="Times New Roman" w:cs="Times New Roman" w:eastAsia="Times New Roman" w:hAnsi="Times New Roman"/>
          <w:b/>
          <w:bCs/>
          <w:sz w:val="24"/>
          <w:szCs w:val="24"/>
        </w:rPr>
        <w:t xml:space="preserve">1.2 Objectives</w:t>
      </w:r>
    </w:p>
    <w:p>
      <w:pPr>
        <w:spacing w:after="200" w:line="480"/>
        <w:jc w:val="both"/>
      </w:pPr>
      <w:r>
        <w:rPr>
          <w:rFonts w:ascii="Times New Roman" w:cs="Times New Roman" w:eastAsia="Times New Roman" w:hAnsi="Times New Roman"/>
          <w:b/>
          <w:bCs/>
          <w:sz w:val="24"/>
          <w:szCs w:val="24"/>
        </w:rPr>
        <w:t xml:space="preserve">General objective:</w:t>
      </w:r>
      <w:r>
        <w:rPr>
          <w:rFonts w:ascii="Times New Roman" w:cs="Times New Roman" w:eastAsia="Times New Roman" w:hAnsi="Times New Roman"/>
          <w:sz w:val="24"/>
          <w:szCs w:val="24"/>
        </w:rPr>
        <w:t xml:space="preserve"> propose and justify RentaMovil's technical solution, documenting the alternatives evaluated, the chosen architecture, and its feasibility for the team and the time available within the training program.</w:t>
      </w:r>
    </w:p>
    <w:p>
      <w:pPr>
        <w:spacing w:after="200" w:line="480"/>
        <w:jc w:val="both"/>
      </w:pPr>
      <w:r>
        <w:rPr>
          <w:rFonts w:ascii="Times New Roman" w:cs="Times New Roman" w:eastAsia="Times New Roman" w:hAnsi="Times New Roman"/>
          <w:b/>
          <w:bCs/>
          <w:sz w:val="24"/>
          <w:szCs w:val="24"/>
        </w:rPr>
        <w:t xml:space="preserve">Specific objectives:</w:t>
      </w:r>
    </w:p>
    <w:p>
      <w:pPr>
        <w:pStyle w:val="ListParagraph"/>
        <w:numPr>
          <w:ilvl w:val="0"/>
          <w:numId w:val="2"/>
        </w:numPr>
        <w:spacing w:after="100" w:line="480"/>
      </w:pPr>
      <w:r>
        <w:rPr>
          <w:rFonts w:ascii="Times New Roman" w:cs="Times New Roman" w:eastAsia="Times New Roman" w:hAnsi="Times New Roman"/>
          <w:sz w:val="24"/>
          <w:szCs w:val="24"/>
        </w:rPr>
        <w:t xml:space="preserve">Record the alternatives considered for each relevant architectural decision and the reason for the final choice.</w:t>
      </w:r>
    </w:p>
    <w:p>
      <w:pPr>
        <w:pStyle w:val="ListParagraph"/>
        <w:numPr>
          <w:ilvl w:val="0"/>
          <w:numId w:val="2"/>
        </w:numPr>
        <w:spacing w:after="100" w:line="480"/>
      </w:pPr>
      <w:r>
        <w:rPr>
          <w:rFonts w:ascii="Times New Roman" w:cs="Times New Roman" w:eastAsia="Times New Roman" w:hAnsi="Times New Roman"/>
          <w:sz w:val="24"/>
          <w:szCs w:val="24"/>
        </w:rPr>
        <w:t xml:space="preserve">Justify the proposed technology stack for the backend, web frontend, mobile application, and database.</w:t>
      </w:r>
    </w:p>
    <w:p>
      <w:pPr>
        <w:pStyle w:val="ListParagraph"/>
        <w:numPr>
          <w:ilvl w:val="0"/>
          <w:numId w:val="2"/>
        </w:numPr>
        <w:spacing w:after="100" w:line="480"/>
      </w:pPr>
      <w:r>
        <w:rPr>
          <w:rFonts w:ascii="Times New Roman" w:cs="Times New Roman" w:eastAsia="Times New Roman" w:hAnsi="Times New Roman"/>
          <w:sz w:val="24"/>
          <w:szCs w:val="24"/>
        </w:rPr>
        <w:t xml:space="preserve">Assess the project's technical, operational, and economic feasibility.</w:t>
      </w:r>
    </w:p>
    <w:p>
      <w:pPr>
        <w:pStyle w:val="ListParagraph"/>
        <w:numPr>
          <w:ilvl w:val="0"/>
          <w:numId w:val="2"/>
        </w:numPr>
        <w:spacing w:after="100" w:line="480"/>
      </w:pPr>
      <w:r>
        <w:rPr>
          <w:rFonts w:ascii="Times New Roman" w:cs="Times New Roman" w:eastAsia="Times New Roman" w:hAnsi="Times New Roman"/>
          <w:sz w:val="24"/>
          <w:szCs w:val="24"/>
        </w:rPr>
        <w:t xml:space="preserve">Describe the development methodology agreed upon by the team.</w:t>
      </w:r>
    </w:p>
    <w:p>
      <w:pPr>
        <w:pStyle w:val="ListParagraph"/>
        <w:numPr>
          <w:ilvl w:val="0"/>
          <w:numId w:val="2"/>
        </w:numPr>
        <w:spacing w:after="100" w:line="480"/>
      </w:pPr>
      <w:r>
        <w:rPr>
          <w:rFonts w:ascii="Times New Roman" w:cs="Times New Roman" w:eastAsia="Times New Roman" w:hAnsi="Times New Roman"/>
          <w:sz w:val="24"/>
          <w:szCs w:val="24"/>
        </w:rPr>
        <w:t xml:space="preserve">Propose a high-level schedule and the identified risks with their mitigation.</w:t>
      </w:r>
    </w:p>
    <w:p>
      <w:pPr>
        <w:spacing w:after="160" w:before="200" w:line="480"/>
        <w:jc w:val="left"/>
      </w:pPr>
      <w:r>
        <w:rPr>
          <w:rFonts w:ascii="Times New Roman" w:cs="Times New Roman" w:eastAsia="Times New Roman" w:hAnsi="Times New Roman"/>
          <w:b/>
          <w:bCs/>
          <w:sz w:val="24"/>
          <w:szCs w:val="24"/>
        </w:rPr>
        <w:t xml:space="preserve">1.3 Relationship to the other project documents</w:t>
      </w:r>
    </w:p>
    <w:p>
      <w:pPr>
        <w:spacing w:after="200" w:line="480"/>
        <w:jc w:val="both"/>
      </w:pPr>
      <w:r>
        <w:rPr>
          <w:rFonts w:ascii="Times New Roman" w:cs="Times New Roman" w:eastAsia="Times New Roman" w:hAnsi="Times New Roman"/>
          <w:sz w:val="24"/>
          <w:szCs w:val="24"/>
        </w:rPr>
        <w:t xml:space="preserve">This document sits between the requirements specification (document 1) and the dynamic-views analysis document (document 2), which establish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the system must do, and the software design documentation (document 4), which details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it is built (graphical interfaces, architectural model, patterns, and data model). The technical proposal answers the intermediate question: </w:t>
      </w:r>
      <w:r>
        <w:rPr>
          <w:rFonts w:ascii="Times New Roman" w:cs="Times New Roman" w:eastAsia="Times New Roman" w:hAnsi="Times New Roman"/>
          <w:i/>
          <w:iCs/>
          <w:sz w:val="24"/>
          <w:szCs w:val="24"/>
        </w:rPr>
        <w:t xml:space="preserve">what solution was chosen and why</w:t>
      </w:r>
      <w:r>
        <w:rPr>
          <w:rFonts w:ascii="Times New Roman" w:cs="Times New Roman" w:eastAsia="Times New Roman" w:hAnsi="Times New Roman"/>
          <w:sz w:val="24"/>
          <w:szCs w:val="24"/>
        </w:rPr>
        <w:t xml:space="preserve">, before moving into detailed design (RentaMovil, 2026, 01-context/overview.md; 03-product/vision.md).</w:t>
      </w:r>
    </w:p>
    <w:p>
      <w:pPr>
        <w:spacing w:after="240" w:before="240" w:line="480"/>
        <w:jc w:val="center"/>
      </w:pPr>
      <w:r>
        <w:rPr>
          <w:rFonts w:ascii="Times New Roman" w:cs="Times New Roman" w:eastAsia="Times New Roman" w:hAnsi="Times New Roman"/>
          <w:b/>
          <w:bCs/>
          <w:sz w:val="24"/>
          <w:szCs w:val="24"/>
        </w:rPr>
        <w:t xml:space="preserve">2. Solution Alternatives Evaluated</w:t>
      </w:r>
    </w:p>
    <w:p>
      <w:pPr>
        <w:spacing w:after="200" w:line="480"/>
        <w:jc w:val="both"/>
      </w:pPr>
      <w:r>
        <w:rPr>
          <w:rFonts w:ascii="Times New Roman" w:cs="Times New Roman" w:eastAsia="Times New Roman" w:hAnsi="Times New Roman"/>
          <w:sz w:val="24"/>
          <w:szCs w:val="24"/>
        </w:rPr>
        <w:t xml:space="preserve">Every relevant architectural decision in the project was recorded as an ADR (Architecture Decision Record) under </w:t>
      </w:r>
      <w:r>
        <w:rPr>
          <w:rFonts w:ascii="Times New Roman" w:cs="Times New Roman" w:eastAsia="Times New Roman" w:hAnsi="Times New Roman"/>
          <w:i/>
          <w:iCs/>
          <w:sz w:val="24"/>
          <w:szCs w:val="24"/>
        </w:rPr>
        <w:t xml:space="preserve">05-architecture/decisions/records/</w:t>
      </w:r>
      <w:r>
        <w:rPr>
          <w:rFonts w:ascii="Times New Roman" w:cs="Times New Roman" w:eastAsia="Times New Roman" w:hAnsi="Times New Roman"/>
          <w:sz w:val="24"/>
          <w:szCs w:val="24"/>
        </w:rPr>
        <w:t xml:space="preserve">. This section summarizes, for each one, the chosen alternative, the alternatives discarded, and the reason for the choice. All decisions described here have </w:t>
      </w:r>
      <w:r>
        <w:rPr>
          <w:rFonts w:ascii="Times New Roman" w:cs="Times New Roman" w:eastAsia="Times New Roman" w:hAnsi="Times New Roman"/>
          <w:i/>
          <w:iCs/>
          <w:sz w:val="24"/>
          <w:szCs w:val="24"/>
        </w:rPr>
        <w:t xml:space="preserve">Proposed</w:t>
      </w:r>
      <w:r>
        <w:rPr>
          <w:rFonts w:ascii="Times New Roman" w:cs="Times New Roman" w:eastAsia="Times New Roman" w:hAnsi="Times New Roman"/>
          <w:sz w:val="24"/>
          <w:szCs w:val="24"/>
        </w:rPr>
        <w:t xml:space="preserve"> status in the repository: they are the project's target architecture, not necessarily the current state of every line of code.</w:t>
      </w:r>
    </w:p>
    <w:p>
      <w:pPr>
        <w:spacing w:after="160" w:before="200" w:line="480"/>
        <w:jc w:val="left"/>
      </w:pPr>
      <w:r>
        <w:rPr>
          <w:rFonts w:ascii="Times New Roman" w:cs="Times New Roman" w:eastAsia="Times New Roman" w:hAnsi="Times New Roman"/>
          <w:b/>
          <w:bCs/>
          <w:sz w:val="24"/>
          <w:szCs w:val="24"/>
        </w:rPr>
        <w:t xml:space="preserve">2.1 Backend decomposition into microservices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One service per Bounded Context (7 services)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Aligns code ownership with the domain language and the events already defined in the domain model</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One service per frontend feature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Couples backend boundaries to the user interface and duplicates domain ownership</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One large, undefined monolith</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Does not establish independent domain ownership</w:t>
            </w:r>
          </w:p>
        </w:tc>
      </w:tr>
    </w:tbl>
    <w:p>
      <w:pPr>
        <w:spacing w:after="160"/>
      </w:pPr>
    </w:p>
    <w:p>
      <w:pPr>
        <w:spacing w:after="200" w:line="480"/>
        <w:jc w:val="both"/>
      </w:pPr>
      <w:r>
        <w:rPr>
          <w:rFonts w:ascii="Times New Roman" w:cs="Times New Roman" w:eastAsia="Times New Roman" w:hAnsi="Times New Roman"/>
          <w:sz w:val="24"/>
          <w:szCs w:val="24"/>
        </w:rPr>
        <w:t xml:space="preserve">The trade-off of the chosen option is that migrations on the shared SQL Server database require explicit coordination between services, and independent deployment of each service remains a future capability, not a current one (RentaMovil, 2026, ADR-002-microservices-decomposition.md).</w:t>
      </w:r>
    </w:p>
    <w:p>
      <w:pPr>
        <w:spacing w:after="160" w:before="200" w:line="480"/>
        <w:jc w:val="left"/>
      </w:pPr>
      <w:r>
        <w:rPr>
          <w:rFonts w:ascii="Times New Roman" w:cs="Times New Roman" w:eastAsia="Times New Roman" w:hAnsi="Times New Roman"/>
          <w:b/>
          <w:bCs/>
          <w:sz w:val="24"/>
          <w:szCs w:val="24"/>
        </w:rPr>
        <w:t xml:space="preserve">2.2 Mobile client architecture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Feature-Based + Component-Driven + Expo Router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Clear ownership by business capability and reuse of UI components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Folders organized only by layer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Spreads each feature's behavior across the whole project</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Business logic inside route files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Couples navigation to business behavior</w:t>
            </w:r>
          </w:p>
        </w:tc>
      </w:tr>
    </w:tbl>
    <w:p>
      <w:pPr>
        <w:spacing w:after="160"/>
      </w:pPr>
    </w:p>
    <w:p>
      <w:pPr>
        <w:spacing w:after="200" w:line="480"/>
        <w:jc w:val="both"/>
      </w:pPr>
      <w:r>
        <w:rPr>
          <w:rFonts w:ascii="Times New Roman" w:cs="Times New Roman" w:eastAsia="Times New Roman" w:hAnsi="Times New Roman"/>
          <w:sz w:val="24"/>
          <w:szCs w:val="24"/>
        </w:rPr>
        <w:t xml:space="preserve">As a result, new mobile client features live under </w:t>
      </w:r>
      <w:r>
        <w:rPr>
          <w:rFonts w:ascii="Times New Roman" w:cs="Times New Roman" w:eastAsia="Times New Roman" w:hAnsi="Times New Roman"/>
          <w:i/>
          <w:iCs/>
          <w:sz w:val="24"/>
          <w:szCs w:val="24"/>
        </w:rPr>
        <w:t xml:space="preserve">src/features/</w:t>
      </w:r>
      <w:r>
        <w:rPr>
          <w:rFonts w:ascii="Times New Roman" w:cs="Times New Roman" w:eastAsia="Times New Roman" w:hAnsi="Times New Roman"/>
          <w:sz w:val="24"/>
          <w:szCs w:val="24"/>
        </w:rPr>
        <w:t xml:space="preserve">, shared UI under </w:t>
      </w:r>
      <w:r>
        <w:rPr>
          <w:rFonts w:ascii="Times New Roman" w:cs="Times New Roman" w:eastAsia="Times New Roman" w:hAnsi="Times New Roman"/>
          <w:i/>
          <w:iCs/>
          <w:sz w:val="24"/>
          <w:szCs w:val="24"/>
        </w:rPr>
        <w:t xml:space="preserve">src/shared/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src/app/</w:t>
      </w:r>
      <w:r>
        <w:rPr>
          <w:rFonts w:ascii="Times New Roman" w:cs="Times New Roman" w:eastAsia="Times New Roman" w:hAnsi="Times New Roman"/>
          <w:sz w:val="24"/>
          <w:szCs w:val="24"/>
        </w:rPr>
        <w:t xml:space="preserve"> is reserved for navigation only (RentaMovil, 2026, ADR-003-mobile-architecture.md).</w:t>
      </w:r>
    </w:p>
    <w:p>
      <w:pPr>
        <w:spacing w:after="160" w:before="200" w:line="480"/>
        <w:jc w:val="left"/>
      </w:pPr>
      <w:r>
        <w:rPr>
          <w:rFonts w:ascii="Times New Roman" w:cs="Times New Roman" w:eastAsia="Times New Roman" w:hAnsi="Times New Roman"/>
          <w:b/>
          <w:bCs/>
          <w:sz w:val="24"/>
          <w:szCs w:val="24"/>
        </w:rPr>
        <w:t xml:space="preserve">2.3 Client state management</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Local state + feature Context + Zustand for cross-feature state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Explicit state ownership and gradual adoption, without forcing a single global mechanism</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Zustand for all client state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Encourages unnecessary global coupling</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Context for all client state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Can cause broad re-renders and unclear ownership</w:t>
            </w:r>
          </w:p>
        </w:tc>
      </w:tr>
    </w:tbl>
    <w:p>
      <w:pPr>
        <w:spacing w:after="160"/>
      </w:pPr>
    </w:p>
    <w:p>
      <w:pPr>
        <w:spacing w:after="200" w:line="480"/>
        <w:jc w:val="both"/>
      </w:pPr>
      <w:r>
        <w:rPr>
          <w:rFonts w:ascii="Times New Roman" w:cs="Times New Roman" w:eastAsia="Times New Roman" w:hAnsi="Times New Roman"/>
          <w:sz w:val="24"/>
          <w:szCs w:val="24"/>
        </w:rPr>
        <w:t xml:space="preserve">Server-owned data stays in the backend services and is not treated as a source of truth on the client; this decision does not authorize direct client access to persistence (RentaMovil, 2026, ADR-004-state-management.md).</w:t>
      </w:r>
    </w:p>
    <w:p>
      <w:pPr>
        <w:spacing w:after="160" w:before="200" w:line="480"/>
        <w:jc w:val="left"/>
      </w:pPr>
      <w:r>
        <w:rPr>
          <w:rFonts w:ascii="Times New Roman" w:cs="Times New Roman" w:eastAsia="Times New Roman" w:hAnsi="Times New Roman"/>
          <w:b/>
          <w:bCs/>
          <w:sz w:val="24"/>
          <w:szCs w:val="24"/>
        </w:rPr>
        <w:t xml:space="preserve">2.4 Web authentication and authorization</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Backend authorization + frontend route guards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Secure and usable; the final access decision always belongs to the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Authorization resolved only on the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Does not protect the data exposed by the API</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Supabase Auth as the identity issuer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Conflicts with the project's security policy</w:t>
            </w:r>
          </w:p>
        </w:tc>
      </w:tr>
    </w:tbl>
    <w:p>
      <w:pPr>
        <w:spacing w:after="160"/>
      </w:pPr>
    </w:p>
    <w:p>
      <w:pPr>
        <w:spacing w:after="200" w:line="480"/>
        <w:jc w:val="both"/>
      </w:pPr>
      <w:r>
        <w:rPr>
          <w:rFonts w:ascii="Times New Roman" w:cs="Times New Roman" w:eastAsia="Times New Roman" w:hAnsi="Times New Roman"/>
          <w:sz w:val="24"/>
          <w:szCs w:val="24"/>
        </w:rPr>
        <w:t xml:space="preserve">The web frontend integrates with the identity service through the backend API, stores refresh tokens in </w:t>
      </w:r>
      <w:r>
        <w:rPr>
          <w:rFonts w:ascii="Times New Roman" w:cs="Times New Roman" w:eastAsia="Times New Roman" w:hAnsi="Times New Roman"/>
          <w:i/>
          <w:iCs/>
          <w:sz w:val="24"/>
          <w:szCs w:val="24"/>
        </w:rPr>
        <w:t xml:space="preserve">httpOnly</w:t>
      </w:r>
      <w:r>
        <w:rPr>
          <w:rFonts w:ascii="Times New Roman" w:cs="Times New Roman" w:eastAsia="Times New Roman" w:hAnsi="Times New Roman"/>
          <w:sz w:val="24"/>
          <w:szCs w:val="24"/>
        </w:rPr>
        <w:t xml:space="preserve"> cookies, and uses route guards for navigation; access tokens are issued as JWTs signed with RS256 (RentaMovil, 2026, ADR-005-web-authentication-and-authorization.md).</w:t>
      </w:r>
    </w:p>
    <w:p>
      <w:pPr>
        <w:spacing w:after="160" w:before="200" w:line="480"/>
        <w:jc w:val="left"/>
      </w:pPr>
      <w:r>
        <w:rPr>
          <w:rFonts w:ascii="Times New Roman" w:cs="Times New Roman" w:eastAsia="Times New Roman" w:hAnsi="Times New Roman"/>
          <w:b/>
          <w:bCs/>
          <w:sz w:val="24"/>
          <w:szCs w:val="24"/>
        </w:rPr>
        <w:t xml:space="preserve">2.5 Web frontend architecture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Standardized feature structure (Feature + Component + Route-Based)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Predictable and scalable as the number of screens grows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Preserve every existing folder convention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 for new code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Keeps the risk of inconsistent imports on case-sensitive systems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Project structure organized only by layer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Weakens each feature's ownership</w:t>
            </w:r>
          </w:p>
        </w:tc>
      </w:tr>
    </w:tbl>
    <w:p>
      <w:pPr>
        <w:spacing w:after="160"/>
      </w:pPr>
    </w:p>
    <w:p>
      <w:pPr>
        <w:spacing w:after="200" w:line="480"/>
        <w:jc w:val="both"/>
      </w:pPr>
      <w:r>
        <w:rPr>
          <w:rFonts w:ascii="Times New Roman" w:cs="Times New Roman" w:eastAsia="Times New Roman" w:hAnsi="Times New Roman"/>
          <w:sz w:val="24"/>
          <w:szCs w:val="24"/>
        </w:rPr>
        <w:t xml:space="preserve">The web frontend previously mixed different folder conventions (</w:t>
      </w:r>
      <w:r>
        <w:rPr>
          <w:rFonts w:ascii="Times New Roman" w:cs="Times New Roman" w:eastAsia="Times New Roman" w:hAnsi="Times New Roman"/>
          <w:i/>
          <w:iCs/>
          <w:sz w:val="24"/>
          <w:szCs w:val="24"/>
        </w:rPr>
        <w:t xml:space="preserve">Pages/pages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Services/services</w:t>
      </w:r>
      <w:r>
        <w:rPr>
          <w:rFonts w:ascii="Times New Roman" w:cs="Times New Roman" w:eastAsia="Times New Roman" w:hAnsi="Times New Roman"/>
          <w:sz w:val="24"/>
          <w:szCs w:val="24"/>
        </w:rPr>
        <w:t xml:space="preserve">); new code adopts lowercase names and a plural </w:t>
      </w:r>
      <w:r>
        <w:rPr>
          <w:rFonts w:ascii="Times New Roman" w:cs="Times New Roman" w:eastAsia="Times New Roman" w:hAnsi="Times New Roman"/>
          <w:i/>
          <w:iCs/>
          <w:sz w:val="24"/>
          <w:szCs w:val="24"/>
        </w:rPr>
        <w:t xml:space="preserve">services/</w:t>
      </w:r>
      <w:r>
        <w:rPr>
          <w:rFonts w:ascii="Times New Roman" w:cs="Times New Roman" w:eastAsia="Times New Roman" w:hAnsi="Times New Roman"/>
          <w:sz w:val="24"/>
          <w:szCs w:val="24"/>
        </w:rPr>
        <w:t xml:space="preserve">, migrating the rest incrementally (RentaMovil, 2026, ADR-006-web-frontend-architecture.md).</w:t>
      </w:r>
    </w:p>
    <w:p>
      <w:pPr>
        <w:spacing w:after="160" w:before="200" w:line="480"/>
        <w:jc w:val="left"/>
      </w:pPr>
      <w:r>
        <w:rPr>
          <w:rFonts w:ascii="Times New Roman" w:cs="Times New Roman" w:eastAsia="Times New Roman" w:hAnsi="Times New Roman"/>
          <w:b/>
          <w:bCs/>
          <w:sz w:val="24"/>
          <w:szCs w:val="24"/>
        </w:rPr>
        <w:t xml:space="preserve">2.6 Frontend-backend boundary</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Clients consume only the backend's own REST APIs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Centralizes business rules and authorization in the backend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Direct frontend access to Supabase or another data provider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 as target architecture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Bypasses domain ownership and the backend's security policy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Direct frontend access to SQL Server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Insecure and impossible to govern</w:t>
            </w:r>
          </w:p>
        </w:tc>
      </w:tr>
    </w:tbl>
    <w:p>
      <w:pPr>
        <w:spacing w:after="160"/>
      </w:pPr>
    </w:p>
    <w:p>
      <w:pPr>
        <w:spacing w:after="200" w:line="480"/>
        <w:jc w:val="both"/>
      </w:pPr>
      <w:r>
        <w:rPr>
          <w:rFonts w:ascii="Times New Roman" w:cs="Times New Roman" w:eastAsia="Times New Roman" w:hAnsi="Times New Roman"/>
          <w:sz w:val="24"/>
          <w:szCs w:val="24"/>
        </w:rPr>
        <w:t xml:space="preserve">Any temporary use of Supabase in current clients is treated as technical debt or a temporary integration point, and must not be expanded without updating the corresponding ADR (RentaMovil, 2026, ADR-007-frontend-backend-boundary.md).</w:t>
      </w:r>
    </w:p>
    <w:p>
      <w:pPr>
        <w:spacing w:after="160" w:before="200" w:line="480"/>
        <w:jc w:val="left"/>
      </w:pPr>
      <w:r>
        <w:rPr>
          <w:rFonts w:ascii="Times New Roman" w:cs="Times New Roman" w:eastAsia="Times New Roman" w:hAnsi="Times New Roman"/>
          <w:b/>
          <w:bCs/>
          <w:sz w:val="24"/>
          <w:szCs w:val="24"/>
        </w:rPr>
        <w:t xml:space="preserve">2.7 MVP route scope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Hide or remove rental-contract routes from the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Aligns active navigation with the MVP's real scope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Keep the existing contract routes active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Misrepresents the MVP scope and creates flows the backend does not support</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Add contracts to the MVP informally</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Breaks scope governance and traceability to the requirements</w:t>
            </w:r>
          </w:p>
        </w:tc>
      </w:tr>
    </w:tbl>
    <w:p>
      <w:pPr>
        <w:spacing w:after="160"/>
      </w:pPr>
    </w:p>
    <w:p>
      <w:pPr>
        <w:spacing w:after="200" w:line="480"/>
        <w:jc w:val="both"/>
      </w:pPr>
      <w:r>
        <w:rPr>
          <w:rFonts w:ascii="Times New Roman" w:cs="Times New Roman" w:eastAsia="Times New Roman" w:hAnsi="Times New Roman"/>
          <w:sz w:val="24"/>
          <w:szCs w:val="24"/>
        </w:rPr>
        <w:t xml:space="preserve">The route catalog distinguishes public, client, administrative, and legacy routes; adding rental contracts to the scope would require an approved scope change and updates to product, requirements, domain, API, and architecture documentation (RentaMovil, 2026, ADR-008-mvp-route-boundary.md).</w:t>
      </w:r>
    </w:p>
    <w:p>
      <w:pPr>
        <w:spacing w:after="160" w:before="200" w:line="480"/>
        <w:jc w:val="left"/>
      </w:pPr>
      <w:r>
        <w:rPr>
          <w:rFonts w:ascii="Times New Roman" w:cs="Times New Roman" w:eastAsia="Times New Roman" w:hAnsi="Times New Roman"/>
          <w:b/>
          <w:bCs/>
          <w:sz w:val="24"/>
          <w:szCs w:val="24"/>
        </w:rPr>
        <w:t xml:space="preserve">2.8 Database schema and migrations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Alternative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Status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Reason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One schema per service + one migration repository per service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Chosen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Each table's ownership is explicit in its name; repositories never collide with each other</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All tables in </w:t>
            </w:r>
            <w:r>
              <w:rPr>
                <w:rFonts w:ascii="Times New Roman" w:cs="Times New Roman" w:eastAsia="Times New Roman" w:hAnsi="Times New Roman"/>
                <w:i/>
                <w:iCs/>
                <w:sz w:val="22"/>
                <w:szCs w:val="22"/>
              </w:rPr>
              <w:t xml:space="preserve">dbo</w:t>
            </w:r>
            <w:r>
              <w:rPr>
                <w:rFonts w:ascii="Times New Roman" w:cs="Times New Roman" w:eastAsia="Times New Roman" w:hAnsi="Times New Roman"/>
                <w:sz w:val="22"/>
                <w:szCs w:val="22"/>
              </w:rPr>
              <w:t xml:space="preserve">, one migration repository per service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Ownership remains only by convention; any service's DB user can write to any table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 single migration repository shared by every service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Couples every team's release to a single repository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An independent database per service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Discarded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Contradicts the shared database and loses the foreign keys between contexts</w:t>
            </w:r>
          </w:p>
        </w:tc>
      </w:tr>
    </w:tbl>
    <w:p>
      <w:pPr>
        <w:spacing w:after="160"/>
      </w:pPr>
    </w:p>
    <w:p>
      <w:pPr>
        <w:spacing w:after="200" w:line="480"/>
        <w:jc w:val="both"/>
      </w:pPr>
      <w:r>
        <w:rPr>
          <w:rFonts w:ascii="Times New Roman" w:cs="Times New Roman" w:eastAsia="Times New Roman" w:hAnsi="Times New Roman"/>
          <w:sz w:val="24"/>
          <w:szCs w:val="24"/>
        </w:rPr>
        <w:t xml:space="preserve">The database remains a single shared SQL Server instance (</w:t>
      </w:r>
      <w:r>
        <w:rPr>
          <w:rFonts w:ascii="Times New Roman" w:cs="Times New Roman" w:eastAsia="Times New Roman" w:hAnsi="Times New Roman"/>
          <w:i/>
          <w:iCs/>
          <w:sz w:val="24"/>
          <w:szCs w:val="24"/>
        </w:rPr>
        <w:t xml:space="preserve">rentamovil</w:t>
      </w:r>
      <w:r>
        <w:rPr>
          <w:rFonts w:ascii="Times New Roman" w:cs="Times New Roman" w:eastAsia="Times New Roman" w:hAnsi="Times New Roman"/>
          <w:sz w:val="24"/>
          <w:szCs w:val="24"/>
        </w:rPr>
        <w:t xml:space="preserve">), with one schema per business service (</w:t>
      </w:r>
      <w:r>
        <w:rPr>
          <w:rFonts w:ascii="Times New Roman" w:cs="Times New Roman" w:eastAsia="Times New Roman" w:hAnsi="Times New Roman"/>
          <w:i/>
          <w:iCs/>
          <w:sz w:val="24"/>
          <w:szCs w:val="24"/>
        </w:rPr>
        <w:t xml:space="preserve">iam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fleet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telemetry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booking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payment</w:t>
      </w:r>
      <w:r>
        <w:rPr>
          <w:rFonts w:ascii="Times New Roman" w:cs="Times New Roman" w:eastAsia="Times New Roman" w:hAnsi="Times New Roman"/>
          <w:sz w:val="24"/>
          <w:szCs w:val="24"/>
        </w:rPr>
        <w:t xml:space="preserve">) and one </w:t>
      </w:r>
      <w:r>
        <w:rPr>
          <w:rFonts w:ascii="Times New Roman" w:cs="Times New Roman" w:eastAsia="Times New Roman" w:hAnsi="Times New Roman"/>
          <w:i/>
          <w:iCs/>
          <w:sz w:val="24"/>
          <w:szCs w:val="24"/>
        </w:rPr>
        <w:t xml:space="preserve">rtm-&lt;service&gt;-db</w:t>
      </w:r>
      <w:r>
        <w:rPr>
          <w:rFonts w:ascii="Times New Roman" w:cs="Times New Roman" w:eastAsia="Times New Roman" w:hAnsi="Times New Roman"/>
          <w:sz w:val="24"/>
          <w:szCs w:val="24"/>
        </w:rPr>
        <w:t xml:space="preserve"> repository per service. The execution order between repositories is fixed (</w:t>
      </w:r>
      <w:r>
        <w:rPr>
          <w:rFonts w:ascii="Times New Roman" w:cs="Times New Roman" w:eastAsia="Times New Roman" w:hAnsi="Times New Roman"/>
          <w:i/>
          <w:iCs/>
          <w:sz w:val="24"/>
          <w:szCs w:val="24"/>
        </w:rPr>
        <w:t xml:space="preserve">iam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fleet-maintenance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telemetry-gps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booking-reservation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payment-billing</w:t>
      </w:r>
      <w:r>
        <w:rPr>
          <w:rFonts w:ascii="Times New Roman" w:cs="Times New Roman" w:eastAsia="Times New Roman" w:hAnsi="Times New Roman"/>
          <w:sz w:val="24"/>
          <w:szCs w:val="24"/>
        </w:rPr>
        <w:t xml:space="preserve">) so that cross-service foreign keys always point to tables that already exist (RentaMovil, 2026, ADR-009-schema-per-service-and-migration-repos.md).</w:t>
      </w:r>
    </w:p>
    <w:p>
      <w:pPr>
        <w:spacing w:after="240" w:before="240" w:line="480"/>
        <w:jc w:val="center"/>
      </w:pPr>
      <w:r>
        <w:rPr>
          <w:rFonts w:ascii="Times New Roman" w:cs="Times New Roman" w:eastAsia="Times New Roman" w:hAnsi="Times New Roman"/>
          <w:b/>
          <w:bCs/>
          <w:sz w:val="24"/>
          <w:szCs w:val="24"/>
        </w:rPr>
        <w:t xml:space="preserve">3. Proposed Technology Stack</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Layer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Technology</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Justification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Java + Spring Boot, Hexagonal Architecture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Separates business rules from Spring, SQL Server, and transport; the training program's standard</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Database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Microsoft SQL Server (shared instance, one schema per service)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The project's single declared persistence technology; migrated with Liquibase per service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Web (client and administration)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React + Vite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Enables a feature-based, component-reusable architecture with fast build times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Mobile (client)</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Expo + React Native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 single source for Android/iOS, with Expo Router for navigation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Authentication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JWT signed with RS256, issued by the identity service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Lets every microservice verify the token independently, without querying the issuer on every request</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Communication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Synchronous REST between client and backend; asynchronous domain events between services, delivered </w:t>
            </w:r>
            <w:r>
              <w:rPr>
                <w:rFonts w:ascii="Times New Roman" w:cs="Times New Roman" w:eastAsia="Times New Roman" w:hAnsi="Times New Roman"/>
                <w:i/>
                <w:iCs/>
                <w:sz w:val="22"/>
                <w:szCs w:val="22"/>
              </w:rPr>
              <w:t xml:space="preserve">at-least-once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Requires the payment, rental, telemetry, and notification flows to be idempotent</w:t>
            </w:r>
          </w:p>
        </w:tc>
      </w:tr>
    </w:tbl>
    <w:p>
      <w:pPr>
        <w:spacing w:after="160"/>
      </w:pPr>
    </w:p>
    <w:p>
      <w:pPr>
        <w:spacing w:after="200" w:line="480"/>
        <w:jc w:val="both"/>
      </w:pPr>
      <w:r>
        <w:rPr>
          <w:rFonts w:ascii="Times New Roman" w:cs="Times New Roman" w:eastAsia="Times New Roman" w:hAnsi="Times New Roman"/>
          <w:sz w:val="24"/>
          <w:szCs w:val="24"/>
        </w:rPr>
        <w:t xml:space="preserve">(RentaMovil, 2026, 05-architecture/overview.md)</w:t>
      </w:r>
    </w:p>
    <w:p>
      <w:pPr>
        <w:spacing w:after="240" w:before="240" w:line="480"/>
        <w:jc w:val="center"/>
      </w:pPr>
      <w:r>
        <w:rPr>
          <w:rFonts w:ascii="Times New Roman" w:cs="Times New Roman" w:eastAsia="Times New Roman" w:hAnsi="Times New Roman"/>
          <w:b/>
          <w:bCs/>
          <w:sz w:val="24"/>
          <w:szCs w:val="24"/>
        </w:rPr>
        <w:t xml:space="preserve">4. Proposed High-Level Architecture</w:t>
      </w:r>
    </w:p>
    <w:p>
      <w:pPr>
        <w:spacing w:after="200" w:line="480"/>
        <w:jc w:val="both"/>
      </w:pPr>
      <w:r>
        <w:rPr>
          <w:rFonts w:ascii="Times New Roman" w:cs="Times New Roman" w:eastAsia="Times New Roman" w:hAnsi="Times New Roman"/>
          <w:sz w:val="24"/>
          <w:szCs w:val="24"/>
        </w:rPr>
        <w:t xml:space="preserve">The architecture is client-server: the client web and mobile applications, and the administrative web interface, consume the backend's APIs through published (OpenAPI) contracts. The backend is organized into seven Bounded Contexts, grouped into deployable services: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4513"/>
        <w:gridCol w:w="4513"/>
      </w:tblGrid>
      <w:tr>
        <w:trPr>
          <w:tblHeader/>
        </w:trPr>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Bounded Context</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Target 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identity-access-service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fleet-maintenance-service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booking-reservation-service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 Execution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rental-execution-service (runs inside booking-reservation)</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 &amp; Billing</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payment-billing-service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 &amp; GPS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telemetry-gps-service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notification-service (runs inside booking-reservation)</w:t>
            </w:r>
          </w:p>
        </w:tc>
      </w:tr>
    </w:tbl>
    <w:p>
      <w:pPr>
        <w:spacing w:after="160"/>
      </w:pPr>
    </w:p>
    <w:p>
      <w:pPr>
        <w:spacing w:after="200" w:line="480"/>
        <w:jc w:val="both"/>
      </w:pPr>
      <w:r>
        <w:rPr>
          <w:rFonts w:ascii="Times New Roman" w:cs="Times New Roman" w:eastAsia="Times New Roman" w:hAnsi="Times New Roman"/>
          <w:i/>
          <w:iCs/>
          <w:sz w:val="24"/>
          <w:szCs w:val="24"/>
        </w:rPr>
        <w:t xml:space="preserve">audit</w:t>
      </w:r>
      <w:r>
        <w:rPr>
          <w:rFonts w:ascii="Times New Roman" w:cs="Times New Roman" w:eastAsia="Times New Roman" w:hAnsi="Times New Roman"/>
          <w:sz w:val="24"/>
          <w:szCs w:val="24"/>
        </w:rPr>
        <w:t xml:space="preserve"> is cross-cutting infrastructure written directly by all seven contexts, not its own Bounded Context with a dedicated screen or microservice.</w:t>
      </w:r>
    </w:p>
    <w:p>
      <w:pPr>
        <w:spacing w:after="200" w:line="480"/>
        <w:jc w:val="both"/>
      </w:pPr>
      <w:r>
        <w:rPr>
          <w:rFonts w:ascii="Times New Roman" w:cs="Times New Roman" w:eastAsia="Times New Roman" w:hAnsi="Times New Roman"/>
          <w:b/>
          <w:bCs/>
          <w:sz w:val="24"/>
          <w:szCs w:val="24"/>
        </w:rPr>
        <w:t xml:space="preserve">Architectural principles:</w:t>
      </w:r>
      <w:r>
        <w:rPr>
          <w:rFonts w:ascii="Times New Roman" w:cs="Times New Roman" w:eastAsia="Times New Roman" w:hAnsi="Times New Roman"/>
          <w:sz w:val="24"/>
          <w:szCs w:val="24"/>
        </w:rPr>
        <w:t xml:space="preserve"> API contracts before implementing public endpoints (</w:t>
      </w:r>
      <w:r>
        <w:rPr>
          <w:rFonts w:ascii="Times New Roman" w:cs="Times New Roman" w:eastAsia="Times New Roman" w:hAnsi="Times New Roman"/>
          <w:i/>
          <w:iCs/>
          <w:sz w:val="24"/>
          <w:szCs w:val="24"/>
        </w:rPr>
        <w:t xml:space="preserve">API first</w:t>
      </w:r>
      <w:r>
        <w:rPr>
          <w:rFonts w:ascii="Times New Roman" w:cs="Times New Roman" w:eastAsia="Times New Roman" w:hAnsi="Times New Roman"/>
          <w:sz w:val="24"/>
          <w:szCs w:val="24"/>
        </w:rPr>
        <w:t xml:space="preserve">); domain isolation from Spring, SQL Server, and transport; ownership bounded by context; controlled dependencies only via REST or published domain events, never direct internal access; security built in by design; incremental system evolution.</w:t>
      </w:r>
    </w:p>
    <w:p>
      <w:pPr>
        <w:spacing w:after="200" w:line="480"/>
        <w:jc w:val="both"/>
      </w:pPr>
      <w:r>
        <w:rPr>
          <w:rFonts w:ascii="Times New Roman" w:cs="Times New Roman" w:eastAsia="Times New Roman" w:hAnsi="Times New Roman"/>
          <w:b/>
          <w:bCs/>
          <w:sz w:val="24"/>
          <w:szCs w:val="24"/>
        </w:rPr>
        <w:t xml:space="preserve">Architectural patterns:</w:t>
      </w:r>
      <w:r>
        <w:rPr>
          <w:rFonts w:ascii="Times New Roman" w:cs="Times New Roman" w:eastAsia="Times New Roman" w:hAnsi="Times New Roman"/>
          <w:sz w:val="24"/>
          <w:szCs w:val="24"/>
        </w:rPr>
        <w:t xml:space="preserve"> Hexagonal Architecture (adopted in the backend), Feature-Based and Component-Driven (adopted in the mobile client), API Gateway (the system's target boundary), Saga/Outbox and Circuit Breaker (to be evaluated for cross-context flows and calls between independently deployed services, respectively). An eventual migration from the shared database to a database per service would require a new ADR (RentaMovil, 2026, 05-architecture/overview.md).</w:t>
      </w:r>
    </w:p>
    <w:p>
      <w:pPr>
        <w:spacing w:after="240" w:before="240" w:line="480"/>
        <w:jc w:val="center"/>
      </w:pPr>
      <w:r>
        <w:rPr>
          <w:rFonts w:ascii="Times New Roman" w:cs="Times New Roman" w:eastAsia="Times New Roman" w:hAnsi="Times New Roman"/>
          <w:b/>
          <w:bCs/>
          <w:sz w:val="24"/>
          <w:szCs w:val="24"/>
        </w:rPr>
        <w:t xml:space="preserve">5. Feasibility</w:t>
      </w:r>
    </w:p>
    <w:p>
      <w:pPr>
        <w:spacing w:after="160" w:before="200" w:line="480"/>
        <w:jc w:val="left"/>
      </w:pPr>
      <w:r>
        <w:rPr>
          <w:rFonts w:ascii="Times New Roman" w:cs="Times New Roman" w:eastAsia="Times New Roman" w:hAnsi="Times New Roman"/>
          <w:b/>
          <w:bCs/>
          <w:sz w:val="24"/>
          <w:szCs w:val="24"/>
        </w:rPr>
        <w:t xml:space="preserve">5.1 Technical feasibility</w:t>
      </w:r>
    </w:p>
    <w:p>
      <w:pPr>
        <w:spacing w:after="200" w:line="480"/>
        <w:jc w:val="both"/>
      </w:pPr>
      <w:r>
        <w:rPr>
          <w:rFonts w:ascii="Times New Roman" w:cs="Times New Roman" w:eastAsia="Times New Roman" w:hAnsi="Times New Roman"/>
          <w:sz w:val="24"/>
          <w:szCs w:val="24"/>
        </w:rPr>
        <w:t xml:space="preserve">The team has prior experience with Java/Spring Boot, React, and relational databases, reinforced during the training program. The chosen stack (section 3) uses tools in widespread industry use with abundant documentation, which reduces adoption risk. The main technical complexity identified is coordinating migrations across the </w:t>
      </w:r>
      <w:r>
        <w:rPr>
          <w:rFonts w:ascii="Times New Roman" w:cs="Times New Roman" w:eastAsia="Times New Roman" w:hAnsi="Times New Roman"/>
          <w:i/>
          <w:iCs/>
          <w:sz w:val="24"/>
          <w:szCs w:val="24"/>
        </w:rPr>
        <w:t xml:space="preserve">rtm-&lt;service&gt;-db</w:t>
      </w:r>
      <w:r>
        <w:rPr>
          <w:rFonts w:ascii="Times New Roman" w:cs="Times New Roman" w:eastAsia="Times New Roman" w:hAnsi="Times New Roman"/>
          <w:sz w:val="24"/>
          <w:szCs w:val="24"/>
        </w:rPr>
        <w:t xml:space="preserve"> repositories, mitigated by the fixed execution order described in section 2.8.</w:t>
      </w:r>
    </w:p>
    <w:p>
      <w:pPr>
        <w:spacing w:after="160" w:before="200" w:line="480"/>
        <w:jc w:val="left"/>
      </w:pPr>
      <w:r>
        <w:rPr>
          <w:rFonts w:ascii="Times New Roman" w:cs="Times New Roman" w:eastAsia="Times New Roman" w:hAnsi="Times New Roman"/>
          <w:b/>
          <w:bCs/>
          <w:sz w:val="24"/>
          <w:szCs w:val="24"/>
        </w:rPr>
        <w:t xml:space="preserve">5.2 Operational feasibility</w:t>
      </w:r>
    </w:p>
    <w:p>
      <w:pPr>
        <w:spacing w:after="200" w:line="480"/>
        <w:jc w:val="both"/>
      </w:pPr>
      <w:r>
        <w:rPr>
          <w:rFonts w:ascii="Times New Roman" w:cs="Times New Roman" w:eastAsia="Times New Roman" w:hAnsi="Times New Roman"/>
          <w:sz w:val="24"/>
          <w:szCs w:val="24"/>
        </w:rPr>
        <w:t xml:space="preserve">The project is developed by a team of 3 members under the methodology described in section 6, using free tools or tools with a sufficient free tier (Jira, GitHub, Docker). No production infrastructure dependencies beyond a local or containerized development and testing environment were identified (RentaMovil, 2026, 00-governance/agile-conventions.md).</w:t>
      </w:r>
    </w:p>
    <w:p>
      <w:pPr>
        <w:spacing w:after="160" w:before="200" w:line="480"/>
        <w:jc w:val="left"/>
      </w:pPr>
      <w:r>
        <w:rPr>
          <w:rFonts w:ascii="Times New Roman" w:cs="Times New Roman" w:eastAsia="Times New Roman" w:hAnsi="Times New Roman"/>
          <w:b/>
          <w:bCs/>
          <w:sz w:val="24"/>
          <w:szCs w:val="24"/>
        </w:rPr>
        <w:t xml:space="preserve">5.3 Economic feasibility</w:t>
      </w:r>
    </w:p>
    <w:p>
      <w:pPr>
        <w:spacing w:after="200" w:line="480"/>
        <w:jc w:val="both"/>
      </w:pPr>
      <w:r>
        <w:rPr>
          <w:rFonts w:ascii="Times New Roman" w:cs="Times New Roman" w:eastAsia="Times New Roman" w:hAnsi="Times New Roman"/>
          <w:sz w:val="24"/>
          <w:szCs w:val="24"/>
        </w:rPr>
        <w:t xml:space="preserve">As an academic project, there is no budget allocated for production infrastructure or commercial licenses. The proposed technology stack (section 3) uses exclusively open-source tools or tools with a free tier sufficient for the MVP's scope (Java, Spring Boot, SQL Server Developer Edition, React, Expo, Docker). No formal cost-benefit analysis of a production deployment was performed, as it falls outside the training program's academic scope.</w:t>
      </w:r>
    </w:p>
    <w:p>
      <w:pPr>
        <w:spacing w:after="240" w:before="240" w:line="480"/>
        <w:jc w:val="center"/>
      </w:pPr>
      <w:r>
        <w:rPr>
          <w:rFonts w:ascii="Times New Roman" w:cs="Times New Roman" w:eastAsia="Times New Roman" w:hAnsi="Times New Roman"/>
          <w:b/>
          <w:bCs/>
          <w:sz w:val="24"/>
          <w:szCs w:val="24"/>
        </w:rPr>
        <w:t xml:space="preserve">6. Development Methodology</w:t>
      </w:r>
    </w:p>
    <w:p>
      <w:pPr>
        <w:spacing w:after="200" w:line="480"/>
        <w:jc w:val="both"/>
      </w:pPr>
      <w:r>
        <w:rPr>
          <w:rFonts w:ascii="Times New Roman" w:cs="Times New Roman" w:eastAsia="Times New Roman" w:hAnsi="Times New Roman"/>
          <w:sz w:val="24"/>
          <w:szCs w:val="24"/>
        </w:rPr>
        <w:t xml:space="preserve">The team agreed to work under </w:t>
      </w:r>
      <w:r>
        <w:rPr>
          <w:rFonts w:ascii="Times New Roman" w:cs="Times New Roman" w:eastAsia="Times New Roman" w:hAnsi="Times New Roman"/>
          <w:b/>
          <w:bCs/>
          <w:sz w:val="24"/>
          <w:szCs w:val="24"/>
        </w:rPr>
        <w:t xml:space="preserve">Scrum</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one-week</w:t>
      </w:r>
      <w:r>
        <w:rPr>
          <w:rFonts w:ascii="Times New Roman" w:cs="Times New Roman" w:eastAsia="Times New Roman" w:hAnsi="Times New Roman"/>
          <w:sz w:val="24"/>
          <w:szCs w:val="24"/>
        </w:rPr>
        <w:t xml:space="preserve"> sprints (Monday through Friday) for a </w:t>
      </w:r>
      <w:r>
        <w:rPr>
          <w:rFonts w:ascii="Times New Roman" w:cs="Times New Roman" w:eastAsia="Times New Roman" w:hAnsi="Times New Roman"/>
          <w:b/>
          <w:bCs/>
          <w:sz w:val="24"/>
          <w:szCs w:val="24"/>
        </w:rPr>
        <w:t xml:space="preserve">3-person</w:t>
      </w:r>
      <w:r>
        <w:rPr>
          <w:rFonts w:ascii="Times New Roman" w:cs="Times New Roman" w:eastAsia="Times New Roman" w:hAnsi="Times New Roman"/>
          <w:sz w:val="24"/>
          <w:szCs w:val="24"/>
        </w:rPr>
        <w:t xml:space="preserve"> team. Ceremonies were compressed to fit the short sprint length:</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2256"/>
        <w:gridCol w:w="2256"/>
        <w:gridCol w:w="2256"/>
        <w:gridCol w:w="2258"/>
      </w:tblGrid>
      <w:tr>
        <w:trPr>
          <w:tblHeader/>
        </w:trPr>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Ceremony</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Timing</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Maximum Duration</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Participants</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Planning</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Monday</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 hour</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Full team</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Daily Stand-up</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Daily</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15 minutes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Full team</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Backlog Refinement</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Wednesday</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minutes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Full team</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Review</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Friday</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minutes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Team + Product Owner</w:t>
            </w:r>
          </w:p>
        </w:tc>
      </w:tr>
      <w:tr>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Sprint Retrospective</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Friday (after the Review)</w:t>
            </w:r>
          </w:p>
        </w:tc>
        <w:tc>
          <w:tcPr>
            <w:tcW w:type="dxa" w:w="2256"/>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 minutes</w:t>
            </w:r>
          </w:p>
        </w:tc>
        <w:tc>
          <w:tcPr>
            <w:tcW w:type="dxa" w:w="225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Full team</w:t>
            </w:r>
          </w:p>
        </w:tc>
      </w:tr>
    </w:tbl>
    <w:p>
      <w:pPr>
        <w:spacing w:after="160"/>
      </w:pPr>
    </w:p>
    <w:p>
      <w:pPr>
        <w:spacing w:after="200" w:line="480"/>
        <w:jc w:val="both"/>
      </w:pPr>
      <w:r>
        <w:rPr>
          <w:rFonts w:ascii="Times New Roman" w:cs="Times New Roman" w:eastAsia="Times New Roman" w:hAnsi="Times New Roman"/>
          <w:sz w:val="24"/>
          <w:szCs w:val="24"/>
        </w:rPr>
        <w:t xml:space="preserve">Every retrospective must produce at least one improvement action with an owner and a due date. Story estimation uses the </w:t>
      </w:r>
      <w:r>
        <w:rPr>
          <w:rFonts w:ascii="Times New Roman" w:cs="Times New Roman" w:eastAsia="Times New Roman" w:hAnsi="Times New Roman"/>
          <w:b/>
          <w:bCs/>
          <w:sz w:val="24"/>
          <w:szCs w:val="24"/>
        </w:rPr>
        <w:t xml:space="preserve">Fibonacci</w:t>
      </w:r>
      <w:r>
        <w:rPr>
          <w:rFonts w:ascii="Times New Roman" w:cs="Times New Roman" w:eastAsia="Times New Roman" w:hAnsi="Times New Roman"/>
          <w:sz w:val="24"/>
          <w:szCs w:val="24"/>
        </w:rPr>
        <w:t xml:space="preserve"> scale (1, 2, 3, 5, 8, 13) via </w:t>
      </w:r>
      <w:r>
        <w:rPr>
          <w:rFonts w:ascii="Times New Roman" w:cs="Times New Roman" w:eastAsia="Times New Roman" w:hAnsi="Times New Roman"/>
          <w:b/>
          <w:bCs/>
          <w:sz w:val="24"/>
          <w:szCs w:val="24"/>
        </w:rPr>
        <w:t xml:space="preserve">Planning Poker</w:t>
      </w:r>
      <w:r>
        <w:rPr>
          <w:rFonts w:ascii="Times New Roman" w:cs="Times New Roman" w:eastAsia="Times New Roman" w:hAnsi="Times New Roman"/>
          <w:sz w:val="24"/>
          <w:szCs w:val="24"/>
        </w:rPr>
        <w:t xml:space="preserve">; a story estimated at 8 or 13 points must be split before entering a sprint. The backlog is managed in </w:t>
      </w:r>
      <w:r>
        <w:rPr>
          <w:rFonts w:ascii="Times New Roman" w:cs="Times New Roman" w:eastAsia="Times New Roman" w:hAnsi="Times New Roman"/>
          <w:b/>
          <w:bCs/>
          <w:sz w:val="24"/>
          <w:szCs w:val="24"/>
        </w:rPr>
        <w:t xml:space="preserve">Jira</w:t>
      </w:r>
      <w:r>
        <w:rPr>
          <w:rFonts w:ascii="Times New Roman" w:cs="Times New Roman" w:eastAsia="Times New Roman" w:hAnsi="Times New Roman"/>
          <w:sz w:val="24"/>
          <w:szCs w:val="24"/>
        </w:rPr>
        <w:t xml:space="preserve">, with a board of columns Backlog → Ready → In Progress → In Review → Done (RentaMovil, 2026, 00-governance/agile-conventions.md).</w:t>
      </w:r>
    </w:p>
    <w:p>
      <w:pPr>
        <w:spacing w:after="240" w:before="240" w:line="480"/>
        <w:jc w:val="center"/>
      </w:pPr>
      <w:r>
        <w:rPr>
          <w:rFonts w:ascii="Times New Roman" w:cs="Times New Roman" w:eastAsia="Times New Roman" w:hAnsi="Times New Roman"/>
          <w:b/>
          <w:bCs/>
          <w:sz w:val="24"/>
          <w:szCs w:val="24"/>
        </w:rPr>
        <w:t xml:space="preserve">7. Required Resources</w:t>
      </w:r>
    </w:p>
    <w:p>
      <w:pPr>
        <w:spacing w:after="160" w:before="200" w:line="480"/>
        <w:jc w:val="left"/>
      </w:pPr>
      <w:r>
        <w:rPr>
          <w:rFonts w:ascii="Times New Roman" w:cs="Times New Roman" w:eastAsia="Times New Roman" w:hAnsi="Times New Roman"/>
          <w:b/>
          <w:bCs/>
          <w:sz w:val="24"/>
          <w:szCs w:val="24"/>
        </w:rPr>
        <w:t xml:space="preserve">7.1 Human resources</w:t>
      </w:r>
    </w:p>
    <w:p>
      <w:pPr>
        <w:spacing w:after="200" w:line="480"/>
        <w:jc w:val="both"/>
      </w:pPr>
      <w:r>
        <w:rPr>
          <w:rFonts w:ascii="Times New Roman" w:cs="Times New Roman" w:eastAsia="Times New Roman" w:hAnsi="Times New Roman"/>
          <w:sz w:val="24"/>
          <w:szCs w:val="24"/>
        </w:rPr>
        <w:t xml:space="preserve">The team is made up of 3 members, with the roles already defined in the project's requirements specification:</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Member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Role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Responsibility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Nicole Dayana Ramírez Vargas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Lead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Lead, plan, and oversee the project delivery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David Santiago Erez Rodríguez</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Developer</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Build the web application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Thiago Fabian Rojas Guevara</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Analyst</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Information analysis, design, and programming</w:t>
            </w:r>
          </w:p>
        </w:tc>
      </w:tr>
    </w:tbl>
    <w:p>
      <w:pPr>
        <w:spacing w:after="160"/>
      </w:pPr>
    </w:p>
    <w:p>
      <w:pPr>
        <w:spacing w:after="200" w:line="480"/>
        <w:jc w:val="both"/>
      </w:pPr>
      <w:r>
        <w:rPr>
          <w:rFonts w:ascii="Times New Roman" w:cs="Times New Roman" w:eastAsia="Times New Roman" w:hAnsi="Times New Roman"/>
          <w:sz w:val="24"/>
          <w:szCs w:val="24"/>
        </w:rPr>
        <w:t xml:space="preserve">(RentaMovil, 2026, Document 1 — Software Requirements Specification, section 1.7)</w:t>
      </w:r>
    </w:p>
    <w:p>
      <w:pPr>
        <w:spacing w:after="160" w:before="200" w:line="480"/>
        <w:jc w:val="left"/>
      </w:pPr>
      <w:r>
        <w:rPr>
          <w:rFonts w:ascii="Times New Roman" w:cs="Times New Roman" w:eastAsia="Times New Roman" w:hAnsi="Times New Roman"/>
          <w:b/>
          <w:bCs/>
          <w:sz w:val="24"/>
          <w:szCs w:val="24"/>
        </w:rPr>
        <w:t xml:space="preserve">7.2 Software resources</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4513"/>
        <w:gridCol w:w="4513"/>
      </w:tblGrid>
      <w:tr>
        <w:trPr>
          <w:tblHeader/>
        </w:trPr>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Category</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Tools</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Backend</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Java (JDK), Spring Boot, Maven/Gradle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Database</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Microsoft SQL Server Developer Edition, Liquibase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Web frontend</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Node.js, React, Vite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Mobile application</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Expo, React Native</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Version control</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Git, GitHub</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Backlog management</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Jira</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Containers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Docker</w:t>
            </w:r>
          </w:p>
        </w:tc>
      </w:tr>
      <w:tr>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Development environments</w:t>
            </w:r>
          </w:p>
        </w:tc>
        <w:tc>
          <w:tcPr>
            <w:tcW w:type="dxa" w:w="4513"/>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Team IDEs (IntelliJ IDEA, Visual Studio Code)</w:t>
            </w:r>
          </w:p>
        </w:tc>
      </w:tr>
    </w:tbl>
    <w:p>
      <w:pPr>
        <w:spacing w:after="160"/>
      </w:pPr>
    </w:p>
    <w:p>
      <w:pPr>
        <w:spacing w:after="200" w:line="480"/>
        <w:jc w:val="both"/>
      </w:pPr>
      <w:r>
        <w:rPr>
          <w:rFonts w:ascii="Times New Roman" w:cs="Times New Roman" w:eastAsia="Times New Roman" w:hAnsi="Times New Roman"/>
          <w:sz w:val="24"/>
          <w:szCs w:val="24"/>
        </w:rPr>
        <w:t xml:space="preserve">Every tool listed is open source or has a free tier sufficient for the MVP's scope, consistent with the economic feasibility described in section 5.3.</w:t>
      </w:r>
    </w:p>
    <w:p>
      <w:pPr>
        <w:spacing w:after="160" w:before="200" w:line="480"/>
        <w:jc w:val="left"/>
      </w:pPr>
      <w:r>
        <w:rPr>
          <w:rFonts w:ascii="Times New Roman" w:cs="Times New Roman" w:eastAsia="Times New Roman" w:hAnsi="Times New Roman"/>
          <w:b/>
          <w:bCs/>
          <w:sz w:val="24"/>
          <w:szCs w:val="24"/>
        </w:rPr>
        <w:t xml:space="preserve">7.3 Hardware resources</w:t>
      </w:r>
    </w:p>
    <w:p>
      <w:pPr>
        <w:spacing w:after="200" w:line="480"/>
        <w:jc w:val="both"/>
      </w:pPr>
      <w:r>
        <w:rPr>
          <w:rFonts w:ascii="Times New Roman" w:cs="Times New Roman" w:eastAsia="Times New Roman" w:hAnsi="Times New Roman"/>
          <w:sz w:val="24"/>
          <w:szCs w:val="24"/>
        </w:rPr>
        <w:t xml:space="preserve">The project does not require production servers: development, testing, and integration run on the team members' own computers and local Docker containers. Mobile application testing runs on emulators (Android/iOS) or the team's own physical devices, with no additional infrastructure. The exception is the Telemetry &amp; GPS module: to validate real integration with a GPS device, the team purchased a physical module and its components, itemized in the budget in section 7.4.</w:t>
      </w:r>
    </w:p>
    <w:p>
      <w:pPr>
        <w:spacing w:after="160" w:before="200" w:line="480"/>
        <w:jc w:val="left"/>
      </w:pPr>
      <w:r>
        <w:rPr>
          <w:rFonts w:ascii="Times New Roman" w:cs="Times New Roman" w:eastAsia="Times New Roman" w:hAnsi="Times New Roman"/>
          <w:b/>
          <w:bCs/>
          <w:sz w:val="24"/>
          <w:szCs w:val="24"/>
        </w:rPr>
        <w:t xml:space="preserve">7.4 Estimated Budget</w:t>
      </w:r>
    </w:p>
    <w:p>
      <w:pPr>
        <w:spacing w:after="200" w:line="480"/>
        <w:jc w:val="both"/>
      </w:pPr>
      <w:r>
        <w:rPr>
          <w:rFonts w:ascii="Times New Roman" w:cs="Times New Roman" w:eastAsia="Times New Roman" w:hAnsi="Times New Roman"/>
          <w:sz w:val="24"/>
          <w:szCs w:val="24"/>
        </w:rPr>
        <w:t xml:space="preserve">The following are the expenses the team has incurred to date, covered out of pocket by its members, mainly to physically validate the Telemetry &amp; GPS module:</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Item</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Description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Approximate cost (COP)</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GPS module and materials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GPS device and electronic components for the tracking prototype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$300,000</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Additional electronic supplies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Cables, connectors, breadboard, and enclosure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$50,000</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Transportation</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Travel to purchase materials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$50,000</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Contingency and miscellaneous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Additional unplanned expenses during purchase and integration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$100,000</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Total</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$500,000</w:t>
            </w:r>
          </w:p>
        </w:tc>
      </w:tr>
    </w:tbl>
    <w:p>
      <w:pPr>
        <w:spacing w:after="160"/>
      </w:pPr>
    </w:p>
    <w:p>
      <w:pPr>
        <w:spacing w:after="200" w:line="480"/>
        <w:jc w:val="both"/>
      </w:pPr>
      <w:r>
        <w:rPr>
          <w:rFonts w:ascii="Times New Roman" w:cs="Times New Roman" w:eastAsia="Times New Roman" w:hAnsi="Times New Roman"/>
          <w:sz w:val="24"/>
          <w:szCs w:val="24"/>
        </w:rPr>
        <w:t xml:space="preserve">This figure is an academic estimate, covered by the team itself, and does not represent a production-deployment budget — that analysis falls outside the training program's academic scope, as already noted in the economic feasibility (section 5.3).</w:t>
      </w:r>
    </w:p>
    <w:p>
      <w:pPr>
        <w:spacing w:after="240" w:before="240" w:line="480"/>
        <w:jc w:val="center"/>
      </w:pPr>
      <w:r>
        <w:rPr>
          <w:rFonts w:ascii="Times New Roman" w:cs="Times New Roman" w:eastAsia="Times New Roman" w:hAnsi="Times New Roman"/>
          <w:b/>
          <w:bCs/>
          <w:sz w:val="24"/>
          <w:szCs w:val="24"/>
        </w:rPr>
        <w:t xml:space="preserve">8. Current Status and Proposed Schedule</w:t>
      </w:r>
    </w:p>
    <w:p>
      <w:pPr>
        <w:spacing w:after="200" w:line="480"/>
        <w:jc w:val="both"/>
      </w:pPr>
      <w:r>
        <w:rPr>
          <w:rFonts w:ascii="Times New Roman" w:cs="Times New Roman" w:eastAsia="Times New Roman" w:hAnsi="Times New Roman"/>
          <w:sz w:val="24"/>
          <w:szCs w:val="24"/>
        </w:rPr>
        <w:t xml:space="preserve">The project backlog, documented in </w:t>
      </w:r>
      <w:r>
        <w:rPr>
          <w:rFonts w:ascii="Times New Roman" w:cs="Times New Roman" w:eastAsia="Times New Roman" w:hAnsi="Times New Roman"/>
          <w:i/>
          <w:iCs/>
          <w:sz w:val="24"/>
          <w:szCs w:val="24"/>
        </w:rPr>
        <w:t xml:space="preserve">04-requirements/user-stories.md</w:t>
      </w:r>
      <w:r>
        <w:rPr>
          <w:rFonts w:ascii="Times New Roman" w:cs="Times New Roman" w:eastAsia="Times New Roman" w:hAnsi="Times New Roman"/>
          <w:sz w:val="24"/>
          <w:szCs w:val="24"/>
        </w:rPr>
        <w:t xml:space="preserve">, is organized into 7 epics (one per Bounded Context) with 31 user stories in total, estimated between 2 and 5 points each.</w:t>
      </w:r>
    </w:p>
    <w:p>
      <w:pPr>
        <w:spacing w:after="200" w:line="480"/>
        <w:jc w:val="both"/>
      </w:pPr>
      <w:r>
        <w:rPr>
          <w:rFonts w:ascii="Times New Roman" w:cs="Times New Roman" w:eastAsia="Times New Roman" w:hAnsi="Times New Roman"/>
          <w:sz w:val="24"/>
          <w:szCs w:val="24"/>
        </w:rPr>
        <w:t xml:space="preserve">This proposal suggests executing the epics in the same dependency order that already governs database migrations between services (section 2.8), so that no service depends on tables or contracts that do not yet exist:</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Order</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Epic (Bounded Context)</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Dependency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1</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None — authentication is required by everything else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2</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 (roles and permissions)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3</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Telemetry &amp; GPS</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Fleet &amp; Maintenance (vehicles to track)</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4</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Identity &amp; Access, Fleet &amp; Maintenance</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5</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 Execution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 (confirmed reservation)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6</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Payment &amp; Billing</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Booking &amp; Reservation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7</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Notification</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Cross-cutting across the previous epics' events</w:t>
            </w:r>
          </w:p>
        </w:tc>
      </w:tr>
    </w:tbl>
    <w:p>
      <w:pPr>
        <w:spacing w:after="160"/>
      </w:pPr>
    </w:p>
    <w:p>
      <w:pPr>
        <w:spacing w:after="200" w:line="480"/>
        <w:jc w:val="both"/>
      </w:pPr>
      <w:r>
        <w:rPr>
          <w:rFonts w:ascii="Times New Roman" w:cs="Times New Roman" w:eastAsia="Times New Roman" w:hAnsi="Times New Roman"/>
          <w:sz w:val="24"/>
          <w:szCs w:val="24"/>
        </w:rPr>
        <w:t xml:space="preserve">With one-week sprints and a 3-person team, each epic can be spread across one or more sprints depending on its number of stories and their point estimates; the exact per-sprint calendar remains subject to each week's Sprint Planning, per the methodology described in section 6.</w:t>
      </w:r>
    </w:p>
    <w:p>
      <w:pPr>
        <w:spacing w:after="240" w:before="240" w:line="480"/>
        <w:jc w:val="center"/>
      </w:pPr>
      <w:r>
        <w:rPr>
          <w:rFonts w:ascii="Times New Roman" w:cs="Times New Roman" w:eastAsia="Times New Roman" w:hAnsi="Times New Roman"/>
          <w:b/>
          <w:bCs/>
          <w:sz w:val="24"/>
          <w:szCs w:val="24"/>
        </w:rPr>
        <w:t xml:space="preserve">9. Risks and Mitigation</w:t>
      </w:r>
    </w:p>
    <w:tbl>
      <w:tblPr>
        <w:tblW w:type="dxa" w:w="9026"/>
        <w:tblBorders>
          <w:top w:val="single" w:color="000000" w:sz="6"/>
          <w:left w:val="none" w:color="FFFFFF" w:sz="0"/>
          <w:bottom w:val="single" w:color="000000" w:sz="6"/>
          <w:right w:val="none" w:color="FFFFFF" w:sz="0"/>
          <w:insideH w:val="single" w:color="999999" w:sz="2"/>
          <w:insideV w:val="none" w:color="FFFFFF" w:sz="0"/>
        </w:tblBorders>
      </w:tblPr>
      <w:tblGrid>
        <w:gridCol w:w="3008"/>
        <w:gridCol w:w="3008"/>
        <w:gridCol w:w="3010"/>
      </w:tblGrid>
      <w:tr>
        <w:trPr>
          <w:tblHeader/>
        </w:trPr>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Risk</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Source</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b/>
                <w:bCs/>
                <w:sz w:val="22"/>
                <w:szCs w:val="22"/>
              </w:rPr>
              <w:t xml:space="preserve">Proposed Mitigation</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Uncoordinated schema migrations across services sharing the database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ADR-002, ADR-009</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Fixed execution order between migration repositories and mandatory review before deploying schema changes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Residual Supabase references in the frontend</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ADR-007</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Treat them as explicit technical debt; do not expand them without updating the corresponding ADR</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Rental-contract routes exposed outside the MVP scope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ADR-008</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Hide or remove active navigation to those routes until an approved scope change exists</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Inconsistent folder conventions in the web frontend (letter casing)</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ADR-006</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Require the standardized convention for new code; migrate existing code incrementally</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Backlog with unassigned sprint schedule</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04-requirements/user-stories.md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Prioritize assigning sprints following the dependency order proposed in section 7</w:t>
            </w:r>
          </w:p>
        </w:tc>
      </w:tr>
      <w:tr>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Estimation disagreement among team members</w:t>
            </w:r>
          </w:p>
        </w:tc>
        <w:tc>
          <w:tcPr>
            <w:tcW w:type="dxa" w:w="3008"/>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00-governance/agile-conventions.md</w:t>
            </w:r>
          </w:p>
        </w:tc>
        <w:tc>
          <w:tcPr>
            <w:tcW w:type="dxa" w:w="3010"/>
            <w:tcMar>
              <w:top w:type="dxa" w:w="80"/>
              <w:left w:type="dxa" w:w="100"/>
              <w:bottom w:type="dxa" w:w="80"/>
              <w:right w:type="dxa" w:w="100"/>
            </w:tcMar>
          </w:tcPr>
          <w:p>
            <w:pPr>
              <w:spacing w:line="276"/>
            </w:pPr>
            <w:r>
              <w:rPr>
                <w:rFonts w:ascii="Times New Roman" w:cs="Times New Roman" w:eastAsia="Times New Roman" w:hAnsi="Times New Roman"/>
                <w:sz w:val="22"/>
                <w:szCs w:val="22"/>
              </w:rPr>
              <w:t xml:space="preserve">Planning Poker with a mandatory-discussion rule whenever estimates differ by 2 or more levels on the Fibonacci scale</w:t>
            </w:r>
          </w:p>
        </w:tc>
      </w:tr>
    </w:tbl>
    <w:p>
      <w:pPr>
        <w:spacing w:after="160"/>
      </w:pPr>
    </w:p>
    <w:p>
      <w:pPr>
        <w:spacing w:after="240" w:before="240" w:line="480"/>
        <w:jc w:val="center"/>
      </w:pPr>
      <w:r>
        <w:rPr>
          <w:rFonts w:ascii="Times New Roman" w:cs="Times New Roman" w:eastAsia="Times New Roman" w:hAnsi="Times New Roman"/>
          <w:b/>
          <w:bCs/>
          <w:sz w:val="24"/>
          <w:szCs w:val="24"/>
        </w:rPr>
        <w:t xml:space="preserve">10. Conclusions</w:t>
      </w:r>
    </w:p>
    <w:p>
      <w:pPr>
        <w:spacing w:after="200" w:line="480"/>
        <w:jc w:val="both"/>
      </w:pPr>
      <w:r>
        <w:rPr>
          <w:rFonts w:ascii="Times New Roman" w:cs="Times New Roman" w:eastAsia="Times New Roman" w:hAnsi="Times New Roman"/>
          <w:sz w:val="24"/>
          <w:szCs w:val="24"/>
        </w:rPr>
        <w:t xml:space="preserve">The technical solution proposed for RentaMovil is backed by nine architectural decisions already recorded and evaluated against concrete alternatives, with a technology stack in widespread industry use and feasible for a three-member team within the training program's timeframe. The backlog's 31 user stories are already refined; sprint execution follows the dependency order between epics proposed in this document.</w:t>
      </w:r>
    </w:p>
    <w:p>
      <w:pPr>
        <w:spacing w:after="240" w:before="240" w:line="480"/>
        <w:jc w:val="center"/>
      </w:pPr>
      <w:r>
        <w:rPr>
          <w:rFonts w:ascii="Times New Roman" w:cs="Times New Roman" w:eastAsia="Times New Roman" w:hAnsi="Times New Roman"/>
          <w:b/>
          <w:bCs/>
          <w:sz w:val="24"/>
          <w:szCs w:val="24"/>
        </w:rPr>
        <w:t xml:space="preserve">References</w:t>
      </w:r>
    </w:p>
    <w:p>
      <w:pPr>
        <w:spacing w:after="200" w:line="480"/>
        <w:ind w:left="720" w:hanging="720"/>
        <w:jc w:val="both"/>
      </w:pPr>
      <w:r>
        <w:rPr>
          <w:rFonts w:ascii="Times New Roman" w:cs="Times New Roman" w:eastAsia="Times New Roman" w:hAnsi="Times New Roman"/>
          <w:sz w:val="24"/>
          <w:szCs w:val="24"/>
        </w:rPr>
        <w:t xml:space="preserve">RentaMovil. (2026). 01-context/overview.md and 03-product/vision.md [Project vision and context].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ADR-002-microservices-decomposition.md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ADR-003-mobile-architecture.md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ADR-004-state-management.md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ADR-005-web-authentication-and-authorization.md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ADR-006-web-frontend-architecture.md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ADR-007-frontend-backend-boundary.md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ADR-008-mvp-route-boundary.md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ADR-009-schema-per-service-and-migration-repos.md [Architecture decision record].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05-architecture/overview.md [Architecture overview].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00-governance/agile-conventions.md [Team agile conventions]. RentaMovil documentation repository.</w:t>
      </w:r>
    </w:p>
    <w:p>
      <w:pPr>
        <w:spacing w:after="200" w:line="480"/>
        <w:ind w:left="720" w:hanging="720"/>
        <w:jc w:val="both"/>
      </w:pPr>
      <w:r>
        <w:rPr>
          <w:rFonts w:ascii="Times New Roman" w:cs="Times New Roman" w:eastAsia="Times New Roman" w:hAnsi="Times New Roman"/>
          <w:sz w:val="24"/>
          <w:szCs w:val="24"/>
        </w:rPr>
        <w:t xml:space="preserve">RentaMovil. (2026). 04-requirements/user-stories.md [User stories and backlog status]. RentaMovil documentation repository.</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2026-10-09T21:36:07.123Z</dcterms:created>
  <dcterms:modified xsi:type="dcterms:W3CDTF">2026-10-09T21:36:07.124Z</dcterms:modified>
</cp:coreProperties>
</file>

<file path=docProps/custom.xml><?xml version="1.0" encoding="utf-8"?>
<Properties xmlns="http://schemas.openxmlformats.org/officeDocument/2006/custom-properties" xmlns:vt="http://schemas.openxmlformats.org/officeDocument/2006/docPropsVTypes"/>
</file>