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Documentación de propuesta técnica del software RentaMovil</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Programa de formación: Análisis y Desarrollo de Software</w:t>
      </w:r>
    </w:p>
    <w:p>
      <w:pPr>
        <w:spacing w:after="0" w:line="480"/>
        <w:jc w:val="center"/>
      </w:pPr>
      <w:r>
        <w:rPr>
          <w:rFonts w:ascii="Times New Roman" w:cs="Times New Roman" w:eastAsia="Times New Roman" w:hAnsi="Times New Roman"/>
          <w:sz w:val="24"/>
          <w:szCs w:val="24"/>
        </w:rPr>
        <w:t xml:space="preserve">Asignatura o ficha: 3145556</w:t>
      </w:r>
    </w:p>
    <w:p>
      <w:pPr>
        <w:spacing w:after="0" w:line="480"/>
        <w:jc w:val="center"/>
      </w:pPr>
      <w:r>
        <w:rPr>
          <w:rFonts w:ascii="Times New Roman" w:cs="Times New Roman" w:eastAsia="Times New Roman" w:hAnsi="Times New Roman"/>
          <w:sz w:val="24"/>
          <w:szCs w:val="24"/>
        </w:rPr>
        <w:t xml:space="preserve">Fecha de entrega: 9 de octubre de 2026 – Fecha de elaboración: 9 de octubre de 2026</w:t>
      </w:r>
    </w:p>
    <w:p>
      <w:r>
        <w:br w:type="page"/>
      </w:r>
    </w:p>
    <w:p>
      <w:pPr>
        <w:spacing w:after="240" w:before="240" w:line="480"/>
        <w:jc w:val="center"/>
      </w:pPr>
      <w:r>
        <w:rPr>
          <w:rFonts w:ascii="Times New Roman" w:cs="Times New Roman" w:eastAsia="Times New Roman" w:hAnsi="Times New Roman"/>
          <w:b/>
          <w:bCs/>
          <w:sz w:val="24"/>
          <w:szCs w:val="24"/>
        </w:rPr>
        <w:t xml:space="preserve">Resumen</w:t>
      </w:r>
    </w:p>
    <w:p>
      <w:pPr>
        <w:spacing w:after="200" w:line="480"/>
        <w:jc w:val="both"/>
      </w:pPr>
      <w:r>
        <w:rPr>
          <w:rFonts w:ascii="Times New Roman" w:cs="Times New Roman" w:eastAsia="Times New Roman" w:hAnsi="Times New Roman"/>
          <w:sz w:val="24"/>
          <w:szCs w:val="24"/>
        </w:rPr>
        <w:t xml:space="preserve">Este documento propone y justifica la solución técnica de RentaMovil antes de su diseño detallado: las alternativas evaluadas para cada decisión arquitectónica relevante, la pila tecnológica elegida, la arquitectura a alto nivel, la viabilidad del proyecto, la metodología de desarrollo y un cronograma propuesto por épica. No sustituye los registros de decisión arquitectónica (ADR) del repositorio de documentación, que son la fuente de verdad: los resume, los relaciona entre sí y los presenta como una propuesta única y coherente para evaluadores y equipo de desarrollo.</w:t>
      </w:r>
    </w:p>
    <w:p>
      <w:pPr>
        <w:spacing w:after="200" w:line="480"/>
        <w:ind w:left="720"/>
        <w:jc w:val="both"/>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RentaMovil, propuesta técnica, arquitectura de microservicios, arquitectura hexagonal, decisiones arquitectónicas, viabilidad, metodología Scrum.</w:t>
      </w:r>
    </w:p>
    <w:p>
      <w:r>
        <w:br w:type="page"/>
      </w:r>
    </w:p>
    <w:p>
      <w:pPr>
        <w:spacing w:after="240" w:before="240" w:line="480"/>
        <w:jc w:val="center"/>
      </w:pPr>
      <w:r>
        <w:rPr>
          <w:rFonts w:ascii="Times New Roman" w:cs="Times New Roman" w:eastAsia="Times New Roman" w:hAnsi="Times New Roman"/>
          <w:b/>
          <w:bCs/>
          <w:sz w:val="24"/>
          <w:szCs w:val="24"/>
        </w:rPr>
        <w:t xml:space="preserve">1. Introducción</w:t>
      </w:r>
    </w:p>
    <w:p>
      <w:pPr>
        <w:spacing w:after="160" w:before="200" w:line="480"/>
        <w:jc w:val="left"/>
      </w:pPr>
      <w:r>
        <w:rPr>
          <w:rFonts w:ascii="Times New Roman" w:cs="Times New Roman" w:eastAsia="Times New Roman" w:hAnsi="Times New Roman"/>
          <w:b/>
          <w:bCs/>
          <w:sz w:val="24"/>
          <w:szCs w:val="24"/>
        </w:rPr>
        <w:t xml:space="preserve">1.1 Propósito, audiencia y alcance</w:t>
      </w:r>
    </w:p>
    <w:p>
      <w:pPr>
        <w:spacing w:after="200" w:line="480"/>
        <w:jc w:val="both"/>
      </w:pPr>
      <w:r>
        <w:rPr>
          <w:rFonts w:ascii="Times New Roman" w:cs="Times New Roman" w:eastAsia="Times New Roman" w:hAnsi="Times New Roman"/>
          <w:sz w:val="24"/>
          <w:szCs w:val="24"/>
        </w:rPr>
        <w:t xml:space="preserve">Este documento está dirigido a docentes, evaluadores y al equipo de desarrollo. Su propósito es consolidar, en un único documento, las decisiones técnicas ya registradas como ADR (Architecture Decision Record) en el repositorio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junto con la pila tecnológica, la viabilidad y la planificación propuestas para el proyecto. Cubre el backend de microservicios, la aplicación web de cliente y administración, y la aplicación móvil de cliente.</w:t>
      </w:r>
    </w:p>
    <w:p>
      <w:pPr>
        <w:spacing w:after="160" w:before="200" w:line="480"/>
        <w:jc w:val="left"/>
      </w:pPr>
      <w:r>
        <w:rPr>
          <w:rFonts w:ascii="Times New Roman" w:cs="Times New Roman" w:eastAsia="Times New Roman" w:hAnsi="Times New Roman"/>
          <w:b/>
          <w:bCs/>
          <w:sz w:val="24"/>
          <w:szCs w:val="24"/>
        </w:rPr>
        <w:t xml:space="preserve">1.2 Objetivos</w:t>
      </w:r>
    </w:p>
    <w:p>
      <w:pPr>
        <w:spacing w:after="200" w:line="480"/>
        <w:jc w:val="both"/>
      </w:pPr>
      <w:r>
        <w:rPr>
          <w:rFonts w:ascii="Times New Roman" w:cs="Times New Roman" w:eastAsia="Times New Roman" w:hAnsi="Times New Roman"/>
          <w:b/>
          <w:bCs/>
          <w:sz w:val="24"/>
          <w:szCs w:val="24"/>
        </w:rPr>
        <w:t xml:space="preserve">Objetivo general:</w:t>
      </w:r>
      <w:r>
        <w:rPr>
          <w:rFonts w:ascii="Times New Roman" w:cs="Times New Roman" w:eastAsia="Times New Roman" w:hAnsi="Times New Roman"/>
          <w:sz w:val="24"/>
          <w:szCs w:val="24"/>
        </w:rPr>
        <w:t xml:space="preserve"> proponer y justificar la solución técnica de RentaMovil, documentando las alternativas evaluadas, la arquitectura elegida y su viabilidad para el equipo y el tiempo disponible en el programa de formación.</w:t>
      </w:r>
    </w:p>
    <w:p>
      <w:pPr>
        <w:spacing w:after="200" w:line="480"/>
        <w:jc w:val="both"/>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100" w:line="480"/>
      </w:pPr>
      <w:r>
        <w:rPr>
          <w:rFonts w:ascii="Times New Roman" w:cs="Times New Roman" w:eastAsia="Times New Roman" w:hAnsi="Times New Roman"/>
          <w:sz w:val="24"/>
          <w:szCs w:val="24"/>
        </w:rPr>
        <w:t xml:space="preserve">Registrar las alternativas consideradas para cada decisión arquitectónica relevante y la razón de la elección final.</w:t>
      </w:r>
    </w:p>
    <w:p>
      <w:pPr>
        <w:pStyle w:val="ListParagraph"/>
        <w:numPr>
          <w:ilvl w:val="0"/>
          <w:numId w:val="2"/>
        </w:numPr>
        <w:spacing w:after="100" w:line="480"/>
      </w:pPr>
      <w:r>
        <w:rPr>
          <w:rFonts w:ascii="Times New Roman" w:cs="Times New Roman" w:eastAsia="Times New Roman" w:hAnsi="Times New Roman"/>
          <w:sz w:val="24"/>
          <w:szCs w:val="24"/>
        </w:rPr>
        <w:t xml:space="preserve">Justificar la pila tecnológica propuesta para backend, frontend web, aplicación móvil y base de datos.</w:t>
      </w:r>
    </w:p>
    <w:p>
      <w:pPr>
        <w:pStyle w:val="ListParagraph"/>
        <w:numPr>
          <w:ilvl w:val="0"/>
          <w:numId w:val="2"/>
        </w:numPr>
        <w:spacing w:after="100" w:line="480"/>
      </w:pPr>
      <w:r>
        <w:rPr>
          <w:rFonts w:ascii="Times New Roman" w:cs="Times New Roman" w:eastAsia="Times New Roman" w:hAnsi="Times New Roman"/>
          <w:sz w:val="24"/>
          <w:szCs w:val="24"/>
        </w:rPr>
        <w:t xml:space="preserve">Evaluar la viabilidad técnica, operativa y económica del proyecto.</w:t>
      </w:r>
    </w:p>
    <w:p>
      <w:pPr>
        <w:pStyle w:val="ListParagraph"/>
        <w:numPr>
          <w:ilvl w:val="0"/>
          <w:numId w:val="2"/>
        </w:numPr>
        <w:spacing w:after="100" w:line="480"/>
      </w:pPr>
      <w:r>
        <w:rPr>
          <w:rFonts w:ascii="Times New Roman" w:cs="Times New Roman" w:eastAsia="Times New Roman" w:hAnsi="Times New Roman"/>
          <w:sz w:val="24"/>
          <w:szCs w:val="24"/>
        </w:rPr>
        <w:t xml:space="preserve">Describir la metodología de desarrollo acordada por el equipo.</w:t>
      </w:r>
    </w:p>
    <w:p>
      <w:pPr>
        <w:pStyle w:val="ListParagraph"/>
        <w:numPr>
          <w:ilvl w:val="0"/>
          <w:numId w:val="2"/>
        </w:numPr>
        <w:spacing w:after="100" w:line="480"/>
      </w:pPr>
      <w:r>
        <w:rPr>
          <w:rFonts w:ascii="Times New Roman" w:cs="Times New Roman" w:eastAsia="Times New Roman" w:hAnsi="Times New Roman"/>
          <w:sz w:val="24"/>
          <w:szCs w:val="24"/>
        </w:rPr>
        <w:t xml:space="preserve">Proponer un cronograma de alto nivel y los riesgos identificados con su mitigación.</w:t>
      </w:r>
    </w:p>
    <w:p>
      <w:pPr>
        <w:spacing w:after="160" w:before="200" w:line="480"/>
        <w:jc w:val="left"/>
      </w:pPr>
      <w:r>
        <w:rPr>
          <w:rFonts w:ascii="Times New Roman" w:cs="Times New Roman" w:eastAsia="Times New Roman" w:hAnsi="Times New Roman"/>
          <w:b/>
          <w:bCs/>
          <w:sz w:val="24"/>
          <w:szCs w:val="24"/>
        </w:rPr>
        <w:t xml:space="preserve">1.3 Relación con los demás documentos del proyecto</w:t>
      </w:r>
    </w:p>
    <w:p>
      <w:pPr>
        <w:spacing w:after="200" w:line="480"/>
        <w:jc w:val="both"/>
      </w:pPr>
      <w:r>
        <w:rPr>
          <w:rFonts w:ascii="Times New Roman" w:cs="Times New Roman" w:eastAsia="Times New Roman" w:hAnsi="Times New Roman"/>
          <w:sz w:val="24"/>
          <w:szCs w:val="24"/>
        </w:rPr>
        <w:t xml:space="preserve">Este documento se ubica entre la especificación de requisitos (documento 1) y el documento de análisis de vistas dinámicas (documento 2), que establecen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debe hacer el sistema, y la documentación de diseño del software (documento 4), que detalla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se construye (interfaces gráficas, modelo arquitectónico, patrones y modelo de datos). La propuesta técnica responde la pregunta intermedia: </w:t>
      </w:r>
      <w:r>
        <w:rPr>
          <w:rFonts w:ascii="Times New Roman" w:cs="Times New Roman" w:eastAsia="Times New Roman" w:hAnsi="Times New Roman"/>
          <w:i/>
          <w:iCs/>
          <w:sz w:val="24"/>
          <w:szCs w:val="24"/>
        </w:rPr>
        <w:t xml:space="preserve">qué solución se eligió y por qué</w:t>
      </w:r>
      <w:r>
        <w:rPr>
          <w:rFonts w:ascii="Times New Roman" w:cs="Times New Roman" w:eastAsia="Times New Roman" w:hAnsi="Times New Roman"/>
          <w:sz w:val="24"/>
          <w:szCs w:val="24"/>
        </w:rPr>
        <w:t xml:space="preserve">, antes de entrar al diseño detallado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Alternativas de solución evaluadas</w:t>
      </w:r>
    </w:p>
    <w:p>
      <w:pPr>
        <w:spacing w:after="200" w:line="480"/>
        <w:jc w:val="both"/>
      </w:pPr>
      <w:r>
        <w:rPr>
          <w:rFonts w:ascii="Times New Roman" w:cs="Times New Roman" w:eastAsia="Times New Roman" w:hAnsi="Times New Roman"/>
          <w:sz w:val="24"/>
          <w:szCs w:val="24"/>
        </w:rPr>
        <w:t xml:space="preserve">Cada decisión arquitectónica relevante del proyecto quedó registrada como un ADR (Architecture Decision Record) en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Esta sección resume, para cada una, la alternativa elegida, las alternativas descartadas y la razón de la elección. Todas las decisiones aquí descritas tienen estado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en el repositorio: son la arquitectura objetivo del proyecto, no necesariamente el estado actual de cada línea de código.</w:t>
      </w:r>
    </w:p>
    <w:p>
      <w:pPr>
        <w:spacing w:after="160" w:before="200" w:line="480"/>
        <w:jc w:val="left"/>
      </w:pPr>
      <w:r>
        <w:rPr>
          <w:rFonts w:ascii="Times New Roman" w:cs="Times New Roman" w:eastAsia="Times New Roman" w:hAnsi="Times New Roman"/>
          <w:b/>
          <w:bCs/>
          <w:sz w:val="24"/>
          <w:szCs w:val="24"/>
        </w:rPr>
        <w:t xml:space="preserve">2.1 Descomposición del backend en microservicios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Bounded Context (7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el ownership del código con el lenguaje de dominio y los eventos ya definidos en el modelo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feature de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los límites del backend a la interfaz de usuario y duplica el ownership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Monolito grande indefinido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establece un ownership de dominio independiente por equipo/servicio</w:t>
            </w:r>
          </w:p>
        </w:tc>
      </w:tr>
    </w:tbl>
    <w:p>
      <w:pPr>
        <w:spacing w:after="160"/>
      </w:pPr>
    </w:p>
    <w:p>
      <w:pPr>
        <w:spacing w:after="200" w:line="480"/>
        <w:jc w:val="both"/>
      </w:pPr>
      <w:r>
        <w:rPr>
          <w:rFonts w:ascii="Times New Roman" w:cs="Times New Roman" w:eastAsia="Times New Roman" w:hAnsi="Times New Roman"/>
          <w:sz w:val="24"/>
          <w:szCs w:val="24"/>
        </w:rPr>
        <w:t xml:space="preserve">La contrapartida de la decisión elegida es que las migraciones sobre la base de datos SQL Server compartida requieren coordinación explícita entre servicios, y el despliegue independiente de cada servicio sigue siendo una capacidad futura, no actual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Arquitectura del cliente móvil</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claro por funcionalidad de negocio y reutilización de componentes de interfaz</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Carpetas organizadas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Dispersa el comportamiento de cada funcionalidad por todo 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Lógica de negocio dentro de los archivos de ruta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la navegación al comportamiento de negocio</w:t>
            </w:r>
          </w:p>
        </w:tc>
      </w:tr>
    </w:tbl>
    <w:p>
      <w:pPr>
        <w:spacing w:after="160"/>
      </w:pPr>
    </w:p>
    <w:p>
      <w:pPr>
        <w:spacing w:after="200" w:line="480"/>
        <w:jc w:val="both"/>
      </w:pPr>
      <w:r>
        <w:rPr>
          <w:rFonts w:ascii="Times New Roman" w:cs="Times New Roman" w:eastAsia="Times New Roman" w:hAnsi="Times New Roman"/>
          <w:sz w:val="24"/>
          <w:szCs w:val="24"/>
        </w:rPr>
        <w:t xml:space="preserve">Como consecuencia, las nuevas funcionalidades del cliente móvil se ubican bajo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la interfaz compartida bajo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queda reservado solo para navegación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Gestión de estado en el cliente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Estado local + Context por funcionalidad + Zustand para estado transversal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explícito del estado y adopción gradual, sin forzar un único mecanismo global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Fomenta acoplamiento global innecesario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Puede causar renderizados amplios y ownership poco claro</w:t>
            </w:r>
          </w:p>
        </w:tc>
      </w:tr>
    </w:tbl>
    <w:p>
      <w:pPr>
        <w:spacing w:after="160"/>
      </w:pPr>
    </w:p>
    <w:p>
      <w:pPr>
        <w:spacing w:after="200" w:line="480"/>
        <w:jc w:val="both"/>
      </w:pPr>
      <w:r>
        <w:rPr>
          <w:rFonts w:ascii="Times New Roman" w:cs="Times New Roman" w:eastAsia="Times New Roman" w:hAnsi="Times New Roman"/>
          <w:sz w:val="24"/>
          <w:szCs w:val="24"/>
        </w:rPr>
        <w:t xml:space="preserve">Los datos propiedad del servidor permanecen en los servicios backend y no se tratan como fuente de verdad en el cliente; esta decisión no autoriza acceso directo del cliente a la persistencia (RentaMovil, 2026, ADR-004-state-management.md).</w:t>
      </w:r>
    </w:p>
    <w:p>
      <w:pPr>
        <w:spacing w:after="160" w:before="200" w:line="480"/>
        <w:jc w:val="left"/>
      </w:pPr>
      <w:r>
        <w:rPr>
          <w:rFonts w:ascii="Times New Roman" w:cs="Times New Roman" w:eastAsia="Times New Roman" w:hAnsi="Times New Roman"/>
          <w:b/>
          <w:bCs/>
          <w:sz w:val="24"/>
          <w:szCs w:val="24"/>
        </w:rPr>
        <w:t xml:space="preserve">2.4 Autenticación y autorización en la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en el backend + route guards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Segura y usable; la decisión final de acceso siempre es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resuelta solo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protege los datos expuestos por la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como emisor de identidad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Entra en conflicto con la política de seguridad del proyecto</w:t>
            </w:r>
          </w:p>
        </w:tc>
      </w:tr>
    </w:tbl>
    <w:p>
      <w:pPr>
        <w:spacing w:after="160"/>
      </w:pPr>
    </w:p>
    <w:p>
      <w:pPr>
        <w:spacing w:after="200" w:line="480"/>
        <w:jc w:val="both"/>
      </w:pPr>
      <w:r>
        <w:rPr>
          <w:rFonts w:ascii="Times New Roman" w:cs="Times New Roman" w:eastAsia="Times New Roman" w:hAnsi="Times New Roman"/>
          <w:sz w:val="24"/>
          <w:szCs w:val="24"/>
        </w:rPr>
        <w:t xml:space="preserve">El frontend web se integra con el servicio de identidad a través de la API backend, almacena los refresh tokens en cookies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y usa guards de ruta para la navegación; los tokens de acceso se emiten como JWT firmados con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Arquitectura del frontend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funcionalidad estandarizada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Predecible y escalable a medida que crece el número de pantallas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Preservar todas las convenciones de carpetas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para código nuevo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Mantiene el riesgo de imports inconsistentes en sistemas sensibles a mayúsculas/minúsculas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proyecto organizada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Debilita el ownership de cada funcionalidad</w:t>
            </w:r>
          </w:p>
        </w:tc>
      </w:tr>
    </w:tbl>
    <w:p>
      <w:pPr>
        <w:spacing w:after="160"/>
      </w:pPr>
    </w:p>
    <w:p>
      <w:pPr>
        <w:spacing w:after="200" w:line="480"/>
        <w:jc w:val="both"/>
      </w:pPr>
      <w:r>
        <w:rPr>
          <w:rFonts w:ascii="Times New Roman" w:cs="Times New Roman" w:eastAsia="Times New Roman" w:hAnsi="Times New Roman"/>
          <w:sz w:val="24"/>
          <w:szCs w:val="24"/>
        </w:rPr>
        <w:t xml:space="preserve">El frontend web mezclaba previamente convenciones de carpetas distintas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el código nuevo adopta nombres en minúsculas y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en plural, migrando el resto de forma incremental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Frontera entre frontend y backend</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Los clientes consumen únicamente las REST API del backend propio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Centraliza las reglas de negocio y la autorización en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Supabase u otro proveedor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como arquitectura objetivo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Evade el ownership de dominio y la política de seguridad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Inseguro e imposible de gobernar</w:t>
            </w:r>
          </w:p>
        </w:tc>
      </w:tr>
    </w:tbl>
    <w:p>
      <w:pPr>
        <w:spacing w:after="160"/>
      </w:pPr>
    </w:p>
    <w:p>
      <w:pPr>
        <w:spacing w:after="200" w:line="480"/>
        <w:jc w:val="both"/>
      </w:pPr>
      <w:r>
        <w:rPr>
          <w:rFonts w:ascii="Times New Roman" w:cs="Times New Roman" w:eastAsia="Times New Roman" w:hAnsi="Times New Roman"/>
          <w:sz w:val="24"/>
          <w:szCs w:val="24"/>
        </w:rPr>
        <w:t xml:space="preserve">Cualquier uso temporal de Supabase en los clientes actuales se trata como deuda técnica o punto de integración temporal, y no debe expandirse sin actualizar el ADR correspondiente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Alcance de rutas del MVP</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del frontend las rutas de contratos de alquiler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la navegación activa con el alcance real del MVP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Mantener activas las rutas de contrato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Tergiversa el alcance del MVP y crea flujos no soportados por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Agregar los contratos al MVP de manera informal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Rompe la gobernanza de alcance y la trazabilidad con los requisitos</w:t>
            </w:r>
          </w:p>
        </w:tc>
      </w:tr>
    </w:tbl>
    <w:p>
      <w:pPr>
        <w:spacing w:after="160"/>
      </w:pPr>
    </w:p>
    <w:p>
      <w:pPr>
        <w:spacing w:after="200" w:line="480"/>
        <w:jc w:val="both"/>
      </w:pPr>
      <w:r>
        <w:rPr>
          <w:rFonts w:ascii="Times New Roman" w:cs="Times New Roman" w:eastAsia="Times New Roman" w:hAnsi="Times New Roman"/>
          <w:sz w:val="24"/>
          <w:szCs w:val="24"/>
        </w:rPr>
        <w:t xml:space="preserve">El catálogo de rutas distingue rutas públicas, de cliente, administrativas y legacy; agregar los contratos de alquiler al alcance requeriría un cambio de alcance aprobado y actualizar producto, requisitos, dominio, API y arquitectura (RentaMovil, 2026, ADR-008-mvp-route-boundary.md).</w:t>
      </w:r>
    </w:p>
    <w:p>
      <w:pPr>
        <w:spacing w:after="160" w:before="200" w:line="480"/>
        <w:jc w:val="left"/>
      </w:pPr>
      <w:r>
        <w:rPr>
          <w:rFonts w:ascii="Times New Roman" w:cs="Times New Roman" w:eastAsia="Times New Roman" w:hAnsi="Times New Roman"/>
          <w:b/>
          <w:bCs/>
          <w:sz w:val="24"/>
          <w:szCs w:val="24"/>
        </w:rPr>
        <w:t xml:space="preserve">2.8 Esquema y migraciones de base de datos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schema por servicio + un repositorio de migraciones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de cada tabla queda explícito en su nombre; los repos nunca colisionan entre sí</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Todas las tablas en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un repositorio de migración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queda solo por convención; cualquier servicio puede escribir en cualquier tabla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repositorio de migración único y compartido entre todos los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el release de todos los equipos a un solo repositorio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Una base de datos independiente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Contradice la base de datos compartida y pierde las llaves foráneas entre contextos</w:t>
            </w:r>
          </w:p>
        </w:tc>
      </w:tr>
    </w:tbl>
    <w:p>
      <w:pPr>
        <w:spacing w:after="160"/>
      </w:pPr>
    </w:p>
    <w:p>
      <w:pPr>
        <w:spacing w:after="200" w:line="480"/>
        <w:jc w:val="both"/>
      </w:pPr>
      <w:r>
        <w:rPr>
          <w:rFonts w:ascii="Times New Roman" w:cs="Times New Roman" w:eastAsia="Times New Roman" w:hAnsi="Times New Roman"/>
          <w:sz w:val="24"/>
          <w:szCs w:val="24"/>
        </w:rPr>
        <w:t xml:space="preserve">La base de datos sigue siendo una única instancia de SQL Server compartida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con un schema por servicio de negocio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y un repositorio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por servicio. El orden de ejecución entre repositorios es fijo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para que las llaves foráneas entre servicios siempre apunten a tablas ya existentes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Pila tecnológica propuesta</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Capa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Tecnología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Arquitectura Hexagonal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 las reglas de negocio de Spring, SQL Server y el transporte; es el estándar del programa de formación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(instancia compartida, un schema por servicio)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Única tecnología de persistencia declarada para el proyecto; migrada con Liquibase por servicio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(cliente y administración)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una arquitectura por funcionalidad y componentes reutilizables, con tiempos de compilación rápidos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Móvil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solo código fuente para Android/iOS, con Expo Router para la navegación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Autenticación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firmado con RS256, emitido por el servicio de identidad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que cada microservicio verifique el token de forma independiente, sin consultar al emisor en cada petición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Comunicación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REST síncrono entre cliente y backend; eventos de dominio asíncronos entre servicios, con entrega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Exige que los flujos de pago, alquiler, telemetría y notificación sean idempotentes</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Arquitectura propuesta a alto nivel</w:t>
      </w:r>
    </w:p>
    <w:p>
      <w:pPr>
        <w:spacing w:after="200" w:line="480"/>
        <w:jc w:val="both"/>
      </w:pPr>
      <w:r>
        <w:rPr>
          <w:rFonts w:ascii="Times New Roman" w:cs="Times New Roman" w:eastAsia="Times New Roman" w:hAnsi="Times New Roman"/>
          <w:sz w:val="24"/>
          <w:szCs w:val="24"/>
        </w:rPr>
        <w:t xml:space="preserve">La arquitectura es cliente-servidor: las aplicaciones web y móvil de cliente, y la interfaz web administrativa, consumen las API del backend mediante contratos publicados (OpenAPI). El backend se organiza en siete Bounded Contexts, agrupados en servicios desplegables: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Servicio objetivo</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(ejecuta dentro 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(ejecuta dentro 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es infraestructura transversal escrita directamente por los siete contextos, no un Bounded Context propio con pantalla o microservicio dedicado.</w:t>
      </w:r>
    </w:p>
    <w:p>
      <w:pPr>
        <w:spacing w:after="200" w:line="480"/>
        <w:jc w:val="both"/>
      </w:pPr>
      <w:r>
        <w:rPr>
          <w:rFonts w:ascii="Times New Roman" w:cs="Times New Roman" w:eastAsia="Times New Roman" w:hAnsi="Times New Roman"/>
          <w:b/>
          <w:bCs/>
          <w:sz w:val="24"/>
          <w:szCs w:val="24"/>
        </w:rPr>
        <w:t xml:space="preserve">Principios arquitectónicos:</w:t>
      </w:r>
      <w:r>
        <w:rPr>
          <w:rFonts w:ascii="Times New Roman" w:cs="Times New Roman" w:eastAsia="Times New Roman" w:hAnsi="Times New Roman"/>
          <w:sz w:val="24"/>
          <w:szCs w:val="24"/>
        </w:rPr>
        <w:t xml:space="preserve"> contratos de API antes de implementar endpoints públicos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aislamiento de dominio respecto a Spring, SQL Server y el transporte; ownership delimitado por contexto; dependencias controladas únicamente vía REST o eventos de dominio publicados, nunca acceso interno directo; seguridad incorporada desde el diseño; evolución incremental del sistema.</w:t>
      </w:r>
    </w:p>
    <w:p>
      <w:pPr>
        <w:spacing w:after="200" w:line="480"/>
        <w:jc w:val="both"/>
      </w:pPr>
      <w:r>
        <w:rPr>
          <w:rFonts w:ascii="Times New Roman" w:cs="Times New Roman" w:eastAsia="Times New Roman" w:hAnsi="Times New Roman"/>
          <w:b/>
          <w:bCs/>
          <w:sz w:val="24"/>
          <w:szCs w:val="24"/>
        </w:rPr>
        <w:t xml:space="preserve">Patrones arquitectónicos:</w:t>
      </w:r>
      <w:r>
        <w:rPr>
          <w:rFonts w:ascii="Times New Roman" w:cs="Times New Roman" w:eastAsia="Times New Roman" w:hAnsi="Times New Roman"/>
          <w:sz w:val="24"/>
          <w:szCs w:val="24"/>
        </w:rPr>
        <w:t xml:space="preserve"> Arquitectura Hexagonal (adoptada en el backend), Feature-Based y Component-Driven (adoptados en el cliente móvil), API Gateway (frontera objetivo del sistema), Saga/Outbox y Circuit Breaker (a evaluar para flujos entre contextos y llamadas entre servicios desplegados de forma independiente, respectivamente). Una eventual migración de la base de datos compartida a una base de datos por servicio requeriría un nuevo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Viabilidad</w:t>
      </w:r>
    </w:p>
    <w:p>
      <w:pPr>
        <w:spacing w:after="160" w:before="200" w:line="480"/>
        <w:jc w:val="left"/>
      </w:pPr>
      <w:r>
        <w:rPr>
          <w:rFonts w:ascii="Times New Roman" w:cs="Times New Roman" w:eastAsia="Times New Roman" w:hAnsi="Times New Roman"/>
          <w:b/>
          <w:bCs/>
          <w:sz w:val="24"/>
          <w:szCs w:val="24"/>
        </w:rPr>
        <w:t xml:space="preserve">5.1 Viabilidad técnica</w:t>
      </w:r>
    </w:p>
    <w:p>
      <w:pPr>
        <w:spacing w:after="200" w:line="480"/>
        <w:jc w:val="both"/>
      </w:pPr>
      <w:r>
        <w:rPr>
          <w:rFonts w:ascii="Times New Roman" w:cs="Times New Roman" w:eastAsia="Times New Roman" w:hAnsi="Times New Roman"/>
          <w:sz w:val="24"/>
          <w:szCs w:val="24"/>
        </w:rPr>
        <w:t xml:space="preserve">El equipo cuenta con experiencia previa en Java/Spring Boot, React y bases de datos relacionales, reforzada durante el programa de formación. El stack elegido (sección 3) usa herramientas de uso extendido en la industria y con documentación abundante, lo que reduce el riesgo de adopción. La principal complejidad técnica identificada es la coordinación de migraciones entre los repositorios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mitigada mediante el orden de ejecución fijo descrito en la sección 2.8.</w:t>
      </w:r>
    </w:p>
    <w:p>
      <w:pPr>
        <w:spacing w:after="160" w:before="200" w:line="480"/>
        <w:jc w:val="left"/>
      </w:pPr>
      <w:r>
        <w:rPr>
          <w:rFonts w:ascii="Times New Roman" w:cs="Times New Roman" w:eastAsia="Times New Roman" w:hAnsi="Times New Roman"/>
          <w:b/>
          <w:bCs/>
          <w:sz w:val="24"/>
          <w:szCs w:val="24"/>
        </w:rPr>
        <w:t xml:space="preserve">5.2 Viabilidad operativa</w:t>
      </w:r>
    </w:p>
    <w:p>
      <w:pPr>
        <w:spacing w:after="200" w:line="480"/>
        <w:jc w:val="both"/>
      </w:pPr>
      <w:r>
        <w:rPr>
          <w:rFonts w:ascii="Times New Roman" w:cs="Times New Roman" w:eastAsia="Times New Roman" w:hAnsi="Times New Roman"/>
          <w:sz w:val="24"/>
          <w:szCs w:val="24"/>
        </w:rPr>
        <w:t xml:space="preserve">El proyecto se desarrolla con un equipo de 3 integrantes bajo la metodología descrita en la sección 6, con herramientas gratuitas o con nivel gratuito disponible (Jira, GitHub, Docker). No se identifican dependencias de infraestructura de producción fuera del alcance de un entorno de desarrollo y pruebas local o en contenedores (RentaMovil, 2026, 00-governance/agile- conventions.md).</w:t>
      </w:r>
    </w:p>
    <w:p>
      <w:pPr>
        <w:spacing w:after="160" w:before="200" w:line="480"/>
        <w:jc w:val="left"/>
      </w:pPr>
      <w:r>
        <w:rPr>
          <w:rFonts w:ascii="Times New Roman" w:cs="Times New Roman" w:eastAsia="Times New Roman" w:hAnsi="Times New Roman"/>
          <w:b/>
          <w:bCs/>
          <w:sz w:val="24"/>
          <w:szCs w:val="24"/>
        </w:rPr>
        <w:t xml:space="preserve">5.3 Viabilidad económica</w:t>
      </w:r>
    </w:p>
    <w:p>
      <w:pPr>
        <w:spacing w:after="200" w:line="480"/>
        <w:jc w:val="both"/>
      </w:pPr>
      <w:r>
        <w:rPr>
          <w:rFonts w:ascii="Times New Roman" w:cs="Times New Roman" w:eastAsia="Times New Roman" w:hAnsi="Times New Roman"/>
          <w:sz w:val="24"/>
          <w:szCs w:val="24"/>
        </w:rPr>
        <w:t xml:space="preserve">Al tratarse de un proyecto académico, no existe presupuesto asignado para infraestructura de producción ni para licencias comerciales. El stack tecnológico propuesto (sección 3) usa en su totalidad herramientas de código abierto o con nivel gratuito suficiente para el alcance del MVP (Java, Spring Boot, SQL Server Developer Edition, React, Expo, Docker). No se realizó un análisis de costo-beneficio formal de despliegue en producción, por estar fuera del alcance académico del programa de formación.</w:t>
      </w:r>
    </w:p>
    <w:p>
      <w:pPr>
        <w:spacing w:after="240" w:before="240" w:line="480"/>
        <w:jc w:val="center"/>
      </w:pPr>
      <w:r>
        <w:rPr>
          <w:rFonts w:ascii="Times New Roman" w:cs="Times New Roman" w:eastAsia="Times New Roman" w:hAnsi="Times New Roman"/>
          <w:b/>
          <w:bCs/>
          <w:sz w:val="24"/>
          <w:szCs w:val="24"/>
        </w:rPr>
        <w:t xml:space="preserve">6. Metodología de desarrollo</w:t>
      </w:r>
    </w:p>
    <w:p>
      <w:pPr>
        <w:spacing w:after="200" w:line="480"/>
        <w:jc w:val="both"/>
      </w:pPr>
      <w:r>
        <w:rPr>
          <w:rFonts w:ascii="Times New Roman" w:cs="Times New Roman" w:eastAsia="Times New Roman" w:hAnsi="Times New Roman"/>
          <w:sz w:val="24"/>
          <w:szCs w:val="24"/>
        </w:rPr>
        <w:t xml:space="preserve">El equipo acordó trabajar bajo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con sprints de </w:t>
      </w:r>
      <w:r>
        <w:rPr>
          <w:rFonts w:ascii="Times New Roman" w:cs="Times New Roman" w:eastAsia="Times New Roman" w:hAnsi="Times New Roman"/>
          <w:b/>
          <w:bCs/>
          <w:sz w:val="24"/>
          <w:szCs w:val="24"/>
        </w:rPr>
        <w:t xml:space="preserve">una semana</w:t>
      </w:r>
      <w:r>
        <w:rPr>
          <w:rFonts w:ascii="Times New Roman" w:cs="Times New Roman" w:eastAsia="Times New Roman" w:hAnsi="Times New Roman"/>
          <w:sz w:val="24"/>
          <w:szCs w:val="24"/>
        </w:rPr>
        <w:t xml:space="preserve"> (lunes a viernes) para un equipo de </w:t>
      </w:r>
      <w:r>
        <w:rPr>
          <w:rFonts w:ascii="Times New Roman" w:cs="Times New Roman" w:eastAsia="Times New Roman" w:hAnsi="Times New Roman"/>
          <w:b/>
          <w:bCs/>
          <w:sz w:val="24"/>
          <w:szCs w:val="24"/>
        </w:rPr>
        <w:t xml:space="preserve">3 personas</w:t>
      </w:r>
      <w:r>
        <w:rPr>
          <w:rFonts w:ascii="Times New Roman" w:cs="Times New Roman" w:eastAsia="Times New Roman" w:hAnsi="Times New Roman"/>
          <w:sz w:val="24"/>
          <w:szCs w:val="24"/>
        </w:rPr>
        <w:t xml:space="preserve">. Las ceremonias se comprimieron para ajustarse a la duración corta del sprint: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Ceremonia</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Momento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Duración máxima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Participantes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Lunes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hora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Diario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Miércoles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 (tras la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bl>
    <w:p>
      <w:pPr>
        <w:spacing w:after="160"/>
      </w:pPr>
    </w:p>
    <w:p>
      <w:pPr>
        <w:spacing w:after="200" w:line="480"/>
        <w:jc w:val="both"/>
      </w:pPr>
      <w:r>
        <w:rPr>
          <w:rFonts w:ascii="Times New Roman" w:cs="Times New Roman" w:eastAsia="Times New Roman" w:hAnsi="Times New Roman"/>
          <w:sz w:val="24"/>
          <w:szCs w:val="24"/>
        </w:rPr>
        <w:t xml:space="preserve">Cada retrospectiva debe producir al menos una acción de mejora con responsable y fecha límite. La estimación de historias usa la escala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(1, 2, 3, 5, 8, 13) mediante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una historia estimada en 8 o 13 puntos debe dividirse antes de entrar al sprint. El backlog se gestiona en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con tablero de columnas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Recursos necesarios</w:t>
      </w:r>
    </w:p>
    <w:p>
      <w:pPr>
        <w:spacing w:after="160" w:before="200" w:line="480"/>
        <w:jc w:val="left"/>
      </w:pPr>
      <w:r>
        <w:rPr>
          <w:rFonts w:ascii="Times New Roman" w:cs="Times New Roman" w:eastAsia="Times New Roman" w:hAnsi="Times New Roman"/>
          <w:b/>
          <w:bCs/>
          <w:sz w:val="24"/>
          <w:szCs w:val="24"/>
        </w:rPr>
        <w:t xml:space="preserve">7.1 Recursos humanos</w:t>
      </w:r>
    </w:p>
    <w:p>
      <w:pPr>
        <w:spacing w:after="200" w:line="480"/>
        <w:jc w:val="both"/>
      </w:pPr>
      <w:r>
        <w:rPr>
          <w:rFonts w:ascii="Times New Roman" w:cs="Times New Roman" w:eastAsia="Times New Roman" w:hAnsi="Times New Roman"/>
          <w:sz w:val="24"/>
          <w:szCs w:val="24"/>
        </w:rPr>
        <w:t xml:space="preserve">El equipo está compuesto por 3 integrantes, con los roles ya definidos en la especificación de requisitos del proyecto:</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Integrante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Responsabilidad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Líder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Liderar, planificar y supervisar la entrega del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Desarrollador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Programar el aplicativo web</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Analista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Análisis de información, diseño y programación</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Documento 1 — Especificación de Requisitos de Software, sección 1.7)</w:t>
      </w:r>
    </w:p>
    <w:p>
      <w:pPr>
        <w:spacing w:after="160" w:before="200" w:line="480"/>
        <w:jc w:val="left"/>
      </w:pPr>
      <w:r>
        <w:rPr>
          <w:rFonts w:ascii="Times New Roman" w:cs="Times New Roman" w:eastAsia="Times New Roman" w:hAnsi="Times New Roman"/>
          <w:b/>
          <w:bCs/>
          <w:sz w:val="24"/>
          <w:szCs w:val="24"/>
        </w:rPr>
        <w:t xml:space="preserve">7.2 Recursos de software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Categoría</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Herramientas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Frontend web</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Aplicación móvil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Control de versiones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Gestión del backlog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Contenedores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Entornos de desarrollo</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 del equipo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Todas las herramientas listadas son de código abierto o cuentan con un nivel gratuito suficiente para el alcance del MVP, consistente con lo descrito en la viabilidad económica (sección 5.3).</w:t>
      </w:r>
    </w:p>
    <w:p>
      <w:pPr>
        <w:spacing w:after="160" w:before="200" w:line="480"/>
        <w:jc w:val="left"/>
      </w:pPr>
      <w:r>
        <w:rPr>
          <w:rFonts w:ascii="Times New Roman" w:cs="Times New Roman" w:eastAsia="Times New Roman" w:hAnsi="Times New Roman"/>
          <w:b/>
          <w:bCs/>
          <w:sz w:val="24"/>
          <w:szCs w:val="24"/>
        </w:rPr>
        <w:t xml:space="preserve">7.3 Recursos de hardware</w:t>
      </w:r>
    </w:p>
    <w:p>
      <w:pPr>
        <w:spacing w:after="200" w:line="480"/>
        <w:jc w:val="both"/>
      </w:pPr>
      <w:r>
        <w:rPr>
          <w:rFonts w:ascii="Times New Roman" w:cs="Times New Roman" w:eastAsia="Times New Roman" w:hAnsi="Times New Roman"/>
          <w:sz w:val="24"/>
          <w:szCs w:val="24"/>
        </w:rPr>
        <w:t xml:space="preserve">El proyecto no requiere servidores de producción: el desarrollo, las pruebas y la integración se realizan en los equipos de cómputo de los integrantes del equipo y en contenedores Docker locales. Las pruebas de la aplicación móvil se realizan sobre emuladores (Android/iOS) o dispositivos físicos propios del equipo, sin infraestructura adicional. La excepción es el módulo de Telemetría y GPS: para validar la integración real con un dispositivo GPS, el equipo adquirió un módulo físico y sus componentes, descritos en el presupuesto de la sección 7.4.</w:t>
      </w:r>
    </w:p>
    <w:p>
      <w:pPr>
        <w:spacing w:after="160" w:before="200" w:line="480"/>
        <w:jc w:val="left"/>
      </w:pPr>
      <w:r>
        <w:rPr>
          <w:rFonts w:ascii="Times New Roman" w:cs="Times New Roman" w:eastAsia="Times New Roman" w:hAnsi="Times New Roman"/>
          <w:b/>
          <w:bCs/>
          <w:sz w:val="24"/>
          <w:szCs w:val="24"/>
        </w:rPr>
        <w:t xml:space="preserve">7.4 Presupuesto estimado</w:t>
      </w:r>
    </w:p>
    <w:p>
      <w:pPr>
        <w:spacing w:after="200" w:line="480"/>
        <w:jc w:val="both"/>
      </w:pPr>
      <w:r>
        <w:rPr>
          <w:rFonts w:ascii="Times New Roman" w:cs="Times New Roman" w:eastAsia="Times New Roman" w:hAnsi="Times New Roman"/>
          <w:sz w:val="24"/>
          <w:szCs w:val="24"/>
        </w:rPr>
        <w:t xml:space="preserve">Los siguientes son los gastos en los que el equipo ha incurrido hasta la fecha, con cargo a recursos propios de sus integrantes, principalmente para la validación física del módulo de Telemetría y GPS: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Ítem</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Descripción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Costo aproximado (COP)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Módulo y materiales GPS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Dispositivo GPS y componentes electrónicos para el prototipo de rastreo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Insumos electrónicos adicionales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Cables, conectores, protoboard y carcasa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Transporte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Desplazamiento para la compra de materiales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Imprevistos y varios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Gastos adicionales no planeados durante la compra e integración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$600.000</w:t>
            </w:r>
          </w:p>
        </w:tc>
      </w:tr>
    </w:tbl>
    <w:p>
      <w:pPr>
        <w:spacing w:after="160"/>
      </w:pPr>
    </w:p>
    <w:p>
      <w:pPr>
        <w:spacing w:after="200" w:line="480"/>
        <w:jc w:val="both"/>
      </w:pPr>
      <w:r>
        <w:rPr>
          <w:rFonts w:ascii="Times New Roman" w:cs="Times New Roman" w:eastAsia="Times New Roman" w:hAnsi="Times New Roman"/>
          <w:sz w:val="24"/>
          <w:szCs w:val="24"/>
        </w:rPr>
        <w:t xml:space="preserve">Esta cifra es un estimado de carácter académico, cubierto por el propio equipo, y no representa un presupuesto de despliegue en producción — ese análisis queda fuera del alcance académico del programa de formación, como ya se indica en la viabilidad económica (sección 5.3).</w:t>
      </w:r>
    </w:p>
    <w:p>
      <w:pPr>
        <w:spacing w:after="240" w:before="240" w:line="480"/>
        <w:jc w:val="center"/>
      </w:pPr>
      <w:r>
        <w:rPr>
          <w:rFonts w:ascii="Times New Roman" w:cs="Times New Roman" w:eastAsia="Times New Roman" w:hAnsi="Times New Roman"/>
          <w:b/>
          <w:bCs/>
          <w:sz w:val="24"/>
          <w:szCs w:val="24"/>
        </w:rPr>
        <w:t xml:space="preserve">8. Estado actual y cronograma propuesto</w:t>
      </w:r>
    </w:p>
    <w:p>
      <w:pPr>
        <w:spacing w:after="200" w:line="480"/>
        <w:jc w:val="both"/>
      </w:pPr>
      <w:r>
        <w:rPr>
          <w:rFonts w:ascii="Times New Roman" w:cs="Times New Roman" w:eastAsia="Times New Roman" w:hAnsi="Times New Roman"/>
          <w:sz w:val="24"/>
          <w:szCs w:val="24"/>
        </w:rPr>
        <w:t xml:space="preserve">El backlog del proyecto, documentado en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está organizado en 7 épicas (una por Bounded Context) con 31 historias de usuario en total, estimadas entre 2 y 5 puntos cada una.</w:t>
      </w:r>
    </w:p>
    <w:p>
      <w:pPr>
        <w:spacing w:after="200" w:line="480"/>
        <w:jc w:val="both"/>
      </w:pPr>
      <w:r>
        <w:rPr>
          <w:rFonts w:ascii="Times New Roman" w:cs="Times New Roman" w:eastAsia="Times New Roman" w:hAnsi="Times New Roman"/>
          <w:sz w:val="24"/>
          <w:szCs w:val="24"/>
        </w:rPr>
        <w:t xml:space="preserve">Esta propuesta sugiere ejecutar las épicas siguiendo el mismo orden de dependencia que ya rige las migraciones de base de datos entre servicios (sección 2.8), de modo que ningún servicio dependa de tablas o contratos que todavía no existen: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Épica (Bounded Context)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Dependencia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Ninguna — autenticación requerida por el resto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y permisos)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(vehículos a rastrear)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(reserva confirmada)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Transversal a los eventos de las épicas anteriores</w:t>
            </w:r>
          </w:p>
        </w:tc>
      </w:tr>
    </w:tbl>
    <w:p>
      <w:pPr>
        <w:spacing w:after="160"/>
      </w:pPr>
    </w:p>
    <w:p>
      <w:pPr>
        <w:spacing w:after="200" w:line="480"/>
        <w:jc w:val="both"/>
      </w:pPr>
      <w:r>
        <w:rPr>
          <w:rFonts w:ascii="Times New Roman" w:cs="Times New Roman" w:eastAsia="Times New Roman" w:hAnsi="Times New Roman"/>
          <w:sz w:val="24"/>
          <w:szCs w:val="24"/>
        </w:rPr>
        <w:t xml:space="preserve">Con sprints de una semana y un equipo de 3 personas, cada épica puede distribuirse en uno o más sprints según el número de historias y su estimación en puntos; el calendario exacto por sprint queda sujeto a la Sprint Planning de cada semana, conforme a la metodología descrita en la sección 6.</w:t>
      </w:r>
    </w:p>
    <w:p>
      <w:pPr>
        <w:spacing w:after="240" w:before="240" w:line="480"/>
        <w:jc w:val="center"/>
      </w:pPr>
      <w:r>
        <w:rPr>
          <w:rFonts w:ascii="Times New Roman" w:cs="Times New Roman" w:eastAsia="Times New Roman" w:hAnsi="Times New Roman"/>
          <w:b/>
          <w:bCs/>
          <w:sz w:val="24"/>
          <w:szCs w:val="24"/>
        </w:rPr>
        <w:t xml:space="preserve">9. Riesgos y mitigación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Riesgo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Origen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Mitigación propuesta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Migraciones de esquema descoordinadas entre servicios que comparten la 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Orden de ejecución fijo entre repositorios de migración y revisión obligatoria antes de desplegar cambios de esquema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Referencias residuales a Supabase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Tratarlas como deuda técnica explícita; no ampliarlas sin actualizar el ADR correspondiente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Rutas de contratos de alquiler expuestas fuera del alcance del MVP</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la navegación activa hacia esas rutas hasta que exista un cambio de alcance aprobado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Convenciones de carpetas inconsistentes en el frontend web (mayúsculas/minúsculas)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Exigir la convención estandarizada en código nuevo; migración incremental del código existente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con cronograma de sprints sin asignar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Priorizar la asignación de sprints siguiendo el orden de dependencia propuesto en la sección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Desacuerdo de estimación entre integrantes del equipo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con regla de discusión obligatoria ante diferencias de 2 o más niveles en la escala Fibonacci</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Conclusiones</w:t>
      </w:r>
    </w:p>
    <w:p>
      <w:pPr>
        <w:spacing w:after="200" w:line="480"/>
        <w:jc w:val="both"/>
      </w:pPr>
      <w:r>
        <w:rPr>
          <w:rFonts w:ascii="Times New Roman" w:cs="Times New Roman" w:eastAsia="Times New Roman" w:hAnsi="Times New Roman"/>
          <w:sz w:val="24"/>
          <w:szCs w:val="24"/>
        </w:rPr>
        <w:t xml:space="preserve">La solución técnica propuesta para RentaMovil está respaldada por nueve decisiones arquitectónicas ya registradas y evaluadas contra alternativas concretas, con una pila tecnológica de uso extendido en la industria y viable para un equipo de tres integrantes dentro del programa de formación. Las 31 historias de usuario del backlog ya están refinadas; la ejecución de sprints sigue el orden de dependencia entre épicas propuesto en este documento.</w:t>
      </w:r>
    </w:p>
    <w:p>
      <w:r>
        <w:br w:type="page"/>
      </w:r>
    </w:p>
    <w:p>
      <w:pPr>
        <w:spacing w:after="240" w:before="240" w:line="480"/>
        <w:jc w:val="center"/>
      </w:pPr>
      <w:r>
        <w:rPr>
          <w:rFonts w:ascii="Times New Roman" w:cs="Times New Roman" w:eastAsia="Times New Roman" w:hAnsi="Times New Roman"/>
          <w:b/>
          <w:bCs/>
          <w:sz w:val="24"/>
          <w:szCs w:val="24"/>
        </w:rPr>
        <w:t xml:space="preserve">Referencias</w:t>
      </w:r>
    </w:p>
    <w:p>
      <w:pPr>
        <w:spacing w:after="200" w:line="480"/>
        <w:ind w:left="720" w:hanging="720"/>
        <w:jc w:val="both"/>
      </w:pPr>
      <w:r>
        <w:rPr>
          <w:rFonts w:ascii="Times New Roman" w:cs="Times New Roman" w:eastAsia="Times New Roman" w:hAnsi="Times New Roman"/>
          <w:sz w:val="24"/>
          <w:szCs w:val="24"/>
        </w:rPr>
        <w:t xml:space="preserve">RentaMovil. (2026). 01-context/overview.md y 03-product/vision.md [Visión y contexto del proyecto].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[Visión general de arquitectura].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[Convenciones ágiles del equipo].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[Historias de usuario y estado del backlog]. Repositorio de documentación RentaMovil.</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2026-10-09T21:30:54.515Z</dcterms:created>
  <dcterms:modified xsi:type="dcterms:W3CDTF">2026-10-09T21:30:54.516Z</dcterms:modified>
</cp:coreProperties>
</file>

<file path=docProps/custom.xml><?xml version="1.0" encoding="utf-8"?>
<Properties xmlns="http://schemas.openxmlformats.org/officeDocument/2006/custom-properties" xmlns:vt="http://schemas.openxmlformats.org/officeDocument/2006/docPropsVTypes"/>
</file>